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5F" w:rsidRPr="00672287" w:rsidRDefault="00CF4C03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6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2635885</wp:posOffset>
                </wp:positionH>
                <wp:positionV relativeFrom="paragraph">
                  <wp:posOffset>-610235</wp:posOffset>
                </wp:positionV>
                <wp:extent cx="3224530" cy="1404620"/>
                <wp:effectExtent l="0" t="0" r="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5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C03" w:rsidRDefault="00CF4C03" w:rsidP="00CF4C03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12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 </w:t>
                            </w:r>
                            <w:r>
                              <w:br/>
                              <w:t xml:space="preserve">do Zarządzenia </w:t>
                            </w:r>
                            <w:r w:rsidR="007327A6">
                              <w:t xml:space="preserve">nr </w:t>
                            </w:r>
                            <w:r w:rsidR="007327A6" w:rsidRPr="00C457E0">
                              <w:t>51</w:t>
                            </w:r>
                            <w:r w:rsidR="007327A6">
                              <w:t xml:space="preserve"> </w:t>
                            </w:r>
                            <w:r>
                              <w:t>DGLP z dnia</w:t>
                            </w:r>
                            <w:r w:rsidR="00D97E71">
                              <w:t xml:space="preserve"> </w:t>
                            </w:r>
                            <w:r w:rsidR="00D97E71" w:rsidRPr="00C457E0">
                              <w:t>30</w:t>
                            </w:r>
                            <w:r w:rsidR="00D97E71">
                              <w:t>.09.2019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7.55pt;margin-top:-48.05pt;width:253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" stroked="f">
                <v:textbox style="mso-fit-shape-to-text:t">
                  <w:txbxContent>
                    <w:p w:rsidR="00CF4C03" w:rsidRDefault="00CF4C03" w:rsidP="00CF4C03">
                      <w:pPr>
                        <w:spacing w:after="0" w:line="240" w:lineRule="auto"/>
                        <w:jc w:val="right"/>
                      </w:pPr>
                      <w:r>
                        <w:t>Załącznik nr 12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 </w:t>
                      </w:r>
                      <w:r>
                        <w:br/>
                        <w:t xml:space="preserve">do Zarządzenia </w:t>
                      </w:r>
                      <w:r w:rsidR="007327A6">
                        <w:t xml:space="preserve">nr </w:t>
                      </w:r>
                      <w:r w:rsidR="007327A6" w:rsidRPr="00C457E0">
                        <w:t>51</w:t>
                      </w:r>
                      <w:r w:rsidR="007327A6">
                        <w:t xml:space="preserve"> </w:t>
                      </w:r>
                      <w:r>
                        <w:t>DGLP z dnia</w:t>
                      </w:r>
                      <w:r w:rsidR="00D97E71">
                        <w:t xml:space="preserve"> </w:t>
                      </w:r>
                      <w:bookmarkStart w:id="1" w:name="_GoBack"/>
                      <w:r w:rsidR="00D97E71" w:rsidRPr="00C457E0">
                        <w:t>30</w:t>
                      </w:r>
                      <w:bookmarkEnd w:id="1"/>
                      <w:r w:rsidR="00D97E71">
                        <w:t>.09.2019 r.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  <w:r w:rsidR="008C1117">
        <w:rPr>
          <w:rStyle w:val="Pogrubienie"/>
          <w:rFonts w:ascii="Times New Roman" w:hAnsi="Times New Roman"/>
          <w:sz w:val="32"/>
        </w:rPr>
        <w:t>Pozostałości drzewne</w:t>
      </w:r>
    </w:p>
    <w:p w:rsidR="006D042A" w:rsidRPr="00BB2349" w:rsidRDefault="006D042A" w:rsidP="006D042A">
      <w:pPr>
        <w:pStyle w:val="NormalnyWeb"/>
        <w:spacing w:before="0" w:beforeAutospacing="0" w:after="120" w:afterAutospacing="0"/>
        <w:rPr>
          <w:rFonts w:ascii="Times New Roman" w:hAnsi="Times New Roman"/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A374E5" w:rsidRDefault="00D353B9" w:rsidP="00A374E5">
      <w:pPr>
        <w:spacing w:line="240" w:lineRule="auto"/>
        <w:jc w:val="both"/>
      </w:pPr>
      <w:r w:rsidRPr="00D353B9">
        <w:rPr>
          <w:szCs w:val="24"/>
        </w:rPr>
        <w:t>Przedmiotem warunków technicznych jest drewno pozostające na powierzchni cięć, związane</w:t>
      </w:r>
      <w:r w:rsidRPr="00D353B9">
        <w:rPr>
          <w:szCs w:val="24"/>
        </w:rPr>
        <w:br/>
        <w:t xml:space="preserve">z procesem ścinki drzew i krzewów oraz manipulacji surowca drzewnego, którego ze względów jakościowych nie można przyporządkować do innych sortymentów lub </w:t>
      </w:r>
      <w:r w:rsidR="00747237" w:rsidRPr="00747237">
        <w:rPr>
          <w:szCs w:val="24"/>
        </w:rPr>
        <w:t>jego</w:t>
      </w:r>
      <w:r w:rsidRPr="00747237">
        <w:rPr>
          <w:i/>
          <w:color w:val="FF0000"/>
          <w:szCs w:val="24"/>
        </w:rPr>
        <w:t xml:space="preserve"> </w:t>
      </w:r>
      <w:r w:rsidRPr="00D353B9">
        <w:rPr>
          <w:szCs w:val="24"/>
        </w:rPr>
        <w:t>pozyskanie jest nieuzasadnione gospodarczo</w:t>
      </w:r>
      <w:r>
        <w:rPr>
          <w:szCs w:val="24"/>
        </w:rPr>
        <w:t>.</w:t>
      </w:r>
      <w:r w:rsidR="00A374E5" w:rsidRPr="00A374E5">
        <w:t xml:space="preserve"> </w:t>
      </w:r>
    </w:p>
    <w:p w:rsidR="00A374E5" w:rsidRDefault="00A374E5" w:rsidP="00A374E5">
      <w:pPr>
        <w:spacing w:line="240" w:lineRule="auto"/>
        <w:jc w:val="both"/>
        <w:rPr>
          <w:szCs w:val="24"/>
        </w:rPr>
      </w:pPr>
      <w:r>
        <w:t>Pozostałości drzewne to s</w:t>
      </w:r>
      <w:r w:rsidRPr="00A374E5">
        <w:t>or</w:t>
      </w:r>
      <w:r>
        <w:t xml:space="preserve">tyment, </w:t>
      </w:r>
      <w:r w:rsidRPr="00A374E5">
        <w:t xml:space="preserve">który obejmuje: drewno </w:t>
      </w:r>
      <w:r>
        <w:t>o średnicy dolnej wynoszącej 5 cm bez kory (7 cm w korze)</w:t>
      </w:r>
      <w:r w:rsidRPr="00A374E5">
        <w:t>, chrust, igliwie i liście, korę, korzenie i karpy, oraz drewno o minimalnej średnicy w górnym końcu wynoszącej co najmniej 5 cm bez kory (7 cm w korze), którego długość lub cechy jakościowe nie pozwalają na zaklasyfikowanie go do pozostałych sortymentów zaliczanych do drewna użytkowego</w:t>
      </w:r>
      <w: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672287" w:rsidRPr="00CD6F9B" w:rsidRDefault="00672287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D353B9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 w:rsidR="00D353B9">
        <w:rPr>
          <w:rFonts w:ascii="Times New Roman" w:hAnsi="Times New Roman"/>
          <w:sz w:val="24"/>
          <w:szCs w:val="24"/>
        </w:rPr>
        <w:t>pozostałości drzewnych (M2E)</w:t>
      </w:r>
      <w:r w:rsidR="00BB2349">
        <w:rPr>
          <w:rFonts w:ascii="Times New Roman" w:hAnsi="Times New Roman"/>
          <w:sz w:val="24"/>
          <w:szCs w:val="24"/>
        </w:rPr>
        <w:t xml:space="preserve"> </w:t>
      </w:r>
      <w:r w:rsidRPr="00CD6F9B">
        <w:rPr>
          <w:rFonts w:ascii="Times New Roman" w:hAnsi="Times New Roman"/>
          <w:sz w:val="24"/>
          <w:szCs w:val="24"/>
        </w:rPr>
        <w:t>w P</w:t>
      </w:r>
      <w:r>
        <w:rPr>
          <w:rFonts w:ascii="Times New Roman" w:hAnsi="Times New Roman"/>
          <w:sz w:val="24"/>
          <w:szCs w:val="24"/>
        </w:rPr>
        <w:t xml:space="preserve">aństwowym </w:t>
      </w:r>
      <w:r w:rsidRPr="00CD6F9B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ospodarstwie </w:t>
      </w:r>
      <w:r w:rsidRPr="00CD6F9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eśnym</w:t>
      </w:r>
      <w:r w:rsidRPr="00CD6F9B"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 xml:space="preserve">asy </w:t>
      </w:r>
      <w:r w:rsidRPr="00CD6F9B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aństwowe</w:t>
      </w:r>
      <w:r w:rsidRPr="00CD6F9B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Pr="0043375F">
        <w:rPr>
          <w:rFonts w:ascii="Times New Roman" w:hAnsi="Times New Roman"/>
          <w:i/>
          <w:sz w:val="24"/>
        </w:rPr>
        <w:t>Warunki techniczn</w:t>
      </w:r>
      <w:r w:rsidR="002B7B60">
        <w:rPr>
          <w:rFonts w:ascii="Times New Roman" w:hAnsi="Times New Roman"/>
          <w:i/>
          <w:sz w:val="24"/>
        </w:rPr>
        <w:t>e – P</w:t>
      </w:r>
      <w:r w:rsidRPr="0043375F">
        <w:rPr>
          <w:rFonts w:ascii="Times New Roman" w:hAnsi="Times New Roman"/>
          <w:i/>
          <w:sz w:val="24"/>
        </w:rPr>
        <w:t xml:space="preserve">odział, terminologia i symbole stosowane </w:t>
      </w:r>
      <w:r w:rsidR="00CD1E41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2B7B60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2B7B60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2B7B60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43375F" w:rsidP="006D042A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D353B9" w:rsidRPr="00D353B9" w:rsidRDefault="00D353B9" w:rsidP="00D353B9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 w:rsidRPr="00D353B9">
        <w:rPr>
          <w:rFonts w:ascii="Times New Roman" w:hAnsi="Times New Roman"/>
          <w:sz w:val="24"/>
        </w:rPr>
        <w:t>Pozostałości drzewne oznaczone są jako M2E i przyporządkowane zostają do rodzaju, którego udział w danej partii surowca jest dominujący.</w:t>
      </w:r>
    </w:p>
    <w:p w:rsidR="00D353B9" w:rsidRPr="00D353B9" w:rsidRDefault="00D353B9" w:rsidP="00D353B9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 w:rsidRPr="00D353B9">
        <w:rPr>
          <w:rFonts w:ascii="Times New Roman" w:hAnsi="Times New Roman"/>
          <w:sz w:val="24"/>
        </w:rPr>
        <w:t>Przykładowe oznaczenia:</w:t>
      </w:r>
    </w:p>
    <w:p w:rsidR="00D353B9" w:rsidRPr="00D353B9" w:rsidRDefault="00D353B9" w:rsidP="00D353B9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 w:rsidRPr="00D353B9">
        <w:rPr>
          <w:rFonts w:ascii="Times New Roman" w:hAnsi="Times New Roman"/>
          <w:sz w:val="24"/>
        </w:rPr>
        <w:t>SO M2 ZE – pozostałości drzewne iglaste w postaci zrębków</w:t>
      </w:r>
      <w:r w:rsidR="00683F67">
        <w:rPr>
          <w:rFonts w:ascii="Times New Roman" w:hAnsi="Times New Roman"/>
          <w:sz w:val="24"/>
        </w:rPr>
        <w:t>;</w:t>
      </w:r>
    </w:p>
    <w:p w:rsidR="00672287" w:rsidRDefault="00D353B9" w:rsidP="00D353B9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 w:rsidRPr="00D353B9">
        <w:rPr>
          <w:rFonts w:ascii="Times New Roman" w:hAnsi="Times New Roman"/>
          <w:sz w:val="24"/>
        </w:rPr>
        <w:t>BRZM2 BE – pozostałości drzewne liściaste w postaci balotów.</w:t>
      </w:r>
    </w:p>
    <w:p w:rsidR="0043375F" w:rsidRDefault="001601C4" w:rsidP="006D042A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672287" w:rsidRDefault="00D353B9" w:rsidP="00D353B9">
      <w:pPr>
        <w:rPr>
          <w:szCs w:val="24"/>
        </w:rPr>
      </w:pPr>
      <w:r w:rsidRPr="007C335F">
        <w:t xml:space="preserve">Pozostałości drzewne wyrabia się w postaci </w:t>
      </w:r>
      <w:r w:rsidRPr="00D353B9">
        <w:rPr>
          <w:rFonts w:cs="Times New Roman"/>
        </w:rPr>
        <w:t>zrębków</w:t>
      </w:r>
      <w:r w:rsidRPr="007C335F">
        <w:t xml:space="preserve"> lub balotów</w:t>
      </w:r>
      <w:r w:rsidR="00672287">
        <w:rPr>
          <w:szCs w:val="24"/>
        </w:rPr>
        <w:t xml:space="preserve">. </w:t>
      </w:r>
    </w:p>
    <w:p w:rsidR="0043375F" w:rsidRDefault="009A2F99" w:rsidP="009F3721">
      <w:pPr>
        <w:pStyle w:val="NormalnyWeb"/>
        <w:spacing w:before="120" w:beforeAutospacing="0" w:after="120" w:afterAutospacing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43375F" w:rsidRPr="00CD6F9B">
        <w:rPr>
          <w:rFonts w:ascii="Times New Roman" w:hAnsi="Times New Roman"/>
          <w:b/>
          <w:sz w:val="24"/>
          <w:szCs w:val="24"/>
        </w:rPr>
        <w:t>Jakość drewna</w:t>
      </w:r>
    </w:p>
    <w:p w:rsidR="00852FCE" w:rsidRDefault="00852FCE" w:rsidP="00A374E5">
      <w:pPr>
        <w:spacing w:line="240" w:lineRule="auto"/>
        <w:jc w:val="both"/>
      </w:pPr>
      <w:r w:rsidRPr="007C335F">
        <w:t>Dopuszcza się występowanie wszystkich wad drewna</w:t>
      </w:r>
      <w:r>
        <w:t>.</w:t>
      </w:r>
      <w:r w:rsidRPr="007C335F">
        <w:t xml:space="preserve"> Dopuszczalny jest również udział zanieczyszczeń mineralnych i organicznych.</w:t>
      </w:r>
    </w:p>
    <w:p w:rsidR="0043375F" w:rsidRDefault="0043375F" w:rsidP="006D042A">
      <w:pPr>
        <w:pStyle w:val="NormalnyWeb"/>
        <w:numPr>
          <w:ilvl w:val="0"/>
          <w:numId w:val="7"/>
        </w:numPr>
        <w:spacing w:before="120" w:beforeAutospacing="0" w:after="120" w:afterAutospacing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A374E5" w:rsidRDefault="001601C4" w:rsidP="003478D7">
      <w:pPr>
        <w:spacing w:after="0" w:line="240" w:lineRule="auto"/>
        <w:jc w:val="both"/>
      </w:pPr>
      <w:r>
        <w:t>Przygotowanie do p</w:t>
      </w:r>
      <w:r w:rsidR="0043375F" w:rsidRPr="00CD6F9B">
        <w:t>omiar</w:t>
      </w:r>
      <w:r>
        <w:t>u, pomiar</w:t>
      </w:r>
      <w:r w:rsidR="0043375F">
        <w:t>, obliczanie miąższości</w:t>
      </w:r>
      <w:r w:rsidR="0043375F" w:rsidRPr="00CD6F9B">
        <w:t xml:space="preserve"> i cechowanie </w:t>
      </w:r>
      <w:r w:rsidR="00937F36">
        <w:t xml:space="preserve">zgodnie z </w:t>
      </w:r>
      <w:r w:rsidR="00937F36" w:rsidRPr="00747237">
        <w:rPr>
          <w:i/>
        </w:rPr>
        <w:t xml:space="preserve">Warunki techniczne </w:t>
      </w:r>
      <w:r w:rsidR="002B7B60" w:rsidRPr="00AB4366">
        <w:rPr>
          <w:i/>
        </w:rPr>
        <w:t>–</w:t>
      </w:r>
      <w:r w:rsidR="00937F36" w:rsidRPr="00747237">
        <w:rPr>
          <w:i/>
        </w:rPr>
        <w:t xml:space="preserve"> </w:t>
      </w:r>
      <w:r w:rsidR="00937F36" w:rsidRPr="00747237">
        <w:rPr>
          <w:i/>
          <w:szCs w:val="40"/>
        </w:rPr>
        <w:t xml:space="preserve">Zasady przygotowania do pomiaru, pomiar, obliczanie miąższości i cechowanie </w:t>
      </w:r>
      <w:r w:rsidR="00937F36" w:rsidRPr="00747237">
        <w:rPr>
          <w:i/>
          <w:szCs w:val="36"/>
        </w:rPr>
        <w:t>surowca drzewnego</w:t>
      </w:r>
      <w:r w:rsidR="00AB7826">
        <w:rPr>
          <w:i/>
          <w:szCs w:val="36"/>
        </w:rPr>
        <w:t>,</w:t>
      </w:r>
      <w:r w:rsidR="00852FCE">
        <w:t xml:space="preserve"> w zależności od postaci:</w:t>
      </w:r>
      <w:r w:rsidR="00394489">
        <w:t xml:space="preserve"> </w:t>
      </w:r>
    </w:p>
    <w:p w:rsidR="00852FCE" w:rsidRDefault="00852FCE" w:rsidP="003478D7">
      <w:pPr>
        <w:spacing w:after="0" w:line="240" w:lineRule="auto"/>
        <w:jc w:val="both"/>
        <w:rPr>
          <w:rFonts w:cs="Times New Roman"/>
        </w:rPr>
      </w:pPr>
      <w:r>
        <w:t xml:space="preserve">- drewno w balotach </w:t>
      </w:r>
      <w:r w:rsidR="002B7B60">
        <w:rPr>
          <w:i/>
        </w:rPr>
        <w:t>–</w:t>
      </w:r>
      <w:r w:rsidR="003478D7">
        <w:t xml:space="preserve"> </w:t>
      </w:r>
      <w:r>
        <w:rPr>
          <w:szCs w:val="24"/>
        </w:rPr>
        <w:t xml:space="preserve">w oparciu o zasady przyjęte dla drewna mierzonego w stosach, </w:t>
      </w:r>
      <w:r w:rsidR="00747237">
        <w:rPr>
          <w:szCs w:val="24"/>
        </w:rPr>
        <w:br/>
      </w:r>
      <w:r w:rsidR="00D657A9">
        <w:rPr>
          <w:szCs w:val="24"/>
        </w:rPr>
        <w:t xml:space="preserve">z </w:t>
      </w:r>
      <w:r>
        <w:rPr>
          <w:szCs w:val="24"/>
        </w:rPr>
        <w:t xml:space="preserve">dopuszczeniem </w:t>
      </w:r>
      <w:r w:rsidR="003478D7">
        <w:rPr>
          <w:szCs w:val="24"/>
        </w:rPr>
        <w:t xml:space="preserve">obliczania miąższości, </w:t>
      </w:r>
      <w:r w:rsidR="003478D7" w:rsidRPr="007C335F">
        <w:rPr>
          <w:rFonts w:cs="Times New Roman"/>
        </w:rPr>
        <w:t>gdy wymiary balotów są zestandaryzowane</w:t>
      </w:r>
      <w:r w:rsidR="003478D7">
        <w:rPr>
          <w:rFonts w:cs="Times New Roman"/>
        </w:rPr>
        <w:t>,</w:t>
      </w:r>
      <w:r w:rsidR="003478D7" w:rsidRPr="007C335F">
        <w:rPr>
          <w:rFonts w:cs="Times New Roman"/>
        </w:rPr>
        <w:t xml:space="preserve"> poprzez zliczenie sztuk </w:t>
      </w:r>
      <w:r w:rsidR="003478D7" w:rsidRPr="005C2D52">
        <w:rPr>
          <w:rFonts w:cs="Times New Roman"/>
        </w:rPr>
        <w:t>i ich przeliczenie przez przeciętną objętość balotu</w:t>
      </w:r>
      <w:r w:rsidR="00D657A9">
        <w:rPr>
          <w:rFonts w:cs="Times New Roman"/>
        </w:rPr>
        <w:t>;</w:t>
      </w:r>
    </w:p>
    <w:p w:rsidR="003478D7" w:rsidRDefault="003478D7" w:rsidP="003478D7">
      <w:pPr>
        <w:spacing w:line="240" w:lineRule="auto"/>
        <w:jc w:val="both"/>
        <w:rPr>
          <w:szCs w:val="24"/>
        </w:rPr>
      </w:pPr>
      <w:r>
        <w:rPr>
          <w:rFonts w:cs="Times New Roman"/>
        </w:rPr>
        <w:t xml:space="preserve">- drewno w postaci zrębków </w:t>
      </w:r>
      <w:r w:rsidR="002B7B60">
        <w:rPr>
          <w:i/>
        </w:rPr>
        <w:t>–</w:t>
      </w:r>
      <w:r w:rsidRPr="003478D7">
        <w:rPr>
          <w:szCs w:val="24"/>
        </w:rPr>
        <w:t xml:space="preserve"> </w:t>
      </w:r>
      <w:r>
        <w:rPr>
          <w:szCs w:val="24"/>
        </w:rPr>
        <w:t>w oparciu o zasady przyjęte dla drewna mierzoneg</w:t>
      </w:r>
      <w:r w:rsidR="00D657A9">
        <w:rPr>
          <w:szCs w:val="24"/>
        </w:rPr>
        <w:t xml:space="preserve">o </w:t>
      </w:r>
      <w:r w:rsidR="00D657A9">
        <w:rPr>
          <w:szCs w:val="24"/>
        </w:rPr>
        <w:br/>
        <w:t>w pojemnikach lub kontenerach.</w:t>
      </w:r>
    </w:p>
    <w:p w:rsidR="00AC6408" w:rsidRDefault="00AC6408" w:rsidP="009F3721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bCs/>
          <w:i/>
          <w:color w:val="auto"/>
          <w:sz w:val="24"/>
        </w:rPr>
      </w:pPr>
      <w:r w:rsidRPr="003501D8">
        <w:rPr>
          <w:rFonts w:ascii="Times New Roman" w:hAnsi="Times New Roman"/>
          <w:color w:val="auto"/>
          <w:sz w:val="24"/>
          <w:szCs w:val="24"/>
        </w:rPr>
        <w:t xml:space="preserve">Przeliczniki zamienne dla </w:t>
      </w:r>
      <w:r>
        <w:rPr>
          <w:rFonts w:ascii="Times New Roman" w:hAnsi="Times New Roman"/>
          <w:color w:val="auto"/>
          <w:sz w:val="24"/>
          <w:szCs w:val="24"/>
        </w:rPr>
        <w:t xml:space="preserve">pozostałości drzewnych przyjmuje się </w:t>
      </w:r>
      <w:r w:rsidRPr="00037239">
        <w:rPr>
          <w:rFonts w:ascii="Times New Roman" w:hAnsi="Times New Roman"/>
          <w:color w:val="auto"/>
          <w:sz w:val="24"/>
          <w:szCs w:val="24"/>
        </w:rPr>
        <w:t xml:space="preserve">według tablicy </w:t>
      </w:r>
      <w:r w:rsidR="000F7294">
        <w:rPr>
          <w:rFonts w:ascii="Times New Roman" w:hAnsi="Times New Roman"/>
          <w:color w:val="auto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/>
          <w:bCs/>
          <w:i/>
          <w:color w:val="auto"/>
          <w:sz w:val="24"/>
        </w:rPr>
        <w:t>Pozostałości drzewne</w:t>
      </w:r>
      <w:r w:rsidRPr="00037239">
        <w:rPr>
          <w:rFonts w:ascii="Times New Roman" w:hAnsi="Times New Roman"/>
          <w:bCs/>
          <w:i/>
          <w:color w:val="auto"/>
          <w:sz w:val="24"/>
        </w:rPr>
        <w:t>. Współczynniki zamienne.</w:t>
      </w:r>
    </w:p>
    <w:p w:rsidR="00A374E5" w:rsidRDefault="00A374E5" w:rsidP="009F3721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bCs/>
          <w:i/>
          <w:color w:val="auto"/>
          <w:sz w:val="24"/>
        </w:rPr>
      </w:pPr>
    </w:p>
    <w:p w:rsidR="00AC6408" w:rsidRPr="009F3721" w:rsidRDefault="00AC6408" w:rsidP="00AC6408">
      <w:pPr>
        <w:rPr>
          <w:rFonts w:cs="Times New Roman"/>
          <w:b/>
          <w:sz w:val="22"/>
          <w:szCs w:val="20"/>
        </w:rPr>
      </w:pPr>
      <w:r w:rsidRPr="009F3721">
        <w:rPr>
          <w:rFonts w:cs="Times New Roman"/>
          <w:b/>
          <w:sz w:val="22"/>
          <w:szCs w:val="20"/>
        </w:rPr>
        <w:lastRenderedPageBreak/>
        <w:t>Tablica – Pozostałości drzewne. Współczynniki zamienne</w:t>
      </w:r>
    </w:p>
    <w:tbl>
      <w:tblPr>
        <w:tblpPr w:leftFromText="141" w:rightFromText="141" w:vertAnchor="text" w:horzAnchor="margin" w:tblpY="-39"/>
        <w:tblW w:w="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1835"/>
        <w:gridCol w:w="2101"/>
      </w:tblGrid>
      <w:tr w:rsidR="00AC6408" w:rsidRPr="00D32966" w:rsidTr="009F3721">
        <w:trPr>
          <w:trHeight w:val="646"/>
        </w:trPr>
        <w:tc>
          <w:tcPr>
            <w:tcW w:w="1186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>Postać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B7B60" w:rsidRDefault="00AC6408" w:rsidP="009F3721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5A3E36">
              <w:rPr>
                <w:rFonts w:eastAsiaTheme="minorEastAsia"/>
                <w:b/>
                <w:sz w:val="18"/>
              </w:rPr>
              <w:t>m</w:t>
            </w:r>
            <w:r w:rsidRPr="00AC6408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5A3E36">
              <w:rPr>
                <w:rFonts w:eastAsiaTheme="minorEastAsia"/>
                <w:b/>
                <w:sz w:val="18"/>
              </w:rPr>
              <w:t xml:space="preserve">p w korze </w:t>
            </w:r>
          </w:p>
          <w:p w:rsidR="00AC6408" w:rsidRPr="005A3E36" w:rsidRDefault="00AC6408" w:rsidP="009F3721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5A3E36">
              <w:rPr>
                <w:rFonts w:eastAsiaTheme="minorEastAsia"/>
                <w:b/>
                <w:sz w:val="18"/>
              </w:rPr>
              <w:t>na</w:t>
            </w:r>
            <w:r w:rsidR="002B7B60">
              <w:rPr>
                <w:rFonts w:eastAsiaTheme="minorEastAsia"/>
                <w:b/>
                <w:sz w:val="18"/>
              </w:rPr>
              <w:t xml:space="preserve"> </w:t>
            </w:r>
            <w:r w:rsidRPr="005A3E36">
              <w:rPr>
                <w:rFonts w:eastAsiaTheme="minorEastAsia"/>
                <w:b/>
                <w:sz w:val="18"/>
              </w:rPr>
              <w:t>m</w:t>
            </w:r>
            <w:r w:rsidRPr="00AC6408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5A3E36">
              <w:rPr>
                <w:rFonts w:eastAsiaTheme="minorEastAsia"/>
                <w:b/>
                <w:sz w:val="18"/>
              </w:rPr>
              <w:t xml:space="preserve"> bez kory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B7B60" w:rsidRDefault="009F3721" w:rsidP="009F3721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D657A9">
              <w:rPr>
                <w:rFonts w:eastAsiaTheme="minorEastAsia"/>
                <w:b/>
                <w:sz w:val="18"/>
              </w:rPr>
              <w:t>m</w:t>
            </w:r>
            <w:r w:rsidRPr="00D657A9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D657A9">
              <w:rPr>
                <w:rFonts w:eastAsiaTheme="minorEastAsia"/>
                <w:b/>
                <w:sz w:val="18"/>
              </w:rPr>
              <w:t xml:space="preserve"> bez kory </w:t>
            </w:r>
          </w:p>
          <w:p w:rsidR="00AC6408" w:rsidRPr="005A3E36" w:rsidRDefault="009F3721" w:rsidP="009F3721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D657A9">
              <w:rPr>
                <w:rFonts w:eastAsiaTheme="minorEastAsia"/>
                <w:b/>
                <w:sz w:val="18"/>
              </w:rPr>
              <w:t>na m</w:t>
            </w:r>
            <w:r w:rsidRPr="00D657A9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D657A9">
              <w:rPr>
                <w:rFonts w:eastAsiaTheme="minorEastAsia"/>
                <w:b/>
                <w:sz w:val="18"/>
              </w:rPr>
              <w:t>p w korze</w:t>
            </w:r>
          </w:p>
        </w:tc>
      </w:tr>
      <w:tr w:rsidR="00AC6408" w:rsidRPr="00D32966" w:rsidTr="009F3721">
        <w:trPr>
          <w:trHeight w:val="213"/>
        </w:trPr>
        <w:tc>
          <w:tcPr>
            <w:tcW w:w="1186" w:type="dxa"/>
            <w:shd w:val="clear" w:color="auto" w:fill="F2F2F2" w:themeFill="background1" w:themeFillShade="F2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Zrębki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0,25</w:t>
            </w:r>
          </w:p>
        </w:tc>
        <w:tc>
          <w:tcPr>
            <w:tcW w:w="2101" w:type="dxa"/>
            <w:shd w:val="clear" w:color="000000" w:fill="FFFFFF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  <w:r w:rsidR="00AC6408" w:rsidRPr="005A3E36">
              <w:rPr>
                <w:rFonts w:eastAsia="Times New Roman" w:cs="Times New Roman"/>
                <w:sz w:val="18"/>
                <w:szCs w:val="20"/>
                <w:lang w:eastAsia="pl-PL"/>
              </w:rPr>
              <w:t>,00</w:t>
            </w:r>
          </w:p>
        </w:tc>
      </w:tr>
      <w:tr w:rsidR="00AC6408" w:rsidRPr="00D32966" w:rsidTr="009F3721">
        <w:trPr>
          <w:trHeight w:val="213"/>
        </w:trPr>
        <w:tc>
          <w:tcPr>
            <w:tcW w:w="1186" w:type="dxa"/>
            <w:shd w:val="clear" w:color="auto" w:fill="F2F2F2" w:themeFill="background1" w:themeFillShade="F2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Baloty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0,20</w:t>
            </w:r>
          </w:p>
        </w:tc>
        <w:tc>
          <w:tcPr>
            <w:tcW w:w="2101" w:type="dxa"/>
            <w:shd w:val="clear" w:color="000000" w:fill="FFFFFF"/>
            <w:noWrap/>
            <w:vAlign w:val="center"/>
            <w:hideMark/>
          </w:tcPr>
          <w:p w:rsidR="00AC6408" w:rsidRPr="005A3E36" w:rsidRDefault="009F3721" w:rsidP="009F372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5</w:t>
            </w:r>
            <w:r w:rsidR="00AC6408" w:rsidRPr="005A3E36">
              <w:rPr>
                <w:rFonts w:eastAsia="Times New Roman" w:cs="Times New Roman"/>
                <w:sz w:val="18"/>
                <w:szCs w:val="20"/>
                <w:lang w:eastAsia="pl-PL"/>
              </w:rPr>
              <w:t>,00</w:t>
            </w:r>
          </w:p>
        </w:tc>
      </w:tr>
    </w:tbl>
    <w:p w:rsidR="00AC6408" w:rsidRDefault="00AC6408" w:rsidP="00AC6408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Cs/>
          <w:i/>
          <w:color w:val="auto"/>
          <w:sz w:val="24"/>
        </w:rPr>
      </w:pPr>
    </w:p>
    <w:p w:rsidR="00AC6408" w:rsidRDefault="00AC6408" w:rsidP="003478D7">
      <w:pPr>
        <w:spacing w:line="240" w:lineRule="auto"/>
        <w:jc w:val="both"/>
      </w:pPr>
    </w:p>
    <w:p w:rsidR="00672287" w:rsidRPr="00EB6C7F" w:rsidRDefault="00672287" w:rsidP="00FC02C2">
      <w:pPr>
        <w:spacing w:after="0" w:line="240" w:lineRule="auto"/>
        <w:rPr>
          <w:b/>
          <w:sz w:val="22"/>
        </w:rPr>
      </w:pPr>
    </w:p>
    <w:sectPr w:rsidR="00672287" w:rsidRPr="00EB6C7F" w:rsidSect="004E2AC5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333" w:rsidRDefault="00491333" w:rsidP="00937F36">
      <w:pPr>
        <w:spacing w:after="0" w:line="240" w:lineRule="auto"/>
      </w:pPr>
      <w:r>
        <w:separator/>
      </w:r>
    </w:p>
  </w:endnote>
  <w:endnote w:type="continuationSeparator" w:id="0">
    <w:p w:rsidR="00491333" w:rsidRDefault="00491333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333" w:rsidRDefault="00491333" w:rsidP="00937F36">
      <w:pPr>
        <w:spacing w:after="0" w:line="240" w:lineRule="auto"/>
      </w:pPr>
      <w:r>
        <w:separator/>
      </w:r>
    </w:p>
  </w:footnote>
  <w:footnote w:type="continuationSeparator" w:id="0">
    <w:p w:rsidR="00491333" w:rsidRDefault="00491333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D58CA"/>
    <w:multiLevelType w:val="multilevel"/>
    <w:tmpl w:val="CECE743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E4419"/>
    <w:multiLevelType w:val="hybridMultilevel"/>
    <w:tmpl w:val="AA342CEE"/>
    <w:lvl w:ilvl="0" w:tplc="14E63C6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12851"/>
    <w:rsid w:val="0002604B"/>
    <w:rsid w:val="0003659A"/>
    <w:rsid w:val="000378D4"/>
    <w:rsid w:val="00055C49"/>
    <w:rsid w:val="000652DC"/>
    <w:rsid w:val="00080612"/>
    <w:rsid w:val="000A546A"/>
    <w:rsid w:val="000B4855"/>
    <w:rsid w:val="000D1829"/>
    <w:rsid w:val="000D6938"/>
    <w:rsid w:val="000F7294"/>
    <w:rsid w:val="001262FE"/>
    <w:rsid w:val="001601C4"/>
    <w:rsid w:val="001E0C21"/>
    <w:rsid w:val="001E0D44"/>
    <w:rsid w:val="0020226A"/>
    <w:rsid w:val="00203C1B"/>
    <w:rsid w:val="002050F5"/>
    <w:rsid w:val="00232292"/>
    <w:rsid w:val="002765CE"/>
    <w:rsid w:val="00297E7B"/>
    <w:rsid w:val="002A59DF"/>
    <w:rsid w:val="002B7B60"/>
    <w:rsid w:val="002C77DB"/>
    <w:rsid w:val="002D624F"/>
    <w:rsid w:val="002F0B40"/>
    <w:rsid w:val="003364B3"/>
    <w:rsid w:val="003428A6"/>
    <w:rsid w:val="003430EB"/>
    <w:rsid w:val="003478D7"/>
    <w:rsid w:val="003921FF"/>
    <w:rsid w:val="00394489"/>
    <w:rsid w:val="00396A56"/>
    <w:rsid w:val="003D234C"/>
    <w:rsid w:val="0040298F"/>
    <w:rsid w:val="0043375F"/>
    <w:rsid w:val="00441822"/>
    <w:rsid w:val="00472815"/>
    <w:rsid w:val="0048570A"/>
    <w:rsid w:val="00491333"/>
    <w:rsid w:val="004C6D5E"/>
    <w:rsid w:val="004D35CB"/>
    <w:rsid w:val="004E2AC5"/>
    <w:rsid w:val="004E343D"/>
    <w:rsid w:val="004F2376"/>
    <w:rsid w:val="004F7ED5"/>
    <w:rsid w:val="005203F2"/>
    <w:rsid w:val="005427EA"/>
    <w:rsid w:val="0057141E"/>
    <w:rsid w:val="00571D3D"/>
    <w:rsid w:val="005A3E36"/>
    <w:rsid w:val="005E0472"/>
    <w:rsid w:val="006065E9"/>
    <w:rsid w:val="0060750B"/>
    <w:rsid w:val="00645C47"/>
    <w:rsid w:val="0066601E"/>
    <w:rsid w:val="00672287"/>
    <w:rsid w:val="00683F67"/>
    <w:rsid w:val="006A06A2"/>
    <w:rsid w:val="006B79DC"/>
    <w:rsid w:val="006C7B8C"/>
    <w:rsid w:val="006D042A"/>
    <w:rsid w:val="006D3B67"/>
    <w:rsid w:val="0070107F"/>
    <w:rsid w:val="00716721"/>
    <w:rsid w:val="007327A6"/>
    <w:rsid w:val="00747237"/>
    <w:rsid w:val="007B331E"/>
    <w:rsid w:val="0080522A"/>
    <w:rsid w:val="00810566"/>
    <w:rsid w:val="00816423"/>
    <w:rsid w:val="00852FCE"/>
    <w:rsid w:val="008551C6"/>
    <w:rsid w:val="00872907"/>
    <w:rsid w:val="008729B8"/>
    <w:rsid w:val="008750DA"/>
    <w:rsid w:val="00875F93"/>
    <w:rsid w:val="008938B1"/>
    <w:rsid w:val="008B2FBA"/>
    <w:rsid w:val="008C1117"/>
    <w:rsid w:val="008F5D1D"/>
    <w:rsid w:val="008F5F9B"/>
    <w:rsid w:val="00926DBC"/>
    <w:rsid w:val="0092741B"/>
    <w:rsid w:val="00936137"/>
    <w:rsid w:val="00937F36"/>
    <w:rsid w:val="0097072B"/>
    <w:rsid w:val="00975D12"/>
    <w:rsid w:val="00981645"/>
    <w:rsid w:val="0099779F"/>
    <w:rsid w:val="009A2F99"/>
    <w:rsid w:val="009F3721"/>
    <w:rsid w:val="00A314B4"/>
    <w:rsid w:val="00A31E50"/>
    <w:rsid w:val="00A374E5"/>
    <w:rsid w:val="00A80353"/>
    <w:rsid w:val="00A963B0"/>
    <w:rsid w:val="00AB4366"/>
    <w:rsid w:val="00AB7826"/>
    <w:rsid w:val="00AC56F8"/>
    <w:rsid w:val="00AC6408"/>
    <w:rsid w:val="00B0079C"/>
    <w:rsid w:val="00B15FE6"/>
    <w:rsid w:val="00B20FBE"/>
    <w:rsid w:val="00B2738D"/>
    <w:rsid w:val="00B32D04"/>
    <w:rsid w:val="00B767AF"/>
    <w:rsid w:val="00BA395D"/>
    <w:rsid w:val="00BB155C"/>
    <w:rsid w:val="00BB2349"/>
    <w:rsid w:val="00BC0816"/>
    <w:rsid w:val="00BC222E"/>
    <w:rsid w:val="00BD3117"/>
    <w:rsid w:val="00BD77C3"/>
    <w:rsid w:val="00BF3612"/>
    <w:rsid w:val="00C048E6"/>
    <w:rsid w:val="00C05364"/>
    <w:rsid w:val="00C1706F"/>
    <w:rsid w:val="00C27641"/>
    <w:rsid w:val="00C457E0"/>
    <w:rsid w:val="00C63EB7"/>
    <w:rsid w:val="00C74857"/>
    <w:rsid w:val="00C975F4"/>
    <w:rsid w:val="00CA6EAD"/>
    <w:rsid w:val="00CB265A"/>
    <w:rsid w:val="00CB6C95"/>
    <w:rsid w:val="00CD1E41"/>
    <w:rsid w:val="00CE08F9"/>
    <w:rsid w:val="00CF4C03"/>
    <w:rsid w:val="00CF6ABE"/>
    <w:rsid w:val="00D106BF"/>
    <w:rsid w:val="00D14EBC"/>
    <w:rsid w:val="00D32966"/>
    <w:rsid w:val="00D353B9"/>
    <w:rsid w:val="00D657A9"/>
    <w:rsid w:val="00D66D5B"/>
    <w:rsid w:val="00D72AA3"/>
    <w:rsid w:val="00D74398"/>
    <w:rsid w:val="00D93B1C"/>
    <w:rsid w:val="00D97E71"/>
    <w:rsid w:val="00DB3E7E"/>
    <w:rsid w:val="00DE7C62"/>
    <w:rsid w:val="00E043B5"/>
    <w:rsid w:val="00E16E6E"/>
    <w:rsid w:val="00E369E8"/>
    <w:rsid w:val="00E62897"/>
    <w:rsid w:val="00E86FDC"/>
    <w:rsid w:val="00EA009D"/>
    <w:rsid w:val="00ED491D"/>
    <w:rsid w:val="00EE68EF"/>
    <w:rsid w:val="00F04625"/>
    <w:rsid w:val="00F070FA"/>
    <w:rsid w:val="00F10DA2"/>
    <w:rsid w:val="00F16314"/>
    <w:rsid w:val="00F30791"/>
    <w:rsid w:val="00F434D6"/>
    <w:rsid w:val="00F45C4C"/>
    <w:rsid w:val="00F526CA"/>
    <w:rsid w:val="00F7304C"/>
    <w:rsid w:val="00FA1EB7"/>
    <w:rsid w:val="00FC02C2"/>
    <w:rsid w:val="00FF743E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53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72287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2287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67228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53B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Poprawka">
    <w:name w:val="Revision"/>
    <w:hidden/>
    <w:uiPriority w:val="99"/>
    <w:semiHidden/>
    <w:rsid w:val="00747237"/>
    <w:pPr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A2255-6904-4905-803E-7602B75E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20</cp:revision>
  <cp:lastPrinted>2019-09-30T11:27:00Z</cp:lastPrinted>
  <dcterms:created xsi:type="dcterms:W3CDTF">2019-09-18T10:53:00Z</dcterms:created>
  <dcterms:modified xsi:type="dcterms:W3CDTF">2019-10-01T11:37:00Z</dcterms:modified>
</cp:coreProperties>
</file>