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left="1276" w:hanging="1276"/>
        <w:rPr/>
      </w:pPr>
      <w:r>
        <w:rPr/>
      </w:r>
    </w:p>
    <w:p>
      <w:pPr>
        <w:pStyle w:val="Normal"/>
        <w:ind w:left="1276" w:hanging="1276"/>
        <w:jc w:val="right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1A do SWZ – Pakiet Nr 1</w:t>
      </w:r>
    </w:p>
    <w:p>
      <w:pPr>
        <w:pStyle w:val="Normal"/>
        <w:ind w:left="1276" w:hanging="1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/>
      </w:pPr>
      <w:r>
        <w:rPr>
          <w:b/>
          <w:bCs/>
          <w:sz w:val="24"/>
          <w:szCs w:val="24"/>
        </w:rPr>
        <w:t xml:space="preserve">PAKIET NR 1 - DZIERŻAWA AUTOMATYCZNEGO SYSTEMU DO IDENTYFIKACJI I LEKOWRAŻLIWOŚCI DROBNOUSTROJÓW WRAZ Z ODCZYNNIKAMI I VORTEX </w:t>
      </w:r>
    </w:p>
    <w:p>
      <w:pPr>
        <w:pStyle w:val="Normal"/>
        <w:ind w:left="1276" w:hanging="1276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>
          <w:sz w:val="24"/>
          <w:szCs w:val="24"/>
        </w:rPr>
        <w:t xml:space="preserve">CZĘŚĆ  A) </w:t>
      </w:r>
      <w:r>
        <w:rPr>
          <w:sz w:val="24"/>
          <w:szCs w:val="24"/>
        </w:rPr>
        <w:t xml:space="preserve">PODŁOŻA HODOWLANE, </w:t>
      </w:r>
      <w:r>
        <w:rPr>
          <w:sz w:val="24"/>
          <w:szCs w:val="24"/>
        </w:rPr>
        <w:t>IDENTYFIKACJ</w:t>
      </w:r>
      <w:r>
        <w:rPr>
          <w:sz w:val="24"/>
          <w:szCs w:val="24"/>
        </w:rPr>
        <w:t>A</w:t>
      </w:r>
      <w:r>
        <w:rPr>
          <w:sz w:val="24"/>
          <w:szCs w:val="24"/>
        </w:rPr>
        <w:t xml:space="preserve"> I LEKOWRAŻLIWOŚ</w:t>
      </w:r>
      <w:r>
        <w:rPr>
          <w:sz w:val="24"/>
          <w:szCs w:val="24"/>
        </w:rPr>
        <w:t>Ć</w:t>
      </w:r>
      <w:r>
        <w:rPr>
          <w:sz w:val="24"/>
          <w:szCs w:val="24"/>
        </w:rPr>
        <w:t xml:space="preserve"> DROBNOUSTROJÓW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31678" w:type="dxa"/>
        <w:jc w:val="left"/>
        <w:tblInd w:w="-106" w:type="dxa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529"/>
        <w:gridCol w:w="1270"/>
        <w:gridCol w:w="3117"/>
        <w:gridCol w:w="849"/>
        <w:gridCol w:w="991"/>
        <w:gridCol w:w="1274"/>
        <w:gridCol w:w="1422"/>
        <w:gridCol w:w="10"/>
        <w:gridCol w:w="1267"/>
        <w:gridCol w:w="9"/>
        <w:gridCol w:w="903"/>
        <w:gridCol w:w="10"/>
        <w:gridCol w:w="1283"/>
        <w:gridCol w:w="9"/>
        <w:gridCol w:w="1283"/>
        <w:gridCol w:w="10"/>
        <w:gridCol w:w="1283"/>
        <w:gridCol w:w="9"/>
        <w:gridCol w:w="10"/>
        <w:gridCol w:w="4013"/>
        <w:gridCol w:w="10"/>
        <w:gridCol w:w="9"/>
        <w:gridCol w:w="4014"/>
        <w:gridCol w:w="9"/>
        <w:gridCol w:w="10"/>
        <w:gridCol w:w="4013"/>
        <w:gridCol w:w="10"/>
        <w:gridCol w:w="9"/>
        <w:gridCol w:w="4035"/>
      </w:tblGrid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tabs>
                <w:tab w:val="clear" w:pos="708"/>
                <w:tab w:val="left" w:pos="1134" w:leader="none"/>
              </w:tabs>
              <w:ind w:right="-921" w:hanging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 xml:space="preserve">Nr </w:t>
            </w:r>
          </w:p>
          <w:p>
            <w:pPr>
              <w:pStyle w:val="Normal"/>
              <w:tabs>
                <w:tab w:val="clear" w:pos="708"/>
                <w:tab w:val="left" w:pos="1134" w:leader="none"/>
              </w:tabs>
              <w:ind w:right="-921" w:hanging="0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pozycji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Nr kat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Nazwa produktu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Jednostka miary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Liczba szt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Liczba opak.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Cena jedn. opak. netto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Wartość netto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VAT (%)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Wartość brutto</w:t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Nazwa handlowa</w:t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</w:r>
          </w:p>
          <w:p>
            <w:pPr>
              <w:pStyle w:val="Normal"/>
              <w:rPr>
                <w:color w:val="000000"/>
                <w:lang w:eastAsia="pl-PL"/>
              </w:rPr>
            </w:pPr>
            <w:r>
              <w:rPr>
                <w:color w:val="000000"/>
                <w:lang w:eastAsia="pl-PL"/>
              </w:rPr>
              <w:t>Producent</w:t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53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ascii="Calibri" w:hAnsi="Calibri"/>
                <w:color w:val="000000"/>
                <w:lang w:eastAsia="pl-PL"/>
              </w:rPr>
              <w:t>Diagnostyka bakterii Gram ujemnych</w:t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Podłoże chromogenne transparentne  do identyfikacji bezpośredniej drobnoustrojów </w:t>
            </w:r>
          </w:p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moczu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val="en-US" w:eastAsia="pl-PL"/>
              </w:rPr>
            </w:pPr>
            <w:r>
              <w:rPr>
                <w:color w:val="000000"/>
                <w:sz w:val="22"/>
                <w:szCs w:val="22"/>
                <w:lang w:val="en-US" w:eastAsia="pl-PL"/>
              </w:rPr>
              <w:t>Columbia Agar + 5%  krew barania</w:t>
            </w:r>
            <w:r>
              <w:rPr>
                <w:color w:val="000000"/>
                <w:sz w:val="22"/>
                <w:szCs w:val="22"/>
                <w:lang w:eastAsia="pl-PL"/>
              </w:rPr>
              <w:t>(100PŁ)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10 000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Salmonella  Shigella Agar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Agar czekoladowy  dla  Haemophilus + Polyvitex +antybiotyki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40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 xml:space="preserve">Agar czekoladowy + Polyvitex bez antybiotyku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500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MacConkey Agar +fiolet krystaliczny (100 PŁ)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Podłoże wybiórcze z cetrimidem dla Pseudomonas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Wybiórcze podłoże chromogenne do badań przesiewowych w kierunku pałeczek Enterobacterales wytwarzających ESBL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Wybiórcze podłoże chromogenne do badań przesiewowych w kierunku pałeczek Enterobacterales wytwarzających karbapenemazy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40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spacing w:before="0" w:after="12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Wybiórcze podłoże chromogenne do badań przesiewowych dwudzielne w kierunku pałeczek Enterobacterales wytwarzających karbapenemazy /podłoże wykrywające OXA 48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240" w:after="240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System do wytwarzania mikroaerofilnej atmosfery w zestawie : torebka+generator+zacisk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</w:rPr>
              <w:t>Testy do automatycznej identyfikacji pałeczek Gram ujemnych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1400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Testy do automatycznej identyfikacji bakterii z rodzaju Neisseria i Haemophilus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Testy do automatycznego wykonywania antybiogramów pałeczek Gram ujemnych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3600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Testy do identyfikacji Neisseria  Haemophilus </w:t>
            </w:r>
          </w:p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w oparciu o odczyt wizualny 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(10 pasków)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Podłoże chromogenne do oznaczania kolistyny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Odczynnik do wykrywania oxydazy w ampułkach (50 x 0.75ml)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150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53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Diagnostyka bakterii Gram dodatnich</w:t>
            </w:r>
          </w:p>
        </w:tc>
        <w:tc>
          <w:tcPr>
            <w:tcW w:w="4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spacing w:lineRule="auto" w:line="276" w:before="0" w:after="200"/>
              <w:rPr/>
            </w:pPr>
            <w:r>
              <w:rPr/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Diagnostyka bakterii Gram dodatnich</w:t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18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val="de-DE" w:eastAsia="pl-PL"/>
              </w:rPr>
            </w:pPr>
            <w:r>
              <w:rPr>
                <w:sz w:val="22"/>
                <w:szCs w:val="22"/>
                <w:lang w:val="de-DE"/>
              </w:rPr>
              <w:t>Podłoże Mueller Hinton  śr.90 mm</w:t>
            </w:r>
            <w:r>
              <w:rPr>
                <w:color w:val="000000"/>
                <w:sz w:val="22"/>
                <w:szCs w:val="22"/>
                <w:lang w:val="de-DE" w:eastAsia="pl-PL"/>
              </w:rPr>
              <w:t>(100 PŁ)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4500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lang w:val="en-US"/>
              </w:rPr>
            </w:pPr>
            <w:r>
              <w:rPr>
                <w:lang w:val="en-US"/>
              </w:rPr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Podłoże chromogenne transparentne do bezpośredniej identyfikacji wankomycyno opornych enterokoków E.faecalis, E.faecium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Columbia CNA Agar +5% krew barania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 xml:space="preserve">Podłoże wybiórcze z eskuliną i żółcią dla Enterococcus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900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 xml:space="preserve">Podłoże wybiórcze z mannitolem dla Staphylococcus Chapman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Podłoże dwudzielne chromogenne transparentne do bezpośredniej identyfikacji Staphylococcus /podłoże chromogenne do wykrywania MRSA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40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1200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51"/>
              <w:snapToGrid w:val="false"/>
              <w:spacing w:lineRule="auto" w:line="2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Płytki kontaktowe  śr.55 mm sterylizowane radiacyjnie,potrójnie pakowane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Agar tryptozowo sojowy 3P sterylizowany radiacyjnie z neutralizatorami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Agar tryptozowo sojowy z krwią baranią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Testy do automatycznej identyfikacji bakterii Gram dodatnich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Testy do automatycznego wykonywania antybiogramów bakterii  Gram dodatnich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pacing w:before="0" w:after="240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1300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53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Diagnostyka bakterii beztlenowych</w:t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29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Agar Schaedlera +5% krew barania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Agar Schaedlera z dodatkiem antybiotyków +5% krew barania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System do wytwarzania beztlenowej atmosfery w zestawie : torebka+generator+zacisk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32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 xml:space="preserve">Bulion Schaedlera z witaminą K3+0.2% agar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1800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33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Testy do automatycznej identyfikacji bakterii beztlenowych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34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Podłoże do wykonywania lekowrażliwości bakterii beztlenowych w oparciu o odczyt wizualny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(10 PASKÓW)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35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 xml:space="preserve">Podłoże chromogenne do hodowli i  bezpośredniej identyfikacji Clostridium difficile w czasie 24 godz.inkubacji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553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Diagnostyka grzybów</w:t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36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>Podłoże chromogenne do identyfikacji grzybów rodzaju Candida</w:t>
            </w:r>
            <w:r>
              <w:rPr>
                <w:color w:val="000000"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400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37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  <w:lang w:eastAsia="pl-PL"/>
              </w:rPr>
            </w:pPr>
            <w:r>
              <w:rPr>
                <w:sz w:val="22"/>
                <w:szCs w:val="22"/>
              </w:rPr>
              <w:t xml:space="preserve">Podłoże Sabouraud z chloramfenikolem i gentamicyną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800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38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Podłoże Sabouraud Dextrose Agar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val="en-US" w:eastAsia="pl-PL"/>
              </w:rPr>
            </w:pPr>
            <w:r>
              <w:rPr>
                <w:color w:val="000000"/>
                <w:sz w:val="24"/>
                <w:szCs w:val="24"/>
                <w:lang w:val="en-US" w:eastAsia="pl-PL"/>
              </w:rPr>
              <w:t>120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39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Testy do automatycznej identyfikacji grzybów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40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Testy do automatycznego wykonywania antybiogramów grzybów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szt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color w:val="000000"/>
                <w:sz w:val="24"/>
                <w:szCs w:val="24"/>
                <w:lang w:eastAsia="pl-PL"/>
              </w:rPr>
            </w:pPr>
            <w:r>
              <w:rPr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  <w:t>41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spacing w:before="120" w:after="12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eastAsia="pl-PL"/>
              </w:rPr>
              <w:t>Części zużywalne do analizatora na odpowiednią liczbę testów podaną w pakiecie na 36 miesięcy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54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95" w:hRule="atLeast"/>
        </w:trPr>
        <w:tc>
          <w:tcPr>
            <w:tcW w:w="94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ind w:left="108" w:hanging="0"/>
              <w:jc w:val="center"/>
              <w:rPr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Razem:</w:t>
            </w:r>
          </w:p>
          <w:p>
            <w:pPr>
              <w:pStyle w:val="Normal"/>
              <w:ind w:left="108" w:hanging="0"/>
              <w:rPr/>
            </w:pPr>
            <w:r>
              <w:rPr/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293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92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2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33" w:type="dxa"/>
            <w:gridSpan w:val="3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044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Parametry wymagane dla gotowych podłoży i testów identyfikacyjnych:</w:t>
      </w:r>
    </w:p>
    <w:p>
      <w:pPr>
        <w:pStyle w:val="Normal"/>
        <w:tabs>
          <w:tab w:val="clear" w:pos="708"/>
          <w:tab w:val="left" w:pos="6804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8"/>
          <w:tab w:val="left" w:pos="6804" w:leader="none"/>
        </w:tabs>
        <w:rPr>
          <w:sz w:val="24"/>
          <w:szCs w:val="24"/>
        </w:rPr>
      </w:pPr>
      <w:r>
        <w:rPr>
          <w:sz w:val="24"/>
          <w:szCs w:val="24"/>
        </w:rPr>
        <w:t>1. Zamawiający wymaga, aby wszystkie podłoża pochodzą od jednego producenta.</w:t>
      </w:r>
    </w:p>
    <w:p>
      <w:pPr>
        <w:pStyle w:val="Normal"/>
        <w:tabs>
          <w:tab w:val="clear" w:pos="708"/>
          <w:tab w:val="left" w:pos="6804" w:leader="none"/>
        </w:tabs>
        <w:rPr>
          <w:sz w:val="24"/>
          <w:szCs w:val="24"/>
        </w:rPr>
      </w:pPr>
      <w:r>
        <w:rPr>
          <w:sz w:val="24"/>
          <w:szCs w:val="24"/>
        </w:rPr>
        <w:t>2. Zamawiający wymaga, aby płytki z podłożami chromogennymi były kompatybilne z testami do identyfikacji i oznaczania lekowrażliwości zawartymi w tym pakiecie - potwierdzone certyfikatem kompatybilności dołączonym do oferty.</w:t>
      </w:r>
    </w:p>
    <w:p>
      <w:pPr>
        <w:pStyle w:val="Normal"/>
        <w:tabs>
          <w:tab w:val="clear" w:pos="708"/>
          <w:tab w:val="left" w:pos="680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 Zamawiający wymaga płytek kontaktowych (pozycja24) sterylizowanych radiacyjnie w potrójnym opakowaniu. </w:t>
      </w:r>
    </w:p>
    <w:p>
      <w:pPr>
        <w:pStyle w:val="Normal"/>
        <w:tabs>
          <w:tab w:val="clear" w:pos="708"/>
          <w:tab w:val="left" w:pos="6804" w:leader="none"/>
        </w:tabs>
        <w:rPr>
          <w:sz w:val="24"/>
          <w:szCs w:val="24"/>
        </w:rPr>
      </w:pPr>
      <w:r>
        <w:rPr>
          <w:color w:val="000000"/>
          <w:sz w:val="24"/>
          <w:szCs w:val="24"/>
          <w:lang w:eastAsia="pl-PL"/>
        </w:rPr>
        <w:t>4. Płytki kontaktowe powinny zawierać w składzie podłoża min 4 czynniki neutralizujące pozostałości środków dezynfekcyjnych.</w:t>
      </w:r>
    </w:p>
    <w:p>
      <w:pPr>
        <w:pStyle w:val="Normal"/>
        <w:rPr>
          <w:sz w:val="24"/>
          <w:szCs w:val="24"/>
        </w:rPr>
      </w:pPr>
      <w:r>
        <w:rPr>
          <w:color w:val="000000"/>
          <w:sz w:val="24"/>
          <w:szCs w:val="24"/>
          <w:lang w:eastAsia="pl-PL"/>
        </w:rPr>
        <w:t>5</w:t>
      </w:r>
      <w:r>
        <w:rPr>
          <w:sz w:val="24"/>
          <w:szCs w:val="24"/>
        </w:rPr>
        <w:t>. Zamawiający wymaga średnicy płytek 90 mm z wyłączeniem pozycji 24 o średnicy 55 mm</w:t>
      </w:r>
    </w:p>
    <w:p>
      <w:pPr>
        <w:pStyle w:val="Normal"/>
        <w:tabs>
          <w:tab w:val="clear" w:pos="708"/>
          <w:tab w:val="left" w:pos="6804" w:leader="none"/>
        </w:tabs>
        <w:rPr>
          <w:sz w:val="24"/>
          <w:szCs w:val="24"/>
        </w:rPr>
      </w:pPr>
      <w:r>
        <w:rPr>
          <w:sz w:val="24"/>
          <w:szCs w:val="24"/>
        </w:rPr>
        <w:t>6.Termin ważności: minimum 4-5 tygodni dla podłoży zawierających krew oraz podłoży chromogennych, minimum 5-6 tygodni dla podłoży pozostałych.</w:t>
      </w:r>
    </w:p>
    <w:p>
      <w:pPr>
        <w:pStyle w:val="Normal"/>
        <w:tabs>
          <w:tab w:val="clear" w:pos="708"/>
          <w:tab w:val="left" w:pos="6804" w:leader="none"/>
        </w:tabs>
        <w:rPr/>
      </w:pPr>
      <w:r>
        <w:rPr>
          <w:sz w:val="24"/>
          <w:szCs w:val="24"/>
        </w:rPr>
        <w:t>7. Na denku z podłożem musi być umieszczona nazwa podłoża(symbol),nr serii, godzina rozlania, termin ważności, nazwa firmy.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Część B) DZIERŻAWA AUTOMATYCZNEGO SYSTEMU DO IDENTYFIKACJI I LEKOWRAŻLIWOŚCI DROBNOUSTROJÓW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W w:w="13369" w:type="dxa"/>
        <w:jc w:val="left"/>
        <w:tblInd w:w="-68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516"/>
        <w:gridCol w:w="1996"/>
        <w:gridCol w:w="1165"/>
        <w:gridCol w:w="738"/>
        <w:gridCol w:w="1343"/>
        <w:gridCol w:w="1133"/>
        <w:gridCol w:w="1560"/>
        <w:gridCol w:w="1274"/>
        <w:gridCol w:w="1418"/>
        <w:gridCol w:w="2224"/>
      </w:tblGrid>
      <w:tr>
        <w:trPr>
          <w:trHeight w:val="880" w:hRule="atLeast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  <w:t>Lp.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snapToGrid w:val="false"/>
              <w:jc w:val="center"/>
              <w:rPr/>
            </w:pPr>
            <w:r>
              <w:rPr/>
              <w:t>Nazwa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Typ opłaty</w:t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Liczba</w:t>
            </w:r>
          </w:p>
          <w:p>
            <w:pPr>
              <w:pStyle w:val="Normal"/>
              <w:jc w:val="center"/>
              <w:rPr/>
            </w:pPr>
            <w:r>
              <w:rPr/>
              <w:t>opłat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WWheader11"/>
              <w:snapToGrid w:val="false"/>
              <w:spacing w:before="24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Opłata netto za 1 miesiąc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WWheader11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WWheader11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  <w:t>Wartość</w:t>
            </w:r>
          </w:p>
          <w:p>
            <w:pPr>
              <w:pStyle w:val="Tretekstu"/>
              <w:spacing w:before="0" w:after="120"/>
              <w:jc w:val="center"/>
              <w:rPr/>
            </w:pPr>
            <w:r>
              <w:rPr/>
              <w:t>VAT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WWheader11"/>
              <w:snapToGrid w:val="false"/>
              <w:spacing w:before="0"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sz w:val="20"/>
                <w:szCs w:val="20"/>
              </w:rPr>
            </w:r>
          </w:p>
          <w:p>
            <w:pPr>
              <w:pStyle w:val="Normal"/>
              <w:jc w:val="center"/>
              <w:rPr/>
            </w:pPr>
            <w:r>
              <w:rPr/>
              <w:t>Opłata brutto za 1 miesiąc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Wartość netto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  <w:t>Wartość brutto</w:t>
            </w:r>
          </w:p>
        </w:tc>
        <w:tc>
          <w:tcPr>
            <w:tcW w:w="2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jc w:val="center"/>
              <w:rPr/>
            </w:pPr>
            <w:r>
              <w:rPr/>
            </w:r>
          </w:p>
          <w:p>
            <w:pPr>
              <w:pStyle w:val="Normal"/>
              <w:suppressAutoHyphens w:val="false"/>
              <w:jc w:val="center"/>
              <w:rPr/>
            </w:pPr>
            <w:r>
              <w:rPr/>
              <w:t>Nazwa handlowa/ Producent</w:t>
            </w:r>
          </w:p>
        </w:tc>
      </w:tr>
      <w:tr>
        <w:trPr>
          <w:trHeight w:val="1433" w:hRule="atLeast"/>
        </w:trPr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spacing w:before="120" w:after="120"/>
              <w:rPr/>
            </w:pPr>
            <w:r>
              <w:rPr/>
              <w:t>1</w:t>
            </w:r>
          </w:p>
        </w:tc>
        <w:tc>
          <w:tcPr>
            <w:tcW w:w="19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rPr/>
            </w:pPr>
            <w:r>
              <w:rPr/>
              <w:t>Aparat do automatycznej identyfikacji</w:t>
            </w:r>
          </w:p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rPr/>
            </w:pPr>
            <w:r>
              <w:rPr/>
              <w:t xml:space="preserve"> </w:t>
            </w:r>
            <w:r>
              <w:rPr/>
              <w:t xml:space="preserve">i lekowrażliwości drobnoustrojów wraz </w:t>
            </w:r>
          </w:p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spacing w:before="0" w:after="120"/>
              <w:rPr/>
            </w:pPr>
            <w:r>
              <w:rPr/>
              <w:t>z podłączeniem do sieci ASSECO INFOMEDICA</w:t>
            </w:r>
          </w:p>
        </w:tc>
        <w:tc>
          <w:tcPr>
            <w:tcW w:w="11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spacing w:before="120" w:after="120"/>
              <w:rPr/>
            </w:pPr>
            <w:r>
              <w:rPr/>
              <w:t>Dzierżawa</w:t>
            </w:r>
          </w:p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spacing w:before="120" w:after="120"/>
              <w:rPr/>
            </w:pPr>
            <w:r>
              <w:rPr/>
            </w:r>
          </w:p>
        </w:tc>
        <w:tc>
          <w:tcPr>
            <w:tcW w:w="7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tabs>
                <w:tab w:val="clear" w:pos="708"/>
                <w:tab w:val="left" w:pos="6804" w:leader="none"/>
              </w:tabs>
              <w:snapToGrid w:val="false"/>
              <w:spacing w:before="120" w:after="120"/>
              <w:jc w:val="center"/>
              <w:rPr/>
            </w:pPr>
            <w:r>
              <w:rPr/>
              <w:t>36</w:t>
            </w:r>
          </w:p>
        </w:tc>
        <w:tc>
          <w:tcPr>
            <w:tcW w:w="1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WWheader11"/>
              <w:snapToGrid w:val="false"/>
              <w:spacing w:before="240" w:after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 w:ascii="Calibri" w:hAnsi="Calibri"/>
                <w:sz w:val="22"/>
                <w:szCs w:val="22"/>
              </w:rPr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WWheader11"/>
              <w:snapToGrid w:val="false"/>
              <w:spacing w:before="0" w:after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 w:ascii="Calibri" w:hAnsi="Calibri"/>
                <w:sz w:val="22"/>
                <w:szCs w:val="22"/>
              </w:rPr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WWheader11"/>
              <w:snapToGrid w:val="false"/>
              <w:spacing w:before="0" w:after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cs="Times New Roman" w:ascii="Calibri" w:hAnsi="Calibri"/>
                <w:sz w:val="22"/>
                <w:szCs w:val="22"/>
              </w:rPr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222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suppressAutoHyphens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Sumaryczna wartość dostawy (część A dostawa + część B dzierżawa):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Wartość netto: ............................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Podatek VAT: .............................</w:t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Wartość brutto: ...........................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………………………</w:t>
      </w:r>
      <w:r>
        <w:rPr>
          <w:sz w:val="16"/>
          <w:szCs w:val="16"/>
        </w:rPr>
        <w:t>. dnia ………………………..</w:t>
        <w:tab/>
        <w:tab/>
        <w:tab/>
        <w:tab/>
        <w:tab/>
        <w:tab/>
        <w:tab/>
        <w:tab/>
        <w:tab/>
        <w:tab/>
        <w:tab/>
        <w:t>……………..………………………………</w:t>
        <w:tab/>
      </w:r>
    </w:p>
    <w:p>
      <w:pPr>
        <w:pStyle w:val="Normal"/>
        <w:ind w:left="9912" w:firstLine="708"/>
        <w:rPr>
          <w:sz w:val="16"/>
          <w:szCs w:val="16"/>
        </w:rPr>
      </w:pPr>
      <w:r>
        <w:rPr>
          <w:sz w:val="16"/>
          <w:szCs w:val="16"/>
        </w:rPr>
        <w:t>podpis osoby uprawnionej do składania</w:t>
      </w:r>
    </w:p>
    <w:p>
      <w:pPr>
        <w:pStyle w:val="Normal"/>
        <w:ind w:left="10620" w:hanging="0"/>
        <w:rPr>
          <w:sz w:val="18"/>
          <w:szCs w:val="18"/>
        </w:rPr>
      </w:pPr>
      <w:r>
        <w:rPr>
          <w:sz w:val="16"/>
          <w:szCs w:val="16"/>
        </w:rPr>
        <w:t>oświadczeń woli w imieniu Wykonawcy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false"/>
  <w:compat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pl-PL" w:eastAsia="pl-PL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nhideWhenUsed="0"/>
    <w:lsdException w:name="Body Text" w:unhideWhenUsed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35d4f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ar-SA" w:val="pl-PL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character" w:styleId="BodyTextChar" w:customStyle="1">
    <w:name w:val="Body Text Char"/>
    <w:basedOn w:val="DefaultParagraphFont"/>
    <w:link w:val="BodyText"/>
    <w:uiPriority w:val="99"/>
    <w:qFormat/>
    <w:rsid w:val="005c4b5d"/>
    <w:rPr>
      <w:rFonts w:ascii="Times New Roman" w:hAnsi="Times New Roman" w:cs="Times New Roman"/>
      <w:sz w:val="20"/>
      <w:szCs w:val="20"/>
      <w:lang w:eastAsia="ar-SA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BodyTextChar"/>
    <w:uiPriority w:val="99"/>
    <w:rsid w:val="005c4b5d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agwek51" w:customStyle="1">
    <w:name w:val="Nagłówek 51"/>
    <w:next w:val="Normal"/>
    <w:uiPriority w:val="99"/>
    <w:qFormat/>
    <w:rsid w:val="008d790c"/>
    <w:pPr>
      <w:widowControl w:val="false"/>
      <w:suppressAutoHyphens w:val="true"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eastAsia="en-US" w:val="pl-PL" w:bidi="ar-SA"/>
    </w:rPr>
  </w:style>
  <w:style w:type="paragraph" w:styleId="WWheader11" w:customStyle="1">
    <w:name w:val="WW-header11"/>
    <w:basedOn w:val="Normal"/>
    <w:next w:val="Tretekstu"/>
    <w:uiPriority w:val="99"/>
    <w:qFormat/>
    <w:rsid w:val="005c4b5d"/>
    <w:pPr>
      <w:keepNext w:val="true"/>
      <w:spacing w:before="240" w:after="120"/>
    </w:pPr>
    <w:rPr>
      <w:rFonts w:ascii="Arial" w:hAnsi="Arial" w:eastAsia="MS Mincho" w:cs="Arial"/>
      <w:sz w:val="28"/>
      <w:szCs w:val="28"/>
    </w:rPr>
  </w:style>
  <w:style w:type="paragraph" w:styleId="Zawartotabeli" w:customStyle="1">
    <w:name w:val="Zawartość tabeli"/>
    <w:basedOn w:val="Normal"/>
    <w:uiPriority w:val="99"/>
    <w:qFormat/>
    <w:rsid w:val="00937e56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8d790c"/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</TotalTime>
  <Application>LibreOffice/6.2.4.2$Windows_X86_64 LibreOffice_project/2412653d852ce75f65fbfa83fb7e7b669a126d64</Application>
  <Pages>5</Pages>
  <Words>738</Words>
  <Characters>4714</Characters>
  <CharactersWithSpaces>5293</CharactersWithSpaces>
  <Paragraphs>220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2022-03-23T10:13:00Z</dcterms:created>
  <dc:creator>user</dc:creator>
  <dc:description/>
  <dc:language>pl-PL</dc:language>
  <cp:lastModifiedBy/>
  <cp:lastPrinted>2022-04-20T08:18:19Z</cp:lastPrinted>
  <dcterms:modified xsi:type="dcterms:W3CDTF">2022-04-20T08:18:25Z</dcterms:modified>
  <cp:revision>12</cp:revision>
  <dc:subject/>
  <dc:title>DZIERŻAWA AUTOMATYCZNEGO SYSTEMU DO IDENTYFIKACJI I LEKOWRAŻLIWOŚCI DROBNOUSTROJÓW WRAZ Z ODCZYNNIKAMI I VORTEXEM W OKRESIE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