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B9C" w:rsidRPr="00640B9C" w:rsidRDefault="00640B9C" w:rsidP="00640B9C">
      <w:pPr>
        <w:shd w:val="clear" w:color="auto" w:fill="FFFFFF"/>
        <w:tabs>
          <w:tab w:val="left" w:pos="708"/>
        </w:tabs>
        <w:suppressAutoHyphens/>
        <w:spacing w:after="0" w:line="360" w:lineRule="auto"/>
        <w:ind w:left="4956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8"/>
          <w:szCs w:val="28"/>
          <w:lang w:eastAsia="pl-PL"/>
        </w:rPr>
        <w:t xml:space="preserve"> 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8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640B9C" w:rsidRPr="00640B9C" w:rsidRDefault="00640B9C" w:rsidP="00640B9C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  <w:r w:rsidRPr="00640B9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Wykaz narzędzi, wyposażenia zakładu i urządzeń technicznych – miejsce do parkowania</w:t>
      </w:r>
    </w:p>
    <w:p w:rsidR="00640B9C" w:rsidRPr="00640B9C" w:rsidRDefault="00640B9C" w:rsidP="00640B9C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640B9C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Wykonawca ubiegający się o świadczenie usług musi posiadać:</w:t>
      </w:r>
    </w:p>
    <w:p w:rsidR="00640B9C" w:rsidRPr="00640B9C" w:rsidRDefault="00640B9C" w:rsidP="008F346C">
      <w:pPr>
        <w:widowControl w:val="0"/>
        <w:spacing w:after="0" w:line="360" w:lineRule="auto"/>
        <w:ind w:left="284"/>
        <w:rPr>
          <w:rFonts w:ascii="Arial" w:eastAsia="Times New Roman" w:hAnsi="Arial" w:cs="Arial"/>
          <w:iCs/>
          <w:snapToGrid w:val="0"/>
          <w:sz w:val="24"/>
          <w:szCs w:val="24"/>
          <w:u w:val="double"/>
          <w:lang w:eastAsia="pl-PL"/>
        </w:rPr>
      </w:pPr>
    </w:p>
    <w:p w:rsidR="00B64FE3" w:rsidRDefault="00B64FE3" w:rsidP="008F346C">
      <w:pPr>
        <w:widowControl w:val="0"/>
        <w:suppressAutoHyphens/>
        <w:spacing w:after="0" w:line="360" w:lineRule="auto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1.</w:t>
      </w:r>
      <w:r w:rsidR="00640B9C" w:rsidRPr="00B64FE3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Parking zlokalizowany na terenie miasta </w:t>
      </w:r>
      <w:r w:rsidR="00D63C28" w:rsidRPr="00B64FE3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LĘBORKA</w:t>
      </w:r>
      <w:r w:rsidR="00640B9C" w:rsidRPr="00B64FE3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 xml:space="preserve"> </w:t>
      </w:r>
      <w:r w:rsidR="00640B9C" w:rsidRPr="00B64FE3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lub </w:t>
      </w:r>
      <w:r w:rsidR="00640B9C" w:rsidRPr="00B64FE3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okolic</w:t>
      </w:r>
      <w:r w:rsidR="00640B9C" w:rsidRPr="00B64FE3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. Zamawiający dopuszcza możliwość na dzień składania ofert złożenie umów przedwstępnych na planowane lokalizacje z okresem obowiązywania umów podstawowych na okres dwóch lat . </w:t>
      </w:r>
    </w:p>
    <w:p w:rsidR="00B64FE3" w:rsidRPr="00B64FE3" w:rsidRDefault="00B64FE3" w:rsidP="008F346C">
      <w:pPr>
        <w:widowControl w:val="0"/>
        <w:suppressAutoHyphens/>
        <w:spacing w:after="0" w:line="360" w:lineRule="auto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B64FE3" w:rsidRDefault="00B64FE3" w:rsidP="008F346C">
      <w:p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Pr="00B64FE3">
        <w:rPr>
          <w:rFonts w:ascii="Arial" w:hAnsi="Arial" w:cs="Arial"/>
          <w:sz w:val="24"/>
          <w:szCs w:val="24"/>
        </w:rPr>
        <w:t>Wykonawca posiada suche pomieszczenie garażowe, oświetlone z możliwością ogrzewania  z podnośnikiem do podnoszenia całego pojazdu lub z kanałem o powierzchni umożliwiającej prowadzenie badań pojazdu do 3,5 tony lub pojazdu powyżej 3,5 tony, przy otwartych wszystkich drzwiach, z możliwością swobodnego przemieszczania się wokół pojazdu, dostępu od spodu do podwozia oraz możliwością zaciemnienia pomieszczenia.</w:t>
      </w:r>
    </w:p>
    <w:p w:rsidR="00B64FE3" w:rsidRPr="00B64FE3" w:rsidRDefault="00B64FE3" w:rsidP="008F346C">
      <w:p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:rsidR="00B64FE3" w:rsidRDefault="00B64FE3" w:rsidP="008F346C">
      <w:p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Pr="00B64FE3">
        <w:rPr>
          <w:rFonts w:ascii="Arial" w:hAnsi="Arial" w:cs="Arial"/>
          <w:sz w:val="24"/>
          <w:szCs w:val="24"/>
        </w:rPr>
        <w:t xml:space="preserve">Wykonawca oświadcza, że teren parkingu jest ogrodzony, a w jego rejonie znajduje się plac utwardzony betonem, asfaltem, płytami lub kostką betonową o powierzchni co najmniej 5 x 10 metrów aby możliwa była realizacja badań pojazdów    w sytuacji użycia podnośników, stojaków itp. </w:t>
      </w:r>
    </w:p>
    <w:p w:rsidR="00B64FE3" w:rsidRPr="00B64FE3" w:rsidRDefault="00B64FE3" w:rsidP="008F346C">
      <w:p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:rsidR="00B64FE3" w:rsidRDefault="00B64FE3" w:rsidP="008F346C">
      <w:p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Pr="00B64FE3">
        <w:rPr>
          <w:rFonts w:ascii="Arial" w:hAnsi="Arial" w:cs="Arial"/>
          <w:sz w:val="24"/>
          <w:szCs w:val="24"/>
        </w:rPr>
        <w:t>Wykonawca zabezpieczy przed wpływem czynników atmosferycznych uszkodzone pojazdy oraz części i akcesoria pojazdów mechanicznych.</w:t>
      </w:r>
    </w:p>
    <w:p w:rsidR="002B2A18" w:rsidRDefault="002B2A18" w:rsidP="00B64FE3">
      <w:p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:rsidR="002B2A18" w:rsidRDefault="002B2A18" w:rsidP="00B64FE3">
      <w:p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:rsidR="00B64FE3" w:rsidRPr="00B64FE3" w:rsidRDefault="00B64FE3" w:rsidP="00B64FE3">
      <w:p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5. </w:t>
      </w:r>
      <w:r w:rsidRPr="00B64FE3">
        <w:rPr>
          <w:rFonts w:ascii="Arial" w:hAnsi="Arial" w:cs="Arial"/>
          <w:sz w:val="24"/>
          <w:szCs w:val="24"/>
        </w:rPr>
        <w:t xml:space="preserve">Wykonawca zobowiązuje się do prowadzenia ewidencji zabezpieczonych i wydanych pojazdów oraz części i akcesoriów mechanicznych, a także w każdej chwili na żądanie upoważnionych przedstawicieli do podania: ilości, marek, typów i numerów przechowywanych pojazdów oraz części i akcesoriów pojazdów mechanicznych. </w:t>
      </w:r>
    </w:p>
    <w:p w:rsidR="00B64FE3" w:rsidRPr="00B64FE3" w:rsidRDefault="00B64FE3" w:rsidP="00B64FE3">
      <w:pPr>
        <w:rPr>
          <w:sz w:val="24"/>
          <w:szCs w:val="24"/>
        </w:rPr>
      </w:pPr>
    </w:p>
    <w:p w:rsidR="00DA5FD9" w:rsidRDefault="00DA5FD9" w:rsidP="00DA5FD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6.Specjalistyczny sprzęt do świadczenia usług holowania i parkowania:</w:t>
      </w:r>
      <w:r w:rsidR="00AE4FC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</w:p>
    <w:p w:rsidR="00DA5FD9" w:rsidRDefault="00DA5FD9" w:rsidP="00DA5FD9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możliwość transportowania motocykli oraz pojazdów o dopuszczalnej masie całkowitej do 3,5t,</w:t>
      </w:r>
    </w:p>
    <w:p w:rsidR="00DA5FD9" w:rsidRDefault="00DA5FD9" w:rsidP="00DA5FD9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możliwość transportowania pojazdów co dopuszczalnej masie całkowitej powyżej 3,5t oraz autobusów,</w:t>
      </w:r>
    </w:p>
    <w:p w:rsidR="00DA5FD9" w:rsidRPr="00770635" w:rsidRDefault="00DA5FD9" w:rsidP="00DA5FD9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sprzęt do przemieszczania pojazdu /głównie powypadkowego/ z miejsca parkowania na wyznaczone utwardzone miejsce badań</w:t>
      </w:r>
    </w:p>
    <w:p w:rsidR="00770635" w:rsidRDefault="00770635" w:rsidP="00770635">
      <w:pPr>
        <w:widowControl w:val="0"/>
        <w:suppressAutoHyphens/>
        <w:spacing w:after="0" w:line="360" w:lineRule="auto"/>
        <w:ind w:left="1004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640B9C" w:rsidRPr="00770635" w:rsidRDefault="00DA5FD9" w:rsidP="006A1164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7.Zamawiający dopuszcza przedstawienie przez Wykonawcę umów przedwstępnych na wynajem ww. sprzętu.</w:t>
      </w:r>
    </w:p>
    <w:p w:rsidR="00640B9C" w:rsidRPr="00640B9C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  <w:t xml:space="preserve">Spełnienie </w:t>
      </w:r>
      <w:r w:rsidR="00770635"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  <w:t xml:space="preserve">ww. </w:t>
      </w:r>
      <w:r w:rsidRPr="00640B9C"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  <w:t>wymogów należy przedstawić w formie opisowej. Zamawiający może dokonać wizji lokalnej parkingu wraz z zapleczem.</w:t>
      </w: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6A116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40B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</w:t>
      </w:r>
      <w:r w:rsidRPr="00640B9C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       </w:t>
      </w: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640B9C">
      <w:pPr>
        <w:spacing w:after="0" w:line="240" w:lineRule="auto"/>
        <w:rPr>
          <w:rFonts w:ascii="Arial" w:eastAsia="Calibri" w:hAnsi="Arial" w:cs="Arial"/>
          <w:b/>
          <w:color w:val="FF0000"/>
          <w:sz w:val="20"/>
          <w:szCs w:val="20"/>
        </w:rPr>
      </w:pPr>
      <w:r w:rsidRPr="00640B9C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640B9C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:rsidR="00640B9C" w:rsidRPr="00640B9C" w:rsidRDefault="00640B9C" w:rsidP="00640B9C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 w:rsidRPr="00640B9C"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640B9C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 osoby uprawnionej do składania oświadczeń woli w imieniu Wykonawcy</w:t>
      </w:r>
    </w:p>
    <w:p w:rsidR="00640B9C" w:rsidRPr="00640B9C" w:rsidRDefault="00640B9C" w:rsidP="00640B9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240"/>
        <w:ind w:right="-53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240"/>
        <w:ind w:right="-53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40B9C" w:rsidRPr="00640B9C" w:rsidRDefault="00640B9C" w:rsidP="00640B9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0B9C" w:rsidRPr="00640B9C" w:rsidRDefault="00640B9C" w:rsidP="00640B9C">
      <w:pPr>
        <w:spacing w:after="0" w:line="240" w:lineRule="auto"/>
        <w:ind w:left="655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76C21" w:rsidRDefault="001C7C0E"/>
    <w:sectPr w:rsidR="00F76C21" w:rsidSect="002E07FF">
      <w:headerReference w:type="default" r:id="rId7"/>
      <w:pgSz w:w="16838" w:h="11906" w:orient="landscape"/>
      <w:pgMar w:top="1418" w:right="153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C0E" w:rsidRDefault="001C7C0E" w:rsidP="00B025F9">
      <w:pPr>
        <w:spacing w:after="0" w:line="240" w:lineRule="auto"/>
      </w:pPr>
      <w:r>
        <w:separator/>
      </w:r>
    </w:p>
  </w:endnote>
  <w:endnote w:type="continuationSeparator" w:id="0">
    <w:p w:rsidR="001C7C0E" w:rsidRDefault="001C7C0E" w:rsidP="00B02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C0E" w:rsidRDefault="001C7C0E" w:rsidP="00B025F9">
      <w:pPr>
        <w:spacing w:after="0" w:line="240" w:lineRule="auto"/>
      </w:pPr>
      <w:r>
        <w:separator/>
      </w:r>
    </w:p>
  </w:footnote>
  <w:footnote w:type="continuationSeparator" w:id="0">
    <w:p w:rsidR="001C7C0E" w:rsidRDefault="001C7C0E" w:rsidP="00B02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989" w:rsidRDefault="00FE0BAB" w:rsidP="004B2989">
    <w:pPr>
      <w:shd w:val="clear" w:color="auto" w:fill="FFFFFF"/>
      <w:tabs>
        <w:tab w:val="left" w:pos="708"/>
      </w:tabs>
      <w:suppressAutoHyphens/>
      <w:spacing w:line="360" w:lineRule="auto"/>
      <w:jc w:val="both"/>
      <w:rPr>
        <w:rFonts w:ascii="Arial" w:hAnsi="Arial" w:cs="Arial"/>
        <w:color w:val="212529"/>
      </w:rPr>
    </w:pPr>
    <w:r>
      <w:rPr>
        <w:rFonts w:ascii="Arial" w:hAnsi="Arial" w:cs="Arial"/>
        <w:color w:val="212529"/>
      </w:rPr>
      <w:t>Postępowanie nr</w:t>
    </w:r>
    <w:r w:rsidR="00BC14A8">
      <w:rPr>
        <w:rFonts w:ascii="Arial" w:hAnsi="Arial" w:cs="Arial"/>
        <w:color w:val="212529"/>
      </w:rPr>
      <w:t xml:space="preserve"> 17</w:t>
    </w:r>
    <w:r>
      <w:rPr>
        <w:rFonts w:ascii="Arial" w:hAnsi="Arial" w:cs="Arial"/>
        <w:color w:val="212529"/>
      </w:rPr>
      <w:t xml:space="preserve"> /2023</w:t>
    </w:r>
  </w:p>
  <w:p w:rsidR="004B2989" w:rsidRDefault="001C7C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E65E5"/>
    <w:multiLevelType w:val="hybridMultilevel"/>
    <w:tmpl w:val="8DA4580A"/>
    <w:lvl w:ilvl="0" w:tplc="5CEE78D8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2D278B1"/>
    <w:multiLevelType w:val="hybridMultilevel"/>
    <w:tmpl w:val="123CF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D2AF6"/>
    <w:multiLevelType w:val="hybridMultilevel"/>
    <w:tmpl w:val="E3A01C06"/>
    <w:lvl w:ilvl="0" w:tplc="DFA66180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45B"/>
    <w:rsid w:val="00122059"/>
    <w:rsid w:val="001C7C0E"/>
    <w:rsid w:val="001F03D1"/>
    <w:rsid w:val="002B2A18"/>
    <w:rsid w:val="002E2243"/>
    <w:rsid w:val="002E2B53"/>
    <w:rsid w:val="00533E91"/>
    <w:rsid w:val="00640B9C"/>
    <w:rsid w:val="00675932"/>
    <w:rsid w:val="006A1164"/>
    <w:rsid w:val="00734AF7"/>
    <w:rsid w:val="00770635"/>
    <w:rsid w:val="007B0AC4"/>
    <w:rsid w:val="008F346C"/>
    <w:rsid w:val="00AE4FCC"/>
    <w:rsid w:val="00B025F9"/>
    <w:rsid w:val="00B64FE3"/>
    <w:rsid w:val="00BC14A8"/>
    <w:rsid w:val="00C02A08"/>
    <w:rsid w:val="00CC73EA"/>
    <w:rsid w:val="00D5641B"/>
    <w:rsid w:val="00D63C28"/>
    <w:rsid w:val="00D9045B"/>
    <w:rsid w:val="00DA5FD9"/>
    <w:rsid w:val="00E07BF0"/>
    <w:rsid w:val="00E41008"/>
    <w:rsid w:val="00ED7ED8"/>
    <w:rsid w:val="00FE0BAB"/>
    <w:rsid w:val="00FE3048"/>
    <w:rsid w:val="00FF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FA1FD4-FA08-43BE-BAA7-3571E5DD2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0B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40B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2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5F9"/>
  </w:style>
  <w:style w:type="paragraph" w:styleId="Akapitzlist">
    <w:name w:val="List Paragraph"/>
    <w:basedOn w:val="Normalny"/>
    <w:uiPriority w:val="34"/>
    <w:qFormat/>
    <w:rsid w:val="00B64F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79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cp:lastPrinted>2023-06-27T08:11:00Z</cp:lastPrinted>
  <dcterms:created xsi:type="dcterms:W3CDTF">2023-06-27T09:12:00Z</dcterms:created>
  <dcterms:modified xsi:type="dcterms:W3CDTF">2023-06-27T09:12:00Z</dcterms:modified>
</cp:coreProperties>
</file>