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EEDF9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14:paraId="07C7CF89" w14:textId="372AB0AD" w:rsidR="00A0010F" w:rsidRPr="004F7933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E11D7" w:rsidRPr="00DE11D7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DE11D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</w:t>
      </w:r>
      <w:proofErr w:type="spellStart"/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obr</w:t>
      </w:r>
      <w:proofErr w:type="spellEnd"/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 79 w Tarnowie” (PN/65/2024/D)</w:t>
      </w:r>
      <w:r w:rsidR="00F1179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17716867" w14:textId="77777777" w:rsidR="00F1179E" w:rsidRDefault="00F1179E" w:rsidP="005E1300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F1179E" w:rsidRPr="00A0010F" w14:paraId="326580B9" w14:textId="77777777" w:rsidTr="00F1179E">
        <w:trPr>
          <w:trHeight w:val="65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BF02A5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D55BDE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322B17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ABEA39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455085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2EC08E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9DD0F1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F1179E" w:rsidRPr="00A0010F" w14:paraId="063A3DAE" w14:textId="77777777" w:rsidTr="00F1179E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0482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E1E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E82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392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59C8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D28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6A7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1179E" w:rsidRPr="00A0010F" w14:paraId="0ACBC2E3" w14:textId="77777777" w:rsidTr="00F1179E">
        <w:trPr>
          <w:trHeight w:val="26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D2E" w14:textId="77777777"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896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Zespół kolektorów słonecznych, którego  w skład wchodzi:</w:t>
            </w:r>
          </w:p>
          <w:p w14:paraId="4FD8B088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Kolektor słoneczny płaski, 2m², typ KS2600F TLP ACR,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100 szt.</w:t>
            </w:r>
          </w:p>
          <w:p w14:paraId="46F93A88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montażowe i pomocnicze:</w:t>
            </w:r>
          </w:p>
          <w:p w14:paraId="6247472D" w14:textId="5E4D0428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obudowa czujnika: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 szt.</w:t>
            </w:r>
          </w:p>
          <w:p w14:paraId="63826608" w14:textId="2C449676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korek 3/4: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40 szt.</w:t>
            </w:r>
          </w:p>
          <w:p w14:paraId="1C913533" w14:textId="6DF81E3D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przyłącze elastyczne 0.3m: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10szt.</w:t>
            </w:r>
          </w:p>
          <w:p w14:paraId="09B29569" w14:textId="07ACAD7A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</w:t>
            </w:r>
            <w:r w:rsidR="008C6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erownik swobodnie programowalny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 szt.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:</w:t>
            </w:r>
          </w:p>
          <w:p w14:paraId="231A933F" w14:textId="41077F55" w:rsidR="004F7933" w:rsidRPr="004F7933" w:rsidRDefault="001610DC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F7933"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z oprogramowaniem dostawcy kolektorów słonecznych</w:t>
            </w:r>
          </w:p>
          <w:p w14:paraId="4D8F90E8" w14:textId="62AD00EB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współpraca z systemem nadrzędnym MPEC</w:t>
            </w:r>
          </w:p>
          <w:p w14:paraId="17B6F6E4" w14:textId="75325DE0" w:rsidR="004F7933" w:rsidRPr="004F7933" w:rsidRDefault="001610DC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F7933"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praca letnia, równoległa</w:t>
            </w:r>
          </w:p>
          <w:p w14:paraId="612A3DCD" w14:textId="0C4DF10E" w:rsidR="004F7933" w:rsidRPr="004F7933" w:rsidRDefault="001610DC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F7933"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praca zimowa, grzanie powrotu </w:t>
            </w:r>
          </w:p>
          <w:p w14:paraId="2C91CB6C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Czujnik temperatury zanurzeniowy,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 szt.</w:t>
            </w:r>
          </w:p>
          <w:p w14:paraId="7035C1ED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Rotametr, wskaźnik przepływu z nastawą, V= 4-16 l/min, Dn25,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14:paraId="595D9D2D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Zawór kulowy, gwintowany do odpowietrzenia, Dn20,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14:paraId="7763BFC1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Zawór odpowietrzający automatyczny, Dn15,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14:paraId="48C04B58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Elementy montażowe, konstrukcja wsporcza wg poniższego opisu w UWAGACH (10 sekcji po 10 szt. kolektorów)  -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14174F1B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do instalacji solarnych,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szybkozłączka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SU1”,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typ DSV 200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pwst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=1,0bar, V= 200 dm3, dodatkowo montować śrubunek, PN6,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6781547D" w14:textId="5D427402" w:rsidR="00F1179E" w:rsidRPr="00771D66" w:rsidRDefault="004F7933" w:rsidP="004F79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Producent HEWALEX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332C" w14:textId="77777777" w:rsidR="00F1179E" w:rsidRPr="001E003F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12E" w14:textId="77777777" w:rsidR="00F1179E" w:rsidRPr="00771D66" w:rsidRDefault="003A62EC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F1179E"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BE4B" w14:textId="77777777" w:rsidR="00F1179E" w:rsidRPr="00771D66" w:rsidRDefault="003A62EC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2003" w14:textId="77777777"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C19F" w14:textId="77777777"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60034F0" w14:textId="77777777" w:rsidR="00317080" w:rsidRDefault="00317080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3EEF88BC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UWAGI:</w:t>
      </w:r>
    </w:p>
    <w:p w14:paraId="065D7A5A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Podstawowe parametry pojedynczego kolektora słonecznego:</w:t>
      </w:r>
    </w:p>
    <w:p w14:paraId="4B2B914E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typ kolektora słonecznego: płaski</w:t>
      </w:r>
    </w:p>
    <w:p w14:paraId="61724988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powierzchnia całkowita: 2,06 m²</w:t>
      </w:r>
    </w:p>
    <w:p w14:paraId="787BCB55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wymiary: 2.022 x 1.019 x 0.090 m</w:t>
      </w:r>
    </w:p>
    <w:p w14:paraId="40346F6B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pojemność: 0.85 dm3</w:t>
      </w:r>
    </w:p>
    <w:p w14:paraId="36A3394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ciśnienie robocze: 10 bar</w:t>
      </w:r>
    </w:p>
    <w:p w14:paraId="089EF187" w14:textId="0DD92386" w:rsidR="004F7933" w:rsidRPr="00987640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czynnik: wodny roztwór glikolu propylenowego 45%</w:t>
      </w:r>
    </w:p>
    <w:p w14:paraId="54A481E3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Podstawowe parametry instalacji kolektorów:</w:t>
      </w:r>
    </w:p>
    <w:p w14:paraId="4617C3F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Wszystkie niżej wymagane parametry instalacji kolektorów słonecznych należy potwierdzić załącznikiem do certyfikatu Solar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Keymark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lub równoważnym dokumentem.</w:t>
      </w:r>
    </w:p>
    <w:p w14:paraId="18C6E202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Moc maksymalna instalacji, nie mniej niż: 205 kW (przy G = 1000 W/m² oraz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-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0 K)</w:t>
      </w:r>
    </w:p>
    <w:p w14:paraId="20D92E6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Nominalna moc jednostkowa kolektora (przy G = 1000 W/m2 oraz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-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0 K) nie mniej niż: 2 kW</w:t>
      </w:r>
    </w:p>
    <w:p w14:paraId="46D72BA5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lastRenderedPageBreak/>
        <w:t xml:space="preserve">- Roczna wydajność kolektora przy średniej temperaturze płynu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75°C, na podstawie wyników badań dla referencyjnego miasta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Würzburg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, nie mniej niż: 320 kWh/m²</w:t>
      </w:r>
    </w:p>
    <w:p w14:paraId="47B2322E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Maksymalna dopuszczalna temperatura pracy, nie mniej niż: 200 °C</w:t>
      </w:r>
    </w:p>
    <w:p w14:paraId="1A3BF55E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Maksymalne dopuszczalne ciśnienie pracy, nie mniej niż: 1000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kPa</w:t>
      </w:r>
      <w:proofErr w:type="spellEnd"/>
    </w:p>
    <w:p w14:paraId="0940C4C9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zbadane obciążenie dodatnie, nie mniej niż: 2400 Pa</w:t>
      </w:r>
    </w:p>
    <w:p w14:paraId="14C9F7E3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zbadane obciążenie ujemne, nie mniej niż: 2400 Pa</w:t>
      </w:r>
    </w:p>
    <w:p w14:paraId="23378107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Odporność na gradobicie wg PN-EN ISO 9806, przy użyciu kulek lodowych o średnicy nie mniejszej niż 45 mm</w:t>
      </w:r>
    </w:p>
    <w:p w14:paraId="5EBE7C8A" w14:textId="2A049BC8" w:rsidR="004F7933" w:rsidRPr="00987640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Układ absorbera typu harfa lub meander, każdorazowo z czterema króćcami umożliwiający samoczynne opróżnianie się kolektorów z czynnika roboczego w przypadku braku odbioru ciepła.</w:t>
      </w:r>
    </w:p>
    <w:p w14:paraId="4CBCA86D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Konstrukcja wsporcza do montażu kolektorów </w:t>
      </w:r>
    </w:p>
    <w:p w14:paraId="7C9645D2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Należy zastosować konstrukcje wykonane z aluminium, stali nierdzewnej lub stali ocynkowanej.</w:t>
      </w:r>
    </w:p>
    <w:p w14:paraId="2C017C88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Elementy rozłączne i ich części, tj. śruby nakrętki, podkładki, itp. mają być wykonane ze stali nierdzewnej.</w:t>
      </w:r>
    </w:p>
    <w:p w14:paraId="0AFDB777" w14:textId="1C2DF45F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Konstrukcje ustawiane na gruncie mają umożliwić zapewnienie dystansu, przynajmniej 50 cm, pomiędzy dolną krawędzią kolektorów a poziomem terenu.</w:t>
      </w:r>
    </w:p>
    <w:p w14:paraId="4273FBC4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Osprzęt kolektorów i orurowanie</w:t>
      </w:r>
    </w:p>
    <w:p w14:paraId="768E5622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Do łączenia kolektorów między sobą należy zastosować zestawy przyłączeniowe przewidziane przez producenta kolektorów słonecznych, zawierające m.in. elementy połączeniowe kolektorów, posiadające funkcję kompensacji wydłużeń cieplnych orurowania absorbera. Kolektory łączone w baterie o maksymalnej liczbie kolektorów 10 szt.</w:t>
      </w:r>
    </w:p>
    <w:p w14:paraId="4D8B3E94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Każda bateria kolektorów powinna być wyposażona w odpowietrznik ręczny lub automatyczny z możliwością odcięcia go zaworem kulowym.</w:t>
      </w:r>
    </w:p>
    <w:p w14:paraId="71EC80B7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 wlocie do każdej baterii kolektorów należy zamontować regulator przepływu z bezpośrednim odczytem wartości natężenia przepływu w zakresie od 4 do 16 l/min. Regulatory przepływu muszą być odporne na temperaturę czynnika do 130 °C.</w:t>
      </w:r>
    </w:p>
    <w:p w14:paraId="1912DB3A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Przyłącze każdej baterii kolektorów należy wykonać z rur elastycznych ze stali nierdzewnej. Długość przyłącza każdej baterii ok. 1,0m, do instalacji obiegu solarnego w układzie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Tichellmana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którą wykonuje Zamawiający. Włączenie do rury stalowej </w:t>
      </w:r>
      <w:r w:rsidRPr="004F7933">
        <w:rPr>
          <w:rFonts w:ascii="Arial" w:eastAsia="Calibri" w:hAnsi="Arial" w:cs="Calibri"/>
          <w:color w:val="000000"/>
          <w:sz w:val="24"/>
          <w:szCs w:val="24"/>
          <w:lang w:eastAsia="zh-CN"/>
        </w:rPr>
        <w:t>ø</w:t>
      </w: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26.9x2.6..Średnice rur obiegu glikolowego dobrać na przepływ nominalny 25 l/h*m2 (powierzchnia robocza kolektora)</w:t>
      </w:r>
    </w:p>
    <w:p w14:paraId="03710588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Wszystkie rury obiegu glikolowego powinny być zaizolowane cieplnie oraz zabezpieczone przed uszkodzeniami mechanicznymi. </w:t>
      </w:r>
    </w:p>
    <w:p w14:paraId="21EDF47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Rury, w szczególności izolacja, prowadzone na zewnątrz powinny być dodatkowo odporne na szkodliwe działanie promieniowania UV.</w:t>
      </w:r>
    </w:p>
    <w:p w14:paraId="40C9678E" w14:textId="77777777" w:rsidR="004F7933" w:rsidRPr="004F7933" w:rsidRDefault="004F7933" w:rsidP="004F7933">
      <w:pPr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 obiegu glikolowym należy zamontować zawory spustowe umożliwiające sprawne napełnienie i odpowietrzenie instalacji.</w:t>
      </w:r>
    </w:p>
    <w:p w14:paraId="06C82376" w14:textId="77777777" w:rsidR="00DE253C" w:rsidRDefault="00DE253C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0FBB70E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3AA3BBA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19F4BFD2" w14:textId="77777777" w:rsidR="001929BE" w:rsidRDefault="00F55A54" w:rsidP="001929BE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4FDEAC7" w14:textId="44914D51" w:rsidR="001929BE" w:rsidRPr="001929BE" w:rsidRDefault="001929BE" w:rsidP="001929B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929BE">
        <w:rPr>
          <w:rFonts w:cs="Calibri"/>
          <w:sz w:val="24"/>
          <w:szCs w:val="24"/>
        </w:rPr>
        <w:t>Oświadczamy, że cena oferty zawiera wszelkie koszty związane z wykonaniem przedmiotu zamówienia, w tym koszt transportu do magazynu Zamawiającego oraz koszty związane ze szkoleniem pracowników Zamawiającego w zakresie montażu i obsługi kolektorów słonecznych.</w:t>
      </w:r>
    </w:p>
    <w:p w14:paraId="3256B236" w14:textId="77777777"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42FFA160" w14:textId="77777777"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14:paraId="63DEBEF5" w14:textId="77777777"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7350AA19" w14:textId="77777777" w:rsidR="00AB2891" w:rsidRPr="00FD40CE" w:rsidRDefault="00F55A54" w:rsidP="00317080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</w:t>
      </w:r>
      <w:bookmarkStart w:id="0" w:name="_GoBack"/>
      <w:bookmarkEnd w:id="0"/>
      <w:r w:rsidRPr="0050795A">
        <w:rPr>
          <w:rFonts w:eastAsia="Calibri" w:cstheme="minorHAnsi"/>
          <w:sz w:val="24"/>
          <w:szCs w:val="24"/>
          <w:lang w:eastAsia="pl-PL"/>
        </w:rPr>
        <w:t>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14:paraId="789A6CE7" w14:textId="77777777" w:rsidR="009E2D48" w:rsidRPr="009E2D48" w:rsidRDefault="00F55A54" w:rsidP="00A1610D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</w:p>
    <w:p w14:paraId="4E91DCA2" w14:textId="77777777"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4CCA2006" w14:textId="77777777" w:rsidR="00113505" w:rsidRPr="00112F24" w:rsidRDefault="003B30FC" w:rsidP="009E2D48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013B529C" w14:textId="77777777"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5BDCE8A3" w14:textId="77777777"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1F042" w14:textId="77777777"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14:paraId="6953A754" w14:textId="77777777"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B3AA" w14:textId="77777777"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14:paraId="70EC29A3" w14:textId="77777777"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14:paraId="7F19B9B2" w14:textId="77777777"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F5EA43" w14:textId="77777777" w:rsidR="00E10553" w:rsidRDefault="00E10553">
      <w:pPr>
        <w:pStyle w:val="Tekstprzypisudolnego"/>
      </w:pPr>
    </w:p>
  </w:footnote>
  <w:footnote w:id="2">
    <w:p w14:paraId="2D28C4EA" w14:textId="77777777"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7576"/>
    <w:rsid w:val="000201FD"/>
    <w:rsid w:val="00021CE6"/>
    <w:rsid w:val="0002657C"/>
    <w:rsid w:val="00027959"/>
    <w:rsid w:val="00040989"/>
    <w:rsid w:val="00046F78"/>
    <w:rsid w:val="0005452B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2F24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10DC"/>
    <w:rsid w:val="001622C3"/>
    <w:rsid w:val="0016701D"/>
    <w:rsid w:val="0016717E"/>
    <w:rsid w:val="0017033D"/>
    <w:rsid w:val="001709F2"/>
    <w:rsid w:val="001839A6"/>
    <w:rsid w:val="0019177F"/>
    <w:rsid w:val="001929BE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17080"/>
    <w:rsid w:val="003213A0"/>
    <w:rsid w:val="0032275F"/>
    <w:rsid w:val="00332D4B"/>
    <w:rsid w:val="00340FD7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62EC"/>
    <w:rsid w:val="003B30FC"/>
    <w:rsid w:val="003B3F69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4F5568"/>
    <w:rsid w:val="004F7933"/>
    <w:rsid w:val="00502C68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D191F"/>
    <w:rsid w:val="005E1213"/>
    <w:rsid w:val="005E1300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19DA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16F2"/>
    <w:rsid w:val="00862B9B"/>
    <w:rsid w:val="00864D21"/>
    <w:rsid w:val="00872221"/>
    <w:rsid w:val="0088322C"/>
    <w:rsid w:val="00885DEB"/>
    <w:rsid w:val="00893E12"/>
    <w:rsid w:val="00894077"/>
    <w:rsid w:val="00897781"/>
    <w:rsid w:val="00897FF8"/>
    <w:rsid w:val="008C0257"/>
    <w:rsid w:val="008C04FB"/>
    <w:rsid w:val="008C48F6"/>
    <w:rsid w:val="008C61B9"/>
    <w:rsid w:val="008C6D13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87640"/>
    <w:rsid w:val="009B5D9C"/>
    <w:rsid w:val="009C2CE3"/>
    <w:rsid w:val="009C3A90"/>
    <w:rsid w:val="009C4BBA"/>
    <w:rsid w:val="009E1ADC"/>
    <w:rsid w:val="009E2D48"/>
    <w:rsid w:val="009E6039"/>
    <w:rsid w:val="009E7362"/>
    <w:rsid w:val="00A0010F"/>
    <w:rsid w:val="00A01026"/>
    <w:rsid w:val="00A11CBA"/>
    <w:rsid w:val="00A1610D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6C17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2FA0"/>
    <w:rsid w:val="00BA5A07"/>
    <w:rsid w:val="00BB2722"/>
    <w:rsid w:val="00BB4C0F"/>
    <w:rsid w:val="00BC4149"/>
    <w:rsid w:val="00BC605D"/>
    <w:rsid w:val="00BD25F9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C350C"/>
    <w:rsid w:val="00CD2DB5"/>
    <w:rsid w:val="00CE1FD9"/>
    <w:rsid w:val="00CE4CA7"/>
    <w:rsid w:val="00CF3DCD"/>
    <w:rsid w:val="00CF42A3"/>
    <w:rsid w:val="00CF462B"/>
    <w:rsid w:val="00CF6E99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5F77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53C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4012A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7C61"/>
    <w:rsid w:val="00F1179E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D40CE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11F3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77"/>
  </w:style>
  <w:style w:type="paragraph" w:styleId="Stopka">
    <w:name w:val="footer"/>
    <w:basedOn w:val="Normalny"/>
    <w:link w:val="Stopka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28AA-76B7-4D05-88FE-79C01583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2024-08-01T10:16:00Z</dcterms:modified>
</cp:coreProperties>
</file>