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2113" w14:textId="77777777" w:rsidR="00137AAD" w:rsidRPr="009E13AC" w:rsidRDefault="00137AAD" w:rsidP="00137AAD">
      <w:pPr>
        <w:pStyle w:val="Standard"/>
        <w:tabs>
          <w:tab w:val="center" w:pos="4535"/>
          <w:tab w:val="left" w:pos="6926"/>
        </w:tabs>
        <w:spacing w:line="240" w:lineRule="auto"/>
        <w:rPr>
          <w:sz w:val="20"/>
        </w:rPr>
      </w:pPr>
      <w:r w:rsidRPr="009E13AC">
        <w:rPr>
          <w:sz w:val="20"/>
        </w:rPr>
        <w:t xml:space="preserve">Przedmiot zamówienia: </w:t>
      </w:r>
    </w:p>
    <w:p w14:paraId="0342E2EA" w14:textId="7A8EEF0A" w:rsidR="008946F1" w:rsidRPr="009E13AC" w:rsidRDefault="00137AAD" w:rsidP="00A42A11">
      <w:pPr>
        <w:spacing w:before="60" w:after="0"/>
        <w:rPr>
          <w:rFonts w:cstheme="minorHAnsi"/>
          <w:b/>
          <w:bCs/>
        </w:rPr>
      </w:pPr>
      <w:r w:rsidRPr="009E13AC">
        <w:rPr>
          <w:rFonts w:ascii="Arial" w:hAnsi="Arial" w:cs="Arial"/>
          <w:b/>
          <w:sz w:val="20"/>
        </w:rPr>
        <w:t>Kompleksowa obsługa bankowa budżetu Gminy Dzierzgoń i jednostek organizacyjnych</w:t>
      </w:r>
      <w:r w:rsidR="00495B77" w:rsidRPr="00495B77">
        <w:rPr>
          <w:rFonts w:ascii="Arial" w:hAnsi="Arial" w:cs="Arial"/>
          <w:b/>
          <w:sz w:val="20"/>
        </w:rPr>
        <w:t xml:space="preserve"> - postępowanie 2</w:t>
      </w:r>
    </w:p>
    <w:p w14:paraId="11749E9B" w14:textId="77777777" w:rsidR="00AA0BAA" w:rsidRPr="009E13AC" w:rsidRDefault="00AA0BAA" w:rsidP="00BF6F66">
      <w:pPr>
        <w:jc w:val="center"/>
        <w:rPr>
          <w:rFonts w:cstheme="minorHAnsi"/>
          <w:b/>
          <w:bCs/>
        </w:rPr>
      </w:pPr>
    </w:p>
    <w:p w14:paraId="7A808A3C" w14:textId="19955899" w:rsidR="00290459" w:rsidRPr="009E13AC" w:rsidRDefault="00BF6F66" w:rsidP="00BF6F66">
      <w:pPr>
        <w:jc w:val="center"/>
        <w:rPr>
          <w:rFonts w:cstheme="minorHAnsi"/>
          <w:b/>
          <w:bCs/>
        </w:rPr>
      </w:pPr>
      <w:r w:rsidRPr="009E13AC">
        <w:rPr>
          <w:rFonts w:cstheme="minorHAnsi"/>
          <w:b/>
          <w:bCs/>
        </w:rPr>
        <w:t>Istotne postanowienia umowy</w:t>
      </w:r>
    </w:p>
    <w:p w14:paraId="515F2B94" w14:textId="77777777" w:rsidR="006D787D" w:rsidRPr="009E13AC" w:rsidRDefault="006D787D" w:rsidP="00BF6F66">
      <w:pPr>
        <w:jc w:val="center"/>
        <w:rPr>
          <w:rFonts w:cstheme="minorHAnsi"/>
          <w:b/>
          <w:bCs/>
        </w:rPr>
      </w:pPr>
    </w:p>
    <w:p w14:paraId="25452A17" w14:textId="352CC8FF" w:rsidR="004264A1" w:rsidRPr="009E13AC" w:rsidRDefault="006D787D" w:rsidP="00A36BC9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9E13AC">
        <w:rPr>
          <w:rFonts w:cstheme="minorHAnsi"/>
        </w:rPr>
        <w:t xml:space="preserve">Umowa w sprawie realizacji zamówienia publicznego zawarta zostanie z uwzględnieniem postanowień </w:t>
      </w:r>
      <w:r w:rsidR="009177AD" w:rsidRPr="009E13AC">
        <w:rPr>
          <w:rFonts w:cstheme="minorHAnsi"/>
        </w:rPr>
        <w:t>wynikający</w:t>
      </w:r>
      <w:r w:rsidRPr="009E13AC">
        <w:rPr>
          <w:rFonts w:cstheme="minorHAnsi"/>
        </w:rPr>
        <w:t xml:space="preserve"> z treści SWZ oraz danych zawartych w ofercie</w:t>
      </w:r>
      <w:r w:rsidR="00A36BC9" w:rsidRPr="009E13AC">
        <w:rPr>
          <w:rFonts w:cstheme="minorHAnsi"/>
        </w:rPr>
        <w:t xml:space="preserve">. </w:t>
      </w:r>
    </w:p>
    <w:p w14:paraId="71C45457" w14:textId="5E56D1E2" w:rsidR="00A36BC9" w:rsidRPr="009E13AC" w:rsidRDefault="00E31D27" w:rsidP="00A36BC9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9E13AC">
        <w:rPr>
          <w:rFonts w:cstheme="minorHAnsi"/>
        </w:rPr>
        <w:t>Wybrany w drodze postępowania w trybie podstawowym z możliwymi negocjacjami bank podpisze z każdą jednostką organizacyjną odrębną umowę, która jest wskazana w pkt 1.5 w opisie przedmiotu zamówienie tj. w Załączniku nr 1 do SWZ.</w:t>
      </w:r>
    </w:p>
    <w:p w14:paraId="2B46646A" w14:textId="3275A4FE" w:rsidR="00A36BC9" w:rsidRPr="009E13AC" w:rsidRDefault="00A36BC9" w:rsidP="00A36BC9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9E13AC">
        <w:rPr>
          <w:rFonts w:cstheme="minorHAnsi"/>
        </w:rPr>
        <w:t>W treści projektu umowy m.in. winien znaleźć się zapis, dotyczący wymogu opisanego w</w:t>
      </w:r>
      <w:r w:rsidR="00AA0BAA" w:rsidRPr="009E13AC">
        <w:rPr>
          <w:rFonts w:cstheme="minorHAnsi"/>
        </w:rPr>
        <w:t xml:space="preserve"> Rozdziale III pkt 9</w:t>
      </w:r>
      <w:r w:rsidRPr="009E13AC">
        <w:rPr>
          <w:rFonts w:cstheme="minorHAnsi"/>
        </w:rPr>
        <w:t xml:space="preserve"> SWZ tj. „Zamawiający ma prawo do skontrolowania Wykonawcy w przedmiotowym zakresie, wzywając go na piśmie do przekazania w wyznaczonym terminie informacji, o zatrudnieniu na podstawie umowy o pracę osób wykonujących wymienione powyżej czynności. W przypadku gdy Wykonawca nie dochowa w/w terminu, Zamawiający według swego wyboru, obciąży Wykonawcę karami umownymi na każdy dzień zwłoki w wysokości 0,1 % całkowitego wynagrodzenia brutto określonego w umowie o udzielenie zamówienia publicznego albo odstąpi od umowy po uprzednim pisemnym wezwaniu Wykonawcy do przedłożenia stosownych dokumentów </w:t>
      </w:r>
      <w:r w:rsidR="003E7BDB" w:rsidRPr="009E13AC">
        <w:rPr>
          <w:rFonts w:cstheme="minorHAnsi"/>
        </w:rPr>
        <w:br/>
      </w:r>
      <w:r w:rsidRPr="009E13AC">
        <w:rPr>
          <w:rFonts w:cstheme="minorHAnsi"/>
        </w:rPr>
        <w:t xml:space="preserve">w przedmiotowej kwestii. Stosowne zapisy regulujące opisany wymóg, winny znaleźć się w treści umowy na realizację zamówienia”. </w:t>
      </w:r>
    </w:p>
    <w:p w14:paraId="3A3A1DD6" w14:textId="77777777" w:rsidR="00A36BC9" w:rsidRPr="009E13AC" w:rsidRDefault="00A36BC9" w:rsidP="00A36BC9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9E13AC">
        <w:rPr>
          <w:rFonts w:cstheme="minorHAnsi"/>
        </w:rPr>
        <w:t xml:space="preserve">Projekt umowy opracowany z uwzględnieniem postanowień i warunków ustalonych w SWZ dołączy wykonawca </w:t>
      </w:r>
      <w:proofErr w:type="spellStart"/>
      <w:r w:rsidRPr="009E13AC">
        <w:rPr>
          <w:rFonts w:cstheme="minorHAnsi"/>
        </w:rPr>
        <w:t>tj</w:t>
      </w:r>
      <w:proofErr w:type="spellEnd"/>
      <w:r w:rsidRPr="009E13AC">
        <w:rPr>
          <w:rFonts w:cstheme="minorHAnsi"/>
        </w:rPr>
        <w:t xml:space="preserve">: </w:t>
      </w:r>
    </w:p>
    <w:p w14:paraId="3AAE4A06" w14:textId="44AF7ADC" w:rsidR="00E31D27" w:rsidRPr="009E13AC" w:rsidRDefault="00A36BC9" w:rsidP="00A36BC9">
      <w:pPr>
        <w:pStyle w:val="Akapitzlist"/>
        <w:numPr>
          <w:ilvl w:val="0"/>
          <w:numId w:val="6"/>
        </w:numPr>
        <w:tabs>
          <w:tab w:val="center" w:pos="4535"/>
          <w:tab w:val="left" w:pos="6926"/>
        </w:tabs>
        <w:spacing w:line="240" w:lineRule="auto"/>
        <w:ind w:left="360"/>
        <w:jc w:val="both"/>
        <w:rPr>
          <w:rFonts w:cstheme="minorHAnsi"/>
        </w:rPr>
      </w:pPr>
      <w:r w:rsidRPr="009E13AC">
        <w:rPr>
          <w:rFonts w:cstheme="minorHAnsi"/>
        </w:rPr>
        <w:t>Umowa zawarta jest na czas określony</w:t>
      </w:r>
      <w:r w:rsidR="00E31D27" w:rsidRPr="009E13AC">
        <w:rPr>
          <w:rFonts w:cstheme="minorHAnsi"/>
        </w:rPr>
        <w:t>: od dnia 01.09.2023 r. do dnia 31.12.202</w:t>
      </w:r>
      <w:r w:rsidR="006E06D4" w:rsidRPr="009E13AC">
        <w:rPr>
          <w:rFonts w:cstheme="minorHAnsi"/>
        </w:rPr>
        <w:t>6</w:t>
      </w:r>
      <w:r w:rsidR="00E31D27" w:rsidRPr="009E13AC">
        <w:rPr>
          <w:rFonts w:cstheme="minorHAnsi"/>
        </w:rPr>
        <w:t xml:space="preserve"> r. </w:t>
      </w:r>
    </w:p>
    <w:p w14:paraId="4BC39343" w14:textId="77777777" w:rsidR="003000ED" w:rsidRPr="009E13AC" w:rsidRDefault="00A36BC9" w:rsidP="003000ED">
      <w:pPr>
        <w:pStyle w:val="Akapitzlist"/>
        <w:numPr>
          <w:ilvl w:val="0"/>
          <w:numId w:val="6"/>
        </w:numPr>
        <w:tabs>
          <w:tab w:val="center" w:pos="4535"/>
          <w:tab w:val="left" w:pos="6926"/>
        </w:tabs>
        <w:spacing w:line="240" w:lineRule="auto"/>
        <w:ind w:left="360"/>
        <w:jc w:val="both"/>
        <w:rPr>
          <w:rFonts w:cstheme="minorHAnsi"/>
        </w:rPr>
      </w:pPr>
      <w:r w:rsidRPr="009E13AC">
        <w:rPr>
          <w:rFonts w:cstheme="minorHAnsi"/>
        </w:rPr>
        <w:t xml:space="preserve">Wybrany w drodze postępowania w trybie podstawowym z możliwymi negocjacjami bank podpisze z każdą jednostką organizacyjną odrębną umowę, która jest wskazana w pkt 1.5 opisu przedmiotu zamówienia. </w:t>
      </w:r>
    </w:p>
    <w:p w14:paraId="4728618A" w14:textId="7DF6109F" w:rsidR="00A36BC9" w:rsidRPr="009E13AC" w:rsidRDefault="00A36BC9" w:rsidP="003000ED">
      <w:pPr>
        <w:pStyle w:val="Akapitzlist"/>
        <w:numPr>
          <w:ilvl w:val="0"/>
          <w:numId w:val="2"/>
        </w:numPr>
        <w:tabs>
          <w:tab w:val="center" w:pos="4535"/>
          <w:tab w:val="left" w:pos="6926"/>
        </w:tabs>
        <w:spacing w:line="240" w:lineRule="auto"/>
        <w:jc w:val="both"/>
        <w:rPr>
          <w:rFonts w:cstheme="minorHAnsi"/>
        </w:rPr>
      </w:pPr>
      <w:r w:rsidRPr="009E13AC">
        <w:rPr>
          <w:rFonts w:cstheme="minorHAnsi"/>
        </w:rPr>
        <w:t>Kompleksowa obsługa bankowa obejmuje</w:t>
      </w:r>
    </w:p>
    <w:p w14:paraId="7332CFE9" w14:textId="77777777" w:rsidR="00A36BC9" w:rsidRPr="009E13AC" w:rsidRDefault="00A36BC9" w:rsidP="00A36BC9">
      <w:pPr>
        <w:pStyle w:val="Standard"/>
        <w:numPr>
          <w:ilvl w:val="0"/>
          <w:numId w:val="4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9E13AC">
        <w:rPr>
          <w:rFonts w:asciiTheme="minorHAnsi" w:hAnsiTheme="minorHAnsi" w:cstheme="minorHAnsi"/>
          <w:b/>
          <w:bCs/>
        </w:rPr>
        <w:t xml:space="preserve">Miesięczną obsługę bankową polegającą na: </w:t>
      </w:r>
    </w:p>
    <w:p w14:paraId="7F5F033E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otwarciu, prowadzeniu i likwidacji rachunków bankowych: bieżących, pomocniczych </w:t>
      </w:r>
      <w:r w:rsidRPr="009E13AC">
        <w:rPr>
          <w:rFonts w:asciiTheme="minorHAnsi" w:hAnsiTheme="minorHAnsi" w:cstheme="minorHAnsi"/>
        </w:rPr>
        <w:br/>
        <w:t>i wydzielonych – specjalnych, VAT oraz lokat terminowych zwanych dalej „rachunkami”;</w:t>
      </w:r>
    </w:p>
    <w:p w14:paraId="7B0C6D69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otwieranie nowych rachunków w zależności od potrzeb Zamawiającego;</w:t>
      </w:r>
    </w:p>
    <w:p w14:paraId="26CE5A25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przyjmowaniu wpłat gotówkowych własnych i wpłat obcych (wpłaty podatków i opłat dokonywanych przez osoby fizyczne, prawne oraz inne podmioty);</w:t>
      </w:r>
    </w:p>
    <w:p w14:paraId="556500CD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dokonywaniu wpłat gotówkowych (osoby uprawnione do świadczeń i innych należności);</w:t>
      </w:r>
    </w:p>
    <w:p w14:paraId="1EDC9DA1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realizacji poleceń przelewów zewnętrznych (elektronicznie i w razie potrzeb składanych papierowo);</w:t>
      </w:r>
    </w:p>
    <w:p w14:paraId="1097E536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codziennym sporządzaniu wyciągów bankowych i przekazywania ich drogą elektroniczną na podany przez jednostki adres mailowy do godziny 10:30;</w:t>
      </w:r>
    </w:p>
    <w:p w14:paraId="2E40F32E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wydawaniu blankietów czekowych;</w:t>
      </w:r>
    </w:p>
    <w:p w14:paraId="0CBDE5C9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zapewnieniu usługi sytemu masowych płatności;</w:t>
      </w:r>
    </w:p>
    <w:p w14:paraId="6C24FABA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zapewnienie systemu bankowości elektronicznej (zainstalowanie i wdrożenie systemu, szkolenie osób, serwis oraz bieżące udzielanie wsparcia telefonicznego w trakcie trwania umowy). System bankowości elektronicznej musi spełniać wymogi bezpieczeństwa teleinformatycznego;</w:t>
      </w:r>
    </w:p>
    <w:p w14:paraId="61B39FF0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wydawanie i obsługa kart płatniczych  bez ponoszenia dodatkowych opłat; </w:t>
      </w:r>
    </w:p>
    <w:p w14:paraId="430BA975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lastRenderedPageBreak/>
        <w:t xml:space="preserve">Wykonawca zapewni System Identyfikacji Płatności Masowych współpracujący z programem księgowym systemu RADIX i GRAVIS stosowanych przez Urząd Miejski w Dzierzgoniu oraz jednostek podległych. Informatyczny System Płatności Masowych dotyczy w szczególności następujących rodzajów wpłat z tytułu: </w:t>
      </w:r>
    </w:p>
    <w:p w14:paraId="3170BD3B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644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opłaty za gospodarowanie odpadami komunalnymi,</w:t>
      </w:r>
    </w:p>
    <w:p w14:paraId="4D183E19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644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podatku od nieruchomości,</w:t>
      </w:r>
    </w:p>
    <w:p w14:paraId="361331BB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644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podatku rolnego,</w:t>
      </w:r>
    </w:p>
    <w:p w14:paraId="196794F3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644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podatku leśnego;</w:t>
      </w:r>
    </w:p>
    <w:p w14:paraId="35C9E2BA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wydawanie zaświadczeń o posiadanych rachunkach oraz opinii bankowych; </w:t>
      </w:r>
    </w:p>
    <w:p w14:paraId="1D0BD91B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wykonawca będzie posiadał siedzibę centrali lub oddziału/ filii na terenie miasta Dzierzgoń</w:t>
      </w:r>
    </w:p>
    <w:p w14:paraId="6A94AAFC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bank nie będzie pobierał opłat i prowizji z tytułu: </w:t>
      </w:r>
    </w:p>
    <w:p w14:paraId="64707F01" w14:textId="77777777" w:rsidR="00A36BC9" w:rsidRPr="009E13AC" w:rsidRDefault="00A36BC9" w:rsidP="0008251A">
      <w:pPr>
        <w:pStyle w:val="Standard"/>
        <w:tabs>
          <w:tab w:val="center" w:pos="4535"/>
          <w:tab w:val="left" w:pos="6926"/>
        </w:tabs>
        <w:spacing w:line="240" w:lineRule="auto"/>
        <w:ind w:left="644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zmiany karty wzorów podpisów;</w:t>
      </w:r>
    </w:p>
    <w:p w14:paraId="4AC53410" w14:textId="23BE4CAE" w:rsidR="00A36BC9" w:rsidRPr="009E13AC" w:rsidRDefault="00A36BC9" w:rsidP="0008251A">
      <w:pPr>
        <w:pStyle w:val="Standard"/>
        <w:tabs>
          <w:tab w:val="center" w:pos="4535"/>
          <w:tab w:val="left" w:pos="6926"/>
        </w:tabs>
        <w:spacing w:line="240" w:lineRule="auto"/>
        <w:ind w:left="644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wydawania opinii bankowych i zaświadczeń na wniosek Zamawiającego i obsługiwanych jednostek;</w:t>
      </w:r>
    </w:p>
    <w:p w14:paraId="0A6B1678" w14:textId="77777777" w:rsidR="00A36BC9" w:rsidRPr="009E13AC" w:rsidRDefault="00A36BC9" w:rsidP="0008251A">
      <w:pPr>
        <w:pStyle w:val="Standard"/>
        <w:tabs>
          <w:tab w:val="center" w:pos="4535"/>
          <w:tab w:val="left" w:pos="6926"/>
        </w:tabs>
        <w:spacing w:line="240" w:lineRule="auto"/>
        <w:ind w:left="644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- korzystania z systemu bankowości elektronicznej. </w:t>
      </w:r>
    </w:p>
    <w:p w14:paraId="4949A61A" w14:textId="53B95D8D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Cena za wymienione usługi dla budżetu gminy i jednostek podległych jest ustalona jako stała opłata miesięczna (cena w PLN), którą ponosić będzie Gmina Dzierzgoń. Stała opłata miesięczna powinna zostać tak skalkulowana, aby zawierała wszystkie usługi bankowe wymienione w pkt 2 rozdziału II</w:t>
      </w:r>
      <w:r w:rsidR="006E5CBF" w:rsidRPr="009E13AC">
        <w:rPr>
          <w:rFonts w:asciiTheme="minorHAnsi" w:hAnsiTheme="minorHAnsi" w:cstheme="minorHAnsi"/>
        </w:rPr>
        <w:t xml:space="preserve"> Przedmiotu zamówienia (Załącznik nr 1 do SWZ). </w:t>
      </w:r>
      <w:r w:rsidRPr="009E13AC">
        <w:rPr>
          <w:rFonts w:asciiTheme="minorHAnsi" w:hAnsiTheme="minorHAnsi" w:cstheme="minorHAnsi"/>
        </w:rPr>
        <w:t xml:space="preserve">Zamawiający nie dopuszcza pobierania opłat dodatkowych w trakcie trwania umowy. </w:t>
      </w:r>
    </w:p>
    <w:p w14:paraId="2976093D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304D422D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1EF08A19" w14:textId="77777777" w:rsidR="00A36BC9" w:rsidRPr="009E13AC" w:rsidRDefault="00A36BC9" w:rsidP="00A36BC9">
      <w:pPr>
        <w:pStyle w:val="Standard"/>
        <w:numPr>
          <w:ilvl w:val="0"/>
          <w:numId w:val="4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9E13AC">
        <w:rPr>
          <w:rFonts w:asciiTheme="minorHAnsi" w:hAnsiTheme="minorHAnsi" w:cstheme="minorHAnsi"/>
          <w:b/>
          <w:bCs/>
        </w:rPr>
        <w:t xml:space="preserve">Tworzenie lokaty OVERNIGHT </w:t>
      </w:r>
    </w:p>
    <w:p w14:paraId="49CC47CD" w14:textId="77777777" w:rsidR="006E5CBF" w:rsidRPr="009E13AC" w:rsidRDefault="006E5CBF" w:rsidP="006E5CBF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sz w:val="20"/>
          <w:szCs w:val="20"/>
        </w:rPr>
      </w:pPr>
      <w:r w:rsidRPr="009E13AC">
        <w:rPr>
          <w:sz w:val="20"/>
          <w:szCs w:val="20"/>
        </w:rPr>
        <w:t xml:space="preserve">Tworzenie lokaty OVERNIGHT na koniec każdego dnia od kwoty powyżej 100 000 PLN na rachunku bieżącym Gminy Dzierzgoń. Oprocentowanie lokat O/N według zmiennej stopy procentowej w oparciu o stawkę WIBID 1M skorygowaną o wskaźnik banku stały w całym okresie trwania umowy. </w:t>
      </w:r>
    </w:p>
    <w:p w14:paraId="3CEB5EF6" w14:textId="77777777" w:rsidR="006E5CBF" w:rsidRPr="009E13AC" w:rsidRDefault="006E5CBF" w:rsidP="006E5CBF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sz w:val="20"/>
          <w:szCs w:val="20"/>
        </w:rPr>
      </w:pPr>
    </w:p>
    <w:p w14:paraId="2CA6D4E4" w14:textId="7E445D13" w:rsidR="006E5CBF" w:rsidRPr="009E13AC" w:rsidRDefault="006E5CBF" w:rsidP="006E5CBF">
      <w:pPr>
        <w:tabs>
          <w:tab w:val="left" w:pos="1146"/>
        </w:tabs>
        <w:spacing w:before="57" w:line="200" w:lineRule="atLeast"/>
        <w:jc w:val="both"/>
        <w:rPr>
          <w:rFonts w:ascii="Arial" w:hAnsi="Arial" w:cs="Arial"/>
          <w:sz w:val="20"/>
          <w:szCs w:val="20"/>
          <w:lang w:eastAsia="ar-SA"/>
        </w:rPr>
      </w:pPr>
      <w:r w:rsidRPr="009E13AC">
        <w:rPr>
          <w:rFonts w:ascii="Arial" w:hAnsi="Arial" w:cs="Arial"/>
          <w:sz w:val="20"/>
          <w:szCs w:val="20"/>
          <w:lang w:eastAsia="ar-SA"/>
        </w:rPr>
        <w:t xml:space="preserve">Oprocentowanie na lokacie OVERNIGHT obliczane będzie według zmiennej stawki WIBID O/N ustalonej każdego dnia według przedostatnich notowań stawki WIBID O/N z danego dnia, skorygowane o marżę określoną w ofercie Banku. </w:t>
      </w:r>
    </w:p>
    <w:p w14:paraId="38C0185F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3C73C0A4" w14:textId="77777777" w:rsidR="00A36BC9" w:rsidRPr="009E13AC" w:rsidRDefault="00A36BC9" w:rsidP="00A36BC9">
      <w:pPr>
        <w:pStyle w:val="Standard"/>
        <w:numPr>
          <w:ilvl w:val="0"/>
          <w:numId w:val="4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9E13AC">
        <w:rPr>
          <w:rFonts w:asciiTheme="minorHAnsi" w:hAnsiTheme="minorHAnsi" w:cstheme="minorHAnsi"/>
          <w:b/>
          <w:bCs/>
        </w:rPr>
        <w:t>Oprocentowanie środków zgromadzonych na rachunkach bankowych</w:t>
      </w:r>
    </w:p>
    <w:p w14:paraId="2EEA518C" w14:textId="68DEB6D0" w:rsidR="00A36BC9" w:rsidRPr="009E13AC" w:rsidRDefault="004D2202" w:rsidP="004D2202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Oprocentowanie</w:t>
      </w:r>
      <w:r w:rsidR="008946F1" w:rsidRPr="009E13AC">
        <w:rPr>
          <w:rFonts w:asciiTheme="minorHAnsi" w:hAnsiTheme="minorHAnsi" w:cstheme="minorHAnsi"/>
        </w:rPr>
        <w:t xml:space="preserve"> środków zgromadzonych na rachunkach bankowych oparte jest </w:t>
      </w:r>
      <w:r w:rsidRPr="009E13AC">
        <w:rPr>
          <w:rFonts w:asciiTheme="minorHAnsi" w:hAnsiTheme="minorHAnsi" w:cstheme="minorHAnsi"/>
        </w:rPr>
        <w:t xml:space="preserve">o stawkę WIBID 1M skorygowana o wskaźnik banku wielkości …… .  </w:t>
      </w:r>
      <w:r w:rsidR="00A36BC9" w:rsidRPr="009E13AC">
        <w:rPr>
          <w:rFonts w:asciiTheme="minorHAnsi" w:hAnsiTheme="minorHAnsi" w:cstheme="minorHAnsi"/>
        </w:rPr>
        <w:t xml:space="preserve">Naliczenie odsetek powinno nastąpić w ostatnim dniu miesiąca. </w:t>
      </w:r>
      <w:r w:rsidR="008946F1" w:rsidRPr="009E13AC">
        <w:rPr>
          <w:rFonts w:asciiTheme="minorHAnsi" w:hAnsiTheme="minorHAnsi" w:cstheme="minorHAnsi"/>
        </w:rPr>
        <w:t xml:space="preserve"> </w:t>
      </w:r>
    </w:p>
    <w:p w14:paraId="6E473E40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W trakcie trwania umowy bankowej stawka WIBID 1M obowiązująca w danym miesiącu, ustalona będzie jako średnia arytmetyczna z kwotowań od pierwszego do ostatniego dnia poprzedniego miesiąca. </w:t>
      </w:r>
    </w:p>
    <w:p w14:paraId="3E2C07A6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3A2E4272" w14:textId="77777777" w:rsidR="00A36BC9" w:rsidRPr="009E13AC" w:rsidRDefault="00A36BC9" w:rsidP="00A36BC9">
      <w:pPr>
        <w:pStyle w:val="Standard"/>
        <w:numPr>
          <w:ilvl w:val="0"/>
          <w:numId w:val="4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9E13AC">
        <w:rPr>
          <w:rFonts w:asciiTheme="minorHAnsi" w:hAnsiTheme="minorHAnsi" w:cstheme="minorHAnsi"/>
          <w:b/>
          <w:bCs/>
        </w:rPr>
        <w:t>Udzielenie kredytu na rachunku bieżącym</w:t>
      </w:r>
    </w:p>
    <w:p w14:paraId="1BB7F2C6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Uruchomienie kredytu na rachunku bieżącym Gminy Dzierzgoń do wysokości 1.500.000 PLN na pokrycie występującego w trakcie roku przejściowego deficytu budżetu (odrębna umowa kredytowa). Kredyt w następnych latach objętych umową może ulec zmianie w przypadku, gdy uchwała na dany rok budżetowy określać będzie niższą lub wyższą wartość kredytu. Oprocentowanie kredytu liczone będzie według zmiennej stopy procentowej w oparciu o stawkę WIBOR 1M oraz marżę banku zmienna w całym okresie trwania umowy na obsługę bankową. Od uruchomienia kredytu w rachunku bieżącym bank nie będzie pobierał dodatkowych opłat i prowizji. Jednym kosztem Zamawiającego będą odsetki od faktycznie wykorzystanego kredytu. </w:t>
      </w:r>
    </w:p>
    <w:p w14:paraId="7AE943DC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1004"/>
        <w:jc w:val="both"/>
        <w:rPr>
          <w:rFonts w:asciiTheme="minorHAnsi" w:hAnsiTheme="minorHAnsi" w:cstheme="minorHAnsi"/>
        </w:rPr>
      </w:pPr>
    </w:p>
    <w:p w14:paraId="61DD3605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Odsetki od wykorzystanego kredytu będą naliczane w okresach miesięcznych, pobierane będą przez bank ostatniego dnia miesiąca. Zabezpieczenie kredytu – weksel in blanco. </w:t>
      </w:r>
    </w:p>
    <w:p w14:paraId="7E6E5B9E" w14:textId="14788309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lastRenderedPageBreak/>
        <w:t xml:space="preserve">Stawka WIBOR 1M obowiązująca w danym miesiącu, ustalana będzie jako średnia arytmetyczna </w:t>
      </w:r>
      <w:r w:rsidR="004D2202" w:rsidRPr="009E13AC">
        <w:rPr>
          <w:rFonts w:asciiTheme="minorHAnsi" w:hAnsiTheme="minorHAnsi" w:cstheme="minorHAnsi"/>
        </w:rPr>
        <w:br/>
      </w:r>
      <w:r w:rsidRPr="009E13AC">
        <w:rPr>
          <w:rFonts w:asciiTheme="minorHAnsi" w:hAnsiTheme="minorHAnsi" w:cstheme="minorHAnsi"/>
        </w:rPr>
        <w:t xml:space="preserve">z kwotowań od pierwszego do ostatniego dnia poprzedzającego miesiąca. Odsetki będą liczone metodą opartą o rzeczywistej licznie dni w poszczególnych miesiącach i rzeczywistej liczbie dni w roku tj. 365 lub 366. </w:t>
      </w:r>
    </w:p>
    <w:p w14:paraId="6ABDBBA0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1004"/>
        <w:jc w:val="both"/>
        <w:rPr>
          <w:rFonts w:asciiTheme="minorHAnsi" w:hAnsiTheme="minorHAnsi" w:cstheme="minorHAnsi"/>
        </w:rPr>
      </w:pPr>
    </w:p>
    <w:p w14:paraId="65100AB3" w14:textId="77777777" w:rsidR="00AA304D" w:rsidRPr="009E13AC" w:rsidRDefault="00AA304D" w:rsidP="00AA304D">
      <w:pPr>
        <w:jc w:val="both"/>
        <w:rPr>
          <w:rFonts w:cstheme="minorHAnsi"/>
        </w:rPr>
      </w:pPr>
    </w:p>
    <w:sectPr w:rsidR="00AA304D" w:rsidRPr="009E13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F6468" w14:textId="77777777" w:rsidR="00CE6D8E" w:rsidRDefault="00CE6D8E" w:rsidP="00137AAD">
      <w:pPr>
        <w:spacing w:after="0" w:line="240" w:lineRule="auto"/>
      </w:pPr>
      <w:r>
        <w:separator/>
      </w:r>
    </w:p>
  </w:endnote>
  <w:endnote w:type="continuationSeparator" w:id="0">
    <w:p w14:paraId="0E9C212A" w14:textId="77777777" w:rsidR="00CE6D8E" w:rsidRDefault="00CE6D8E" w:rsidP="0013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A4872" w14:textId="77777777" w:rsidR="00CE6D8E" w:rsidRDefault="00CE6D8E" w:rsidP="00137AAD">
      <w:pPr>
        <w:spacing w:after="0" w:line="240" w:lineRule="auto"/>
      </w:pPr>
      <w:r>
        <w:separator/>
      </w:r>
    </w:p>
  </w:footnote>
  <w:footnote w:type="continuationSeparator" w:id="0">
    <w:p w14:paraId="5316F6B3" w14:textId="77777777" w:rsidR="00CE6D8E" w:rsidRDefault="00CE6D8E" w:rsidP="00137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E39E" w14:textId="0A24F89F" w:rsidR="00137AAD" w:rsidRPr="004D2202" w:rsidRDefault="00137AAD" w:rsidP="00137AAD">
    <w:pPr>
      <w:pStyle w:val="Nagwek1"/>
      <w:pBdr>
        <w:bottom w:val="single" w:sz="4" w:space="1" w:color="000001"/>
      </w:pBdr>
      <w:spacing w:before="57" w:after="0"/>
      <w:rPr>
        <w:rFonts w:asciiTheme="minorHAnsi" w:hAnsiTheme="minorHAnsi" w:cstheme="minorHAnsi"/>
        <w:sz w:val="22"/>
        <w:szCs w:val="22"/>
      </w:rPr>
    </w:pPr>
    <w:r w:rsidRPr="004D2202">
      <w:rPr>
        <w:rFonts w:asciiTheme="minorHAnsi" w:eastAsia="Calibri" w:hAnsiTheme="minorHAnsi" w:cstheme="minorHAnsi"/>
        <w:color w:val="434343"/>
        <w:sz w:val="22"/>
        <w:szCs w:val="22"/>
      </w:rPr>
      <w:t xml:space="preserve">Nr postępowania: </w:t>
    </w:r>
    <w:r w:rsidRPr="004D2202">
      <w:rPr>
        <w:rFonts w:asciiTheme="minorHAnsi" w:hAnsiTheme="minorHAnsi" w:cstheme="minorHAnsi"/>
        <w:bCs/>
        <w:sz w:val="22"/>
        <w:szCs w:val="22"/>
      </w:rPr>
      <w:t>FN.271.</w:t>
    </w:r>
    <w:r w:rsidR="00495B77">
      <w:rPr>
        <w:rFonts w:asciiTheme="minorHAnsi" w:hAnsiTheme="minorHAnsi" w:cstheme="minorHAnsi"/>
        <w:bCs/>
        <w:sz w:val="22"/>
        <w:szCs w:val="22"/>
      </w:rPr>
      <w:t>2</w:t>
    </w:r>
    <w:r w:rsidRPr="004D2202">
      <w:rPr>
        <w:rFonts w:asciiTheme="minorHAnsi" w:hAnsiTheme="minorHAnsi" w:cstheme="minorHAnsi"/>
        <w:bCs/>
        <w:sz w:val="22"/>
        <w:szCs w:val="22"/>
      </w:rPr>
      <w:t>.2023</w:t>
    </w:r>
  </w:p>
  <w:p w14:paraId="66EB08BA" w14:textId="77777777" w:rsidR="00137AAD" w:rsidRPr="004D2202" w:rsidRDefault="00137AAD" w:rsidP="00137AAD">
    <w:pPr>
      <w:pStyle w:val="Nagwek1"/>
      <w:pBdr>
        <w:bottom w:val="single" w:sz="4" w:space="1" w:color="000001"/>
      </w:pBdr>
      <w:spacing w:before="57" w:after="0"/>
      <w:jc w:val="right"/>
      <w:rPr>
        <w:rFonts w:asciiTheme="minorHAnsi" w:hAnsiTheme="minorHAnsi" w:cstheme="minorHAnsi"/>
        <w:sz w:val="22"/>
        <w:szCs w:val="22"/>
      </w:rPr>
    </w:pPr>
    <w:r w:rsidRPr="004D2202">
      <w:rPr>
        <w:rFonts w:asciiTheme="minorHAnsi" w:hAnsiTheme="minorHAnsi" w:cstheme="minorHAnsi"/>
        <w:b/>
        <w:bCs/>
        <w:sz w:val="22"/>
        <w:szCs w:val="22"/>
      </w:rPr>
      <w:t>Załącznik nr 2 do SWZ</w:t>
    </w:r>
  </w:p>
  <w:p w14:paraId="1A93AE4B" w14:textId="77777777" w:rsidR="00137AAD" w:rsidRDefault="00137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65AA3"/>
    <w:multiLevelType w:val="hybridMultilevel"/>
    <w:tmpl w:val="F5A41C52"/>
    <w:lvl w:ilvl="0" w:tplc="5548258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62390E"/>
    <w:multiLevelType w:val="hybridMultilevel"/>
    <w:tmpl w:val="1AF0E6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C0E1E"/>
    <w:multiLevelType w:val="hybridMultilevel"/>
    <w:tmpl w:val="7DCC8E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05555"/>
    <w:multiLevelType w:val="hybridMultilevel"/>
    <w:tmpl w:val="3398DC16"/>
    <w:lvl w:ilvl="0" w:tplc="511E6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A5654F"/>
    <w:multiLevelType w:val="hybridMultilevel"/>
    <w:tmpl w:val="86A2906E"/>
    <w:lvl w:ilvl="0" w:tplc="E4A2CB0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F971BDC"/>
    <w:multiLevelType w:val="hybridMultilevel"/>
    <w:tmpl w:val="9578C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780501">
    <w:abstractNumId w:val="5"/>
  </w:num>
  <w:num w:numId="2" w16cid:durableId="778065773">
    <w:abstractNumId w:val="2"/>
  </w:num>
  <w:num w:numId="3" w16cid:durableId="1305231434">
    <w:abstractNumId w:val="3"/>
  </w:num>
  <w:num w:numId="4" w16cid:durableId="389354132">
    <w:abstractNumId w:val="0"/>
  </w:num>
  <w:num w:numId="5" w16cid:durableId="1851866532">
    <w:abstractNumId w:val="4"/>
  </w:num>
  <w:num w:numId="6" w16cid:durableId="157963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F66"/>
    <w:rsid w:val="0008251A"/>
    <w:rsid w:val="00137AAD"/>
    <w:rsid w:val="00290459"/>
    <w:rsid w:val="003000ED"/>
    <w:rsid w:val="003E7BDB"/>
    <w:rsid w:val="004264A1"/>
    <w:rsid w:val="00495B77"/>
    <w:rsid w:val="004D2202"/>
    <w:rsid w:val="006278D1"/>
    <w:rsid w:val="006D787D"/>
    <w:rsid w:val="006E06D4"/>
    <w:rsid w:val="006E5CBF"/>
    <w:rsid w:val="00873FB0"/>
    <w:rsid w:val="008946F1"/>
    <w:rsid w:val="009177AD"/>
    <w:rsid w:val="009E13AC"/>
    <w:rsid w:val="00A36BC9"/>
    <w:rsid w:val="00A42A11"/>
    <w:rsid w:val="00AA0BAA"/>
    <w:rsid w:val="00AA304D"/>
    <w:rsid w:val="00AA61D5"/>
    <w:rsid w:val="00AC741A"/>
    <w:rsid w:val="00B613D5"/>
    <w:rsid w:val="00BF6F66"/>
    <w:rsid w:val="00CE6D8E"/>
    <w:rsid w:val="00E31D27"/>
    <w:rsid w:val="00F05E31"/>
    <w:rsid w:val="00FA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03DA"/>
  <w15:chartTrackingRefBased/>
  <w15:docId w15:val="{63466074-A5D2-4B80-9647-5E47372F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64A1"/>
    <w:pPr>
      <w:ind w:left="720"/>
      <w:contextualSpacing/>
    </w:pPr>
  </w:style>
  <w:style w:type="paragraph" w:customStyle="1" w:styleId="Standard">
    <w:name w:val="Standard"/>
    <w:rsid w:val="00AA304D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pl-PL"/>
      <w14:ligatures w14:val="none"/>
    </w:rPr>
  </w:style>
  <w:style w:type="paragraph" w:customStyle="1" w:styleId="Nagwek1">
    <w:name w:val="Nagłówek1"/>
    <w:basedOn w:val="Standard"/>
    <w:rsid w:val="008946F1"/>
    <w:pPr>
      <w:keepNext/>
      <w:spacing w:before="240" w:after="120"/>
    </w:pPr>
    <w:rPr>
      <w:rFonts w:eastAsia="Lucida Sans Unicode" w:cs="Tahoma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3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AAD"/>
  </w:style>
  <w:style w:type="paragraph" w:styleId="Stopka">
    <w:name w:val="footer"/>
    <w:basedOn w:val="Normalny"/>
    <w:link w:val="StopkaZnak"/>
    <w:uiPriority w:val="99"/>
    <w:unhideWhenUsed/>
    <w:rsid w:val="0013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B1DFA-82D0-4DBD-932B-AE7A7DBCE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Waszczyszyn</dc:creator>
  <cp:keywords/>
  <dc:description/>
  <cp:lastModifiedBy>jsulim</cp:lastModifiedBy>
  <cp:revision>7</cp:revision>
  <dcterms:created xsi:type="dcterms:W3CDTF">2023-07-12T14:49:00Z</dcterms:created>
  <dcterms:modified xsi:type="dcterms:W3CDTF">2023-07-24T09:18:00Z</dcterms:modified>
</cp:coreProperties>
</file>