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3344" w14:textId="2FA44D9E" w:rsidR="00C17004" w:rsidRPr="00247F4D" w:rsidRDefault="00950CE9" w:rsidP="00B55829">
      <w:pPr>
        <w:jc w:val="right"/>
        <w:rPr>
          <w:b/>
          <w:bCs/>
          <w:sz w:val="24"/>
          <w:szCs w:val="24"/>
        </w:rPr>
      </w:pPr>
      <w:r w:rsidRPr="00247F4D">
        <w:rPr>
          <w:b/>
          <w:bCs/>
          <w:sz w:val="24"/>
          <w:szCs w:val="24"/>
        </w:rPr>
        <w:t xml:space="preserve">Załącznik nr </w:t>
      </w:r>
      <w:r w:rsidR="00E808C8">
        <w:rPr>
          <w:b/>
          <w:bCs/>
          <w:sz w:val="24"/>
          <w:szCs w:val="24"/>
        </w:rPr>
        <w:t>1</w:t>
      </w:r>
      <w:r w:rsidRPr="00247F4D">
        <w:rPr>
          <w:b/>
          <w:bCs/>
          <w:sz w:val="24"/>
          <w:szCs w:val="24"/>
        </w:rPr>
        <w:t xml:space="preserve"> </w:t>
      </w:r>
      <w:r w:rsidRPr="00E16BE4">
        <w:rPr>
          <w:b/>
          <w:bCs/>
          <w:sz w:val="24"/>
          <w:szCs w:val="24"/>
        </w:rPr>
        <w:t>do S</w:t>
      </w:r>
      <w:r w:rsidR="00C17004" w:rsidRPr="00E16BE4">
        <w:rPr>
          <w:b/>
          <w:bCs/>
          <w:sz w:val="24"/>
          <w:szCs w:val="24"/>
        </w:rPr>
        <w:t>WZ</w:t>
      </w:r>
    </w:p>
    <w:p w14:paraId="78B56BC6" w14:textId="77777777" w:rsidR="00C17004" w:rsidRPr="00247F4D" w:rsidRDefault="00C17004" w:rsidP="008C128B">
      <w:pPr>
        <w:keepNext/>
        <w:spacing w:before="360" w:after="240"/>
        <w:rPr>
          <w:b/>
          <w:bCs/>
          <w:sz w:val="28"/>
          <w:szCs w:val="28"/>
          <w:u w:val="single"/>
        </w:rPr>
      </w:pPr>
    </w:p>
    <w:p w14:paraId="62F49459" w14:textId="77777777" w:rsidR="00C17004" w:rsidRPr="00247F4D" w:rsidRDefault="00C17004" w:rsidP="008C128B">
      <w:pPr>
        <w:keepNext/>
        <w:spacing w:before="360" w:after="240"/>
        <w:jc w:val="center"/>
        <w:rPr>
          <w:b/>
          <w:bCs/>
          <w:sz w:val="28"/>
          <w:szCs w:val="28"/>
          <w:u w:val="single"/>
        </w:rPr>
      </w:pPr>
      <w:r w:rsidRPr="00247F4D">
        <w:rPr>
          <w:b/>
          <w:bCs/>
          <w:sz w:val="28"/>
          <w:szCs w:val="28"/>
          <w:u w:val="single"/>
        </w:rPr>
        <w:t>SZCZEGÓŁOWE WARUNKI ZAMÓWIENIA</w:t>
      </w:r>
    </w:p>
    <w:p w14:paraId="5BEBF944" w14:textId="77777777" w:rsidR="00C17004" w:rsidRPr="00247F4D" w:rsidRDefault="00C17004" w:rsidP="00C17004">
      <w:pPr>
        <w:keepNext/>
        <w:rPr>
          <w:b/>
          <w:bCs/>
          <w:sz w:val="24"/>
          <w:szCs w:val="24"/>
        </w:rPr>
      </w:pPr>
      <w:r w:rsidRPr="00247F4D">
        <w:rPr>
          <w:b/>
          <w:bCs/>
          <w:sz w:val="24"/>
          <w:szCs w:val="24"/>
        </w:rPr>
        <w:t>Zamawiający:</w:t>
      </w:r>
    </w:p>
    <w:p w14:paraId="6C5C2502" w14:textId="5295D110" w:rsidR="00E808C8" w:rsidRPr="00D75555" w:rsidRDefault="00E808C8" w:rsidP="00E808C8">
      <w:pPr>
        <w:rPr>
          <w:sz w:val="24"/>
          <w:szCs w:val="24"/>
        </w:rPr>
      </w:pPr>
      <w:r w:rsidRPr="00D75555">
        <w:rPr>
          <w:sz w:val="24"/>
          <w:szCs w:val="24"/>
        </w:rPr>
        <w:t>Nazwa: Województw</w:t>
      </w:r>
      <w:r>
        <w:rPr>
          <w:sz w:val="24"/>
          <w:szCs w:val="24"/>
        </w:rPr>
        <w:t>o</w:t>
      </w:r>
      <w:r w:rsidRPr="00D75555">
        <w:rPr>
          <w:sz w:val="24"/>
          <w:szCs w:val="24"/>
        </w:rPr>
        <w:t xml:space="preserve"> Podlaski</w:t>
      </w:r>
      <w:r>
        <w:rPr>
          <w:sz w:val="24"/>
          <w:szCs w:val="24"/>
        </w:rPr>
        <w:t>e</w:t>
      </w:r>
    </w:p>
    <w:p w14:paraId="2604A07C" w14:textId="1587B5D9" w:rsidR="00E808C8" w:rsidRPr="00D75555" w:rsidRDefault="00E808C8" w:rsidP="00E808C8">
      <w:pPr>
        <w:rPr>
          <w:sz w:val="24"/>
          <w:szCs w:val="24"/>
        </w:rPr>
      </w:pPr>
      <w:r w:rsidRPr="00D75555">
        <w:rPr>
          <w:sz w:val="24"/>
          <w:szCs w:val="24"/>
        </w:rPr>
        <w:t xml:space="preserve">Adres: ul. </w:t>
      </w:r>
      <w:r w:rsidR="00E16BE4">
        <w:rPr>
          <w:sz w:val="24"/>
          <w:szCs w:val="24"/>
        </w:rPr>
        <w:t>M. Curie - Skłodowskiej</w:t>
      </w:r>
      <w:r w:rsidRPr="00D75555">
        <w:rPr>
          <w:sz w:val="24"/>
          <w:szCs w:val="24"/>
        </w:rPr>
        <w:t>, 15-</w:t>
      </w:r>
      <w:r w:rsidR="00E16BE4">
        <w:rPr>
          <w:sz w:val="24"/>
          <w:szCs w:val="24"/>
        </w:rPr>
        <w:t>097</w:t>
      </w:r>
      <w:r w:rsidRPr="00D75555">
        <w:rPr>
          <w:sz w:val="24"/>
          <w:szCs w:val="24"/>
        </w:rPr>
        <w:t xml:space="preserve"> Białystok</w:t>
      </w:r>
    </w:p>
    <w:p w14:paraId="1A8D781C" w14:textId="77777777" w:rsidR="00E808C8" w:rsidRPr="00D75555" w:rsidRDefault="00E808C8" w:rsidP="00E808C8">
      <w:pPr>
        <w:keepNext/>
        <w:rPr>
          <w:rFonts w:eastAsia="Calibri"/>
          <w:sz w:val="24"/>
          <w:szCs w:val="24"/>
          <w:lang w:eastAsia="en-US"/>
        </w:rPr>
      </w:pPr>
      <w:r w:rsidRPr="00D75555">
        <w:rPr>
          <w:rFonts w:eastAsia="Calibri"/>
          <w:sz w:val="24"/>
          <w:szCs w:val="24"/>
          <w:lang w:eastAsia="en-US"/>
        </w:rPr>
        <w:t>NIP:  542-25-42-016</w:t>
      </w:r>
    </w:p>
    <w:p w14:paraId="40459374" w14:textId="77777777" w:rsidR="00E808C8" w:rsidRPr="00D75555" w:rsidRDefault="00E808C8" w:rsidP="00E808C8">
      <w:pPr>
        <w:keepNext/>
        <w:rPr>
          <w:rFonts w:eastAsia="Calibri"/>
          <w:sz w:val="24"/>
          <w:szCs w:val="24"/>
        </w:rPr>
      </w:pPr>
      <w:r w:rsidRPr="00D75555">
        <w:rPr>
          <w:rFonts w:eastAsia="Calibri"/>
          <w:sz w:val="24"/>
          <w:szCs w:val="24"/>
        </w:rPr>
        <w:t>REGON: 050658404</w:t>
      </w:r>
    </w:p>
    <w:p w14:paraId="3F72EB3B" w14:textId="77777777" w:rsidR="00E808C8" w:rsidRDefault="00E808C8" w:rsidP="00C17004">
      <w:pPr>
        <w:rPr>
          <w:b/>
          <w:bCs/>
          <w:sz w:val="24"/>
          <w:szCs w:val="24"/>
        </w:rPr>
      </w:pPr>
    </w:p>
    <w:p w14:paraId="1FC330F8" w14:textId="77777777" w:rsidR="00C17004" w:rsidRPr="00247F4D" w:rsidRDefault="00C17004" w:rsidP="00C17004">
      <w:pPr>
        <w:tabs>
          <w:tab w:val="left" w:pos="0"/>
        </w:tabs>
        <w:ind w:right="-2"/>
        <w:rPr>
          <w:b/>
          <w:bCs/>
          <w:sz w:val="24"/>
          <w:szCs w:val="24"/>
        </w:rPr>
      </w:pPr>
      <w:r w:rsidRPr="00247F4D">
        <w:rPr>
          <w:sz w:val="24"/>
          <w:szCs w:val="24"/>
        </w:rPr>
        <w:t>Przedmiotem postępowania jest:</w:t>
      </w:r>
    </w:p>
    <w:p w14:paraId="4995EE95" w14:textId="77777777" w:rsidR="002D0A8D" w:rsidRDefault="002D0A8D" w:rsidP="00E808C8">
      <w:pPr>
        <w:tabs>
          <w:tab w:val="left" w:pos="0"/>
        </w:tabs>
        <w:ind w:right="-2"/>
        <w:jc w:val="both"/>
        <w:rPr>
          <w:b/>
          <w:bCs/>
          <w:sz w:val="28"/>
          <w:szCs w:val="28"/>
        </w:rPr>
      </w:pPr>
    </w:p>
    <w:p w14:paraId="4CEE8823" w14:textId="77777777" w:rsidR="00E808C8" w:rsidRDefault="00E808C8" w:rsidP="00E808C8">
      <w:pPr>
        <w:numPr>
          <w:ilvl w:val="0"/>
          <w:numId w:val="4"/>
        </w:numPr>
        <w:tabs>
          <w:tab w:val="left" w:pos="0"/>
        </w:tabs>
        <w:ind w:right="-2"/>
        <w:jc w:val="both"/>
        <w:rPr>
          <w:sz w:val="24"/>
          <w:szCs w:val="24"/>
        </w:rPr>
      </w:pPr>
      <w:r w:rsidRPr="00F713C1">
        <w:rPr>
          <w:sz w:val="24"/>
          <w:szCs w:val="24"/>
        </w:rPr>
        <w:t>Ubezpieczenie odpowiedzialności cywilnej z tyt. prowadzonej działalności i posiadanego mienia</w:t>
      </w:r>
    </w:p>
    <w:p w14:paraId="75E98486" w14:textId="77777777" w:rsidR="00E808C8" w:rsidRPr="00F713C1" w:rsidRDefault="00E808C8" w:rsidP="00E808C8">
      <w:pPr>
        <w:numPr>
          <w:ilvl w:val="0"/>
          <w:numId w:val="4"/>
        </w:numPr>
        <w:tabs>
          <w:tab w:val="left" w:pos="0"/>
        </w:tabs>
        <w:ind w:right="-2"/>
        <w:jc w:val="both"/>
        <w:rPr>
          <w:sz w:val="24"/>
          <w:szCs w:val="24"/>
        </w:rPr>
      </w:pPr>
      <w:r w:rsidRPr="00F713C1">
        <w:rPr>
          <w:sz w:val="24"/>
          <w:szCs w:val="24"/>
        </w:rPr>
        <w:t>Ubezpieczenie mienia od wszystkich ryzyk</w:t>
      </w:r>
    </w:p>
    <w:p w14:paraId="25C9E1F7" w14:textId="77777777" w:rsidR="00E808C8" w:rsidRPr="00247F4D" w:rsidRDefault="00E808C8" w:rsidP="00E808C8">
      <w:pPr>
        <w:tabs>
          <w:tab w:val="left" w:pos="0"/>
        </w:tabs>
        <w:ind w:right="-2"/>
        <w:jc w:val="both"/>
        <w:rPr>
          <w:sz w:val="24"/>
          <w:szCs w:val="24"/>
        </w:rPr>
      </w:pPr>
    </w:p>
    <w:p w14:paraId="17EEB7D4" w14:textId="77777777" w:rsidR="002D0A8D" w:rsidRPr="00247F4D" w:rsidRDefault="002D0A8D" w:rsidP="002D0A8D">
      <w:pPr>
        <w:tabs>
          <w:tab w:val="left" w:pos="0"/>
        </w:tabs>
        <w:ind w:left="420" w:right="-2"/>
        <w:jc w:val="both"/>
        <w:rPr>
          <w:sz w:val="24"/>
          <w:szCs w:val="24"/>
        </w:rPr>
      </w:pPr>
    </w:p>
    <w:p w14:paraId="242CFF9F" w14:textId="0335DDCD" w:rsidR="002D0A8D" w:rsidRPr="00247F4D" w:rsidRDefault="002D0A8D" w:rsidP="00E808C8">
      <w:pPr>
        <w:ind w:left="60"/>
        <w:jc w:val="both"/>
        <w:rPr>
          <w:sz w:val="24"/>
          <w:szCs w:val="24"/>
        </w:rPr>
      </w:pPr>
      <w:r w:rsidRPr="00247F4D">
        <w:rPr>
          <w:sz w:val="24"/>
          <w:szCs w:val="24"/>
        </w:rPr>
        <w:t>Czyniąc zadość wymogom ustawy z dnia 15 grudnia 2017 r. o dystrybucji ubezpieczeń (tj. Dz.U.2017.2486 z dnia 29.12.2017) informujemy, że przygotowanie niniejszego dokumentu poprzedzone zostało analizą potrzeb klienta. A</w:t>
      </w:r>
      <w:r w:rsidRPr="00247F4D">
        <w:rPr>
          <w:sz w:val="24"/>
          <w:szCs w:val="24"/>
          <w:shd w:val="clear" w:color="auto" w:fill="FFFFFF"/>
        </w:rPr>
        <w:t>naliza przeprowadzona została na podstawie informacji uzyskanych od poszukującego ochrony ubezpieczeniowej.</w:t>
      </w:r>
    </w:p>
    <w:p w14:paraId="6D57352D" w14:textId="77777777" w:rsidR="002D0A8D" w:rsidRPr="00E808C8" w:rsidRDefault="002D0A8D" w:rsidP="002D0A8D">
      <w:pPr>
        <w:tabs>
          <w:tab w:val="left" w:pos="0"/>
        </w:tabs>
        <w:ind w:left="420" w:right="-2"/>
        <w:jc w:val="both"/>
        <w:rPr>
          <w:sz w:val="24"/>
          <w:szCs w:val="24"/>
        </w:rPr>
      </w:pPr>
    </w:p>
    <w:p w14:paraId="221F23CF" w14:textId="77777777" w:rsidR="00C17004" w:rsidRPr="00E808C8" w:rsidRDefault="00C17004" w:rsidP="00C17004">
      <w:pPr>
        <w:ind w:left="60"/>
        <w:jc w:val="center"/>
        <w:rPr>
          <w:b/>
          <w:bCs/>
          <w:sz w:val="24"/>
          <w:szCs w:val="24"/>
          <w:u w:val="single"/>
        </w:rPr>
      </w:pPr>
    </w:p>
    <w:p w14:paraId="6A90162E" w14:textId="09087051" w:rsidR="00C17004" w:rsidRPr="00E808C8" w:rsidRDefault="00C17004" w:rsidP="00C17004">
      <w:pPr>
        <w:jc w:val="center"/>
        <w:rPr>
          <w:b/>
          <w:bCs/>
          <w:sz w:val="24"/>
          <w:szCs w:val="24"/>
        </w:rPr>
      </w:pPr>
      <w:r w:rsidRPr="00E808C8">
        <w:rPr>
          <w:b/>
          <w:bCs/>
          <w:sz w:val="24"/>
          <w:szCs w:val="24"/>
        </w:rPr>
        <w:t xml:space="preserve">Szkodowość dla wszystkich rodzajów ryzyk podana została  w Załączniku </w:t>
      </w:r>
      <w:r w:rsidR="000025FC">
        <w:rPr>
          <w:b/>
          <w:bCs/>
          <w:sz w:val="24"/>
          <w:szCs w:val="24"/>
        </w:rPr>
        <w:t>nr 1a do SWZ.</w:t>
      </w:r>
    </w:p>
    <w:p w14:paraId="34AFDB6C" w14:textId="77777777" w:rsidR="00C17004" w:rsidRPr="00247F4D" w:rsidRDefault="00C17004" w:rsidP="009B1B27">
      <w:pPr>
        <w:pStyle w:val="Akapitzlist"/>
        <w:keepNext/>
        <w:keepLines/>
        <w:numPr>
          <w:ilvl w:val="0"/>
          <w:numId w:val="7"/>
        </w:numPr>
        <w:spacing w:before="360" w:after="240"/>
        <w:ind w:left="567" w:hanging="567"/>
        <w:jc w:val="center"/>
        <w:outlineLvl w:val="1"/>
        <w:rPr>
          <w:b/>
          <w:bCs/>
          <w:sz w:val="28"/>
          <w:szCs w:val="28"/>
          <w:u w:val="single"/>
        </w:rPr>
      </w:pPr>
      <w:r w:rsidRPr="00247F4D">
        <w:rPr>
          <w:b/>
          <w:bCs/>
          <w:sz w:val="28"/>
          <w:szCs w:val="28"/>
          <w:u w:val="single"/>
        </w:rPr>
        <w:t>UBEZPIECZENIE ODPOWIEDZIALNOŚCI Z TYT. PROWADZONEJ DZIAŁALNOŚCI I POSIADANEGO MIENIA</w:t>
      </w:r>
    </w:p>
    <w:p w14:paraId="5981899C" w14:textId="77777777" w:rsidR="00C17004" w:rsidRPr="00247F4D" w:rsidRDefault="00C17004" w:rsidP="00C17004">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247F4D">
        <w:rPr>
          <w:b/>
          <w:bCs/>
          <w:i/>
          <w:iCs/>
          <w:sz w:val="24"/>
          <w:szCs w:val="24"/>
        </w:rPr>
        <w:t>Dotyczy wszyst</w:t>
      </w:r>
      <w:r w:rsidR="00950CE9" w:rsidRPr="00247F4D">
        <w:rPr>
          <w:b/>
          <w:bCs/>
          <w:i/>
          <w:iCs/>
          <w:sz w:val="24"/>
          <w:szCs w:val="24"/>
        </w:rPr>
        <w:t>kich jednostek wymienionych w S</w:t>
      </w:r>
      <w:r w:rsidRPr="00247F4D">
        <w:rPr>
          <w:b/>
          <w:bCs/>
          <w:i/>
          <w:iCs/>
          <w:sz w:val="24"/>
          <w:szCs w:val="24"/>
        </w:rPr>
        <w:t>WZ</w:t>
      </w:r>
    </w:p>
    <w:p w14:paraId="59891B88" w14:textId="77777777" w:rsidR="00C17004" w:rsidRPr="00247F4D" w:rsidRDefault="00C17004" w:rsidP="00C17004">
      <w:pPr>
        <w:pBdr>
          <w:top w:val="single" w:sz="4" w:space="1" w:color="auto"/>
          <w:left w:val="single" w:sz="4" w:space="4" w:color="auto"/>
          <w:bottom w:val="single" w:sz="4" w:space="1" w:color="auto"/>
          <w:right w:val="single" w:sz="4" w:space="0" w:color="auto"/>
        </w:pBdr>
        <w:shd w:val="clear" w:color="auto" w:fill="F3F3F3"/>
        <w:ind w:left="360"/>
        <w:jc w:val="center"/>
        <w:rPr>
          <w:b/>
          <w:bCs/>
          <w:i/>
          <w:iCs/>
          <w:sz w:val="24"/>
          <w:szCs w:val="24"/>
        </w:rPr>
      </w:pPr>
      <w:r w:rsidRPr="00247F4D">
        <w:rPr>
          <w:b/>
          <w:bCs/>
          <w:i/>
          <w:iCs/>
          <w:sz w:val="24"/>
          <w:szCs w:val="24"/>
        </w:rPr>
        <w:t>oraz każdej lokalizacji, w której te jednostki prowadzą działalność.</w:t>
      </w:r>
    </w:p>
    <w:p w14:paraId="7BF225E4" w14:textId="77777777" w:rsidR="00C17004" w:rsidRPr="00247F4D" w:rsidRDefault="00C17004" w:rsidP="00C17004">
      <w:pPr>
        <w:keepNext/>
        <w:spacing w:before="120" w:after="120"/>
        <w:rPr>
          <w:b/>
          <w:bCs/>
          <w:sz w:val="24"/>
          <w:szCs w:val="24"/>
          <w:u w:val="single"/>
        </w:rPr>
      </w:pPr>
    </w:p>
    <w:p w14:paraId="13A494D7" w14:textId="77777777" w:rsidR="00C17004" w:rsidRPr="00247F4D" w:rsidRDefault="00C17004" w:rsidP="00C17004">
      <w:pPr>
        <w:keepNext/>
        <w:spacing w:before="120" w:after="120"/>
        <w:rPr>
          <w:b/>
          <w:bCs/>
          <w:sz w:val="24"/>
          <w:szCs w:val="24"/>
          <w:u w:val="single"/>
        </w:rPr>
      </w:pPr>
      <w:r w:rsidRPr="00247F4D">
        <w:rPr>
          <w:b/>
          <w:bCs/>
          <w:sz w:val="24"/>
          <w:szCs w:val="24"/>
          <w:u w:val="single"/>
        </w:rPr>
        <w:t>Przedmiot i zakres ubezpieczenia:</w:t>
      </w:r>
    </w:p>
    <w:p w14:paraId="2BEEBD12" w14:textId="77777777" w:rsidR="00C17004" w:rsidRPr="00247F4D" w:rsidRDefault="00C17004" w:rsidP="00C17004">
      <w:pPr>
        <w:jc w:val="both"/>
        <w:rPr>
          <w:sz w:val="24"/>
          <w:szCs w:val="24"/>
        </w:rPr>
      </w:pPr>
      <w:r w:rsidRPr="00247F4D">
        <w:rPr>
          <w:sz w:val="24"/>
          <w:szCs w:val="24"/>
        </w:rPr>
        <w:t>Odpowiedzialność cywilna deliktowa za szkody powstałe w związku z prowadzoną działalnością i posiadanym mieniem ruchomym i nieruchomym</w:t>
      </w:r>
      <w:r w:rsidR="00F94519" w:rsidRPr="00247F4D">
        <w:rPr>
          <w:sz w:val="24"/>
          <w:szCs w:val="24"/>
        </w:rPr>
        <w:t xml:space="preserve"> </w:t>
      </w:r>
      <w:r w:rsidRPr="00247F4D">
        <w:rPr>
          <w:sz w:val="24"/>
          <w:szCs w:val="24"/>
        </w:rPr>
        <w:t>w tym szkody powstałe w następstwie działania urządzeń wodociągowo - kanalizacyjnych, centralnego ogrzewania, gazu lub urządzeń związanych z dostarczaniem energii elektrycznej.</w:t>
      </w:r>
      <w:r w:rsidR="003306E8" w:rsidRPr="00247F4D">
        <w:rPr>
          <w:sz w:val="24"/>
          <w:szCs w:val="24"/>
        </w:rPr>
        <w:t xml:space="preserve"> Ochroną ubezpieczeniową objęte są szkody związane z przeniesieniem ognia.</w:t>
      </w:r>
    </w:p>
    <w:p w14:paraId="00D82187" w14:textId="77777777" w:rsidR="00C17004" w:rsidRPr="00247F4D" w:rsidRDefault="00C17004" w:rsidP="00C17004">
      <w:pPr>
        <w:jc w:val="both"/>
        <w:rPr>
          <w:sz w:val="24"/>
          <w:szCs w:val="24"/>
        </w:rPr>
      </w:pPr>
    </w:p>
    <w:p w14:paraId="7E8ADE2E" w14:textId="77777777" w:rsidR="00C17004" w:rsidRPr="00E808C8" w:rsidRDefault="00C17004" w:rsidP="00C17004">
      <w:pPr>
        <w:pStyle w:val="Nagwek"/>
        <w:jc w:val="both"/>
        <w:rPr>
          <w:sz w:val="24"/>
          <w:szCs w:val="24"/>
        </w:rPr>
      </w:pPr>
      <w:r w:rsidRPr="00247F4D">
        <w:rPr>
          <w:sz w:val="24"/>
          <w:szCs w:val="24"/>
        </w:rPr>
        <w:lastRenderedPageBreak/>
        <w:t xml:space="preserve">Odpowiedzialnością Zakładu Ubezpieczeń objęte są wypadki ubezpieczeniowe, które zaszły w okresie ubezpieczenia, choćby roszczenia z ich tytułu zostały zgłoszone po tym okresie, jednakże przed upływem </w:t>
      </w:r>
      <w:r w:rsidRPr="00E808C8">
        <w:rPr>
          <w:sz w:val="24"/>
          <w:szCs w:val="24"/>
        </w:rPr>
        <w:t>kodeksowego terminu przedawnienia</w:t>
      </w:r>
      <w:r w:rsidR="00F94519" w:rsidRPr="00E808C8">
        <w:rPr>
          <w:sz w:val="24"/>
          <w:szCs w:val="24"/>
        </w:rPr>
        <w:t xml:space="preserve"> (</w:t>
      </w:r>
      <w:r w:rsidR="00627187" w:rsidRPr="00E808C8">
        <w:rPr>
          <w:sz w:val="24"/>
          <w:szCs w:val="24"/>
        </w:rPr>
        <w:t>trigger loss occur</w:t>
      </w:r>
      <w:r w:rsidR="009968D0" w:rsidRPr="00E808C8">
        <w:rPr>
          <w:sz w:val="24"/>
          <w:szCs w:val="24"/>
        </w:rPr>
        <w:t>r</w:t>
      </w:r>
      <w:r w:rsidR="00627187" w:rsidRPr="00E808C8">
        <w:rPr>
          <w:sz w:val="24"/>
          <w:szCs w:val="24"/>
        </w:rPr>
        <w:t>ence).</w:t>
      </w:r>
      <w:r w:rsidR="00F94519" w:rsidRPr="00E808C8">
        <w:rPr>
          <w:sz w:val="24"/>
          <w:szCs w:val="24"/>
        </w:rPr>
        <w:t xml:space="preserve"> </w:t>
      </w:r>
    </w:p>
    <w:p w14:paraId="307A7603" w14:textId="77777777" w:rsidR="00C17004" w:rsidRPr="00E808C8" w:rsidRDefault="00C17004" w:rsidP="00C17004">
      <w:pPr>
        <w:pStyle w:val="Nagwek"/>
        <w:jc w:val="both"/>
        <w:rPr>
          <w:sz w:val="24"/>
          <w:szCs w:val="24"/>
        </w:rPr>
      </w:pPr>
      <w:r w:rsidRPr="00E808C8">
        <w:rPr>
          <w:sz w:val="24"/>
          <w:szCs w:val="24"/>
        </w:rPr>
        <w:t>Przez wypadek ubezpieczeniowy rozumie się śmierć, uszkodzenie ciała, doznanie rozstroju zdrowia, utratę, zniszczenie, uszkodzenie rzeczy lub czystą stratę finansową.</w:t>
      </w:r>
    </w:p>
    <w:p w14:paraId="650E144C" w14:textId="77777777" w:rsidR="003306E8" w:rsidRPr="00247F4D" w:rsidRDefault="003306E8" w:rsidP="003306E8">
      <w:pPr>
        <w:pStyle w:val="Nagwek"/>
        <w:jc w:val="both"/>
        <w:rPr>
          <w:sz w:val="24"/>
          <w:szCs w:val="24"/>
        </w:rPr>
      </w:pPr>
      <w:r w:rsidRPr="00247F4D">
        <w:rPr>
          <w:sz w:val="24"/>
          <w:szCs w:val="24"/>
        </w:rPr>
        <w:t>Ochroną ubezpieczeniową objęte są szkody wyrządzone wskutek rażącego niedbalstwa.</w:t>
      </w:r>
    </w:p>
    <w:p w14:paraId="682DA530" w14:textId="77777777" w:rsidR="00C17004" w:rsidRPr="00247F4D" w:rsidRDefault="00C17004" w:rsidP="00C17004">
      <w:pPr>
        <w:pStyle w:val="Nagwek"/>
        <w:jc w:val="both"/>
        <w:rPr>
          <w:sz w:val="24"/>
          <w:szCs w:val="24"/>
        </w:rPr>
      </w:pPr>
    </w:p>
    <w:p w14:paraId="35E92A1B" w14:textId="77777777" w:rsidR="00E808C8" w:rsidRDefault="00C17004" w:rsidP="00C17004">
      <w:pPr>
        <w:jc w:val="both"/>
        <w:rPr>
          <w:color w:val="FF0000"/>
          <w:sz w:val="24"/>
          <w:szCs w:val="24"/>
        </w:rPr>
      </w:pPr>
      <w:r w:rsidRPr="00247F4D">
        <w:rPr>
          <w:sz w:val="24"/>
          <w:szCs w:val="24"/>
        </w:rPr>
        <w:t xml:space="preserve">Przedmiot działalności </w:t>
      </w:r>
      <w:r w:rsidRPr="00E808C8">
        <w:rPr>
          <w:sz w:val="24"/>
          <w:szCs w:val="24"/>
        </w:rPr>
        <w:t>Powiatu określony jest w Ustawie o samorządzie powiatowym.</w:t>
      </w:r>
    </w:p>
    <w:p w14:paraId="3A270CC3" w14:textId="1E5B76CC" w:rsidR="00C17004" w:rsidRPr="00247F4D" w:rsidRDefault="00C17004" w:rsidP="00C17004">
      <w:pPr>
        <w:jc w:val="both"/>
        <w:rPr>
          <w:color w:val="FF0000"/>
          <w:sz w:val="24"/>
          <w:szCs w:val="24"/>
        </w:rPr>
      </w:pPr>
      <w:r w:rsidRPr="00247F4D">
        <w:rPr>
          <w:color w:val="FF0000"/>
          <w:sz w:val="24"/>
          <w:szCs w:val="24"/>
        </w:rPr>
        <w:t xml:space="preserve"> </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E808C8" w:rsidRPr="00247F4D" w14:paraId="09702AAD" w14:textId="77777777" w:rsidTr="00C254FD">
        <w:trPr>
          <w:trHeight w:val="454"/>
          <w:jc w:val="center"/>
        </w:trPr>
        <w:tc>
          <w:tcPr>
            <w:tcW w:w="0" w:type="auto"/>
            <w:tcBorders>
              <w:right w:val="single" w:sz="4" w:space="0" w:color="auto"/>
            </w:tcBorders>
          </w:tcPr>
          <w:p w14:paraId="32D0A5AA" w14:textId="77777777" w:rsidR="00E808C8" w:rsidRPr="00247F4D" w:rsidRDefault="00E808C8" w:rsidP="00C254FD">
            <w:pPr>
              <w:keepNext/>
              <w:keepLines/>
              <w:spacing w:before="120" w:after="120"/>
              <w:jc w:val="both"/>
              <w:rPr>
                <w:b/>
                <w:sz w:val="24"/>
                <w:szCs w:val="24"/>
              </w:rPr>
            </w:pPr>
            <w:r w:rsidRPr="00247F4D">
              <w:rPr>
                <w:b/>
                <w:sz w:val="24"/>
                <w:szCs w:val="24"/>
              </w:rPr>
              <w:t>Wnioskowane rozszerzenia ubezpieczenia odpowiedzialności cywilnej o szkody:</w:t>
            </w:r>
          </w:p>
        </w:tc>
      </w:tr>
      <w:tr w:rsidR="00E808C8" w:rsidRPr="00247F4D" w14:paraId="419B3FD5" w14:textId="77777777" w:rsidTr="00C254FD">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14:paraId="2F21E001" w14:textId="77777777" w:rsidR="00E808C8" w:rsidRPr="00D81722" w:rsidRDefault="00E808C8" w:rsidP="00C254FD">
            <w:pPr>
              <w:numPr>
                <w:ilvl w:val="0"/>
                <w:numId w:val="37"/>
              </w:numPr>
              <w:jc w:val="both"/>
              <w:rPr>
                <w:sz w:val="24"/>
                <w:szCs w:val="24"/>
              </w:rPr>
            </w:pPr>
            <w:r w:rsidRPr="00247F4D">
              <w:rPr>
                <w:sz w:val="24"/>
                <w:szCs w:val="24"/>
              </w:rPr>
              <w:t xml:space="preserve">w mieniu nieruchomym, z którego Ubezpieczony korzysta na podstawie umowy </w:t>
            </w:r>
            <w:r w:rsidRPr="00247F4D">
              <w:rPr>
                <w:rFonts w:cs="Arial"/>
                <w:sz w:val="24"/>
                <w:szCs w:val="24"/>
              </w:rPr>
              <w:t>najmu, dzierżawy, użytkowania, użyczenia, leasingu lub innej podobnej formy korzystania z cudzej rzeczy</w:t>
            </w:r>
          </w:p>
        </w:tc>
      </w:tr>
      <w:tr w:rsidR="00E808C8" w:rsidRPr="00247F4D" w14:paraId="42D2C8F0" w14:textId="77777777" w:rsidTr="00C254FD">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14:paraId="7BECB46E" w14:textId="77777777" w:rsidR="00E808C8" w:rsidRPr="00D81722" w:rsidRDefault="00E808C8" w:rsidP="00C254FD">
            <w:pPr>
              <w:numPr>
                <w:ilvl w:val="0"/>
                <w:numId w:val="37"/>
              </w:numPr>
              <w:jc w:val="both"/>
              <w:rPr>
                <w:sz w:val="24"/>
                <w:szCs w:val="24"/>
              </w:rPr>
            </w:pPr>
            <w:r w:rsidRPr="00247F4D">
              <w:rPr>
                <w:sz w:val="24"/>
                <w:szCs w:val="24"/>
              </w:rPr>
              <w:t xml:space="preserve">w mieniu ruchomym, z którego Ubezpieczony korzysta na podstawie umowy </w:t>
            </w:r>
            <w:r w:rsidRPr="00247F4D">
              <w:rPr>
                <w:rFonts w:cs="Arial"/>
                <w:sz w:val="24"/>
                <w:szCs w:val="24"/>
              </w:rPr>
              <w:t>najmu, dzierżawy, użytkowania, użyczenia, leasingu lub innej podobnej formy korzystania z cudzej rzeczy</w:t>
            </w:r>
          </w:p>
        </w:tc>
      </w:tr>
      <w:tr w:rsidR="00E808C8" w:rsidRPr="00247F4D" w14:paraId="04FA359F" w14:textId="77777777" w:rsidTr="00C254FD">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14:paraId="2B736519" w14:textId="77777777" w:rsidR="00E808C8" w:rsidRPr="00247F4D" w:rsidRDefault="00E808C8" w:rsidP="00C254FD">
            <w:pPr>
              <w:numPr>
                <w:ilvl w:val="0"/>
                <w:numId w:val="37"/>
              </w:numPr>
              <w:jc w:val="both"/>
              <w:rPr>
                <w:sz w:val="24"/>
                <w:szCs w:val="24"/>
              </w:rPr>
            </w:pPr>
            <w:r w:rsidRPr="00D75555">
              <w:rPr>
                <w:sz w:val="24"/>
                <w:szCs w:val="24"/>
              </w:rPr>
              <w:t>powstałe w wyniku niewykonania lub nienależytego wykonania zobowiązania – odpowiedzialność kontraktowa</w:t>
            </w:r>
          </w:p>
        </w:tc>
      </w:tr>
      <w:tr w:rsidR="00E808C8" w:rsidRPr="00247F4D" w14:paraId="0D75BACE" w14:textId="77777777" w:rsidTr="00C254FD">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14:paraId="0DE7B775" w14:textId="77777777" w:rsidR="00E808C8" w:rsidRPr="00D75555" w:rsidRDefault="00E808C8" w:rsidP="00C254FD">
            <w:pPr>
              <w:numPr>
                <w:ilvl w:val="0"/>
                <w:numId w:val="37"/>
              </w:numPr>
              <w:jc w:val="both"/>
              <w:rPr>
                <w:sz w:val="24"/>
                <w:szCs w:val="24"/>
              </w:rPr>
            </w:pPr>
            <w:r w:rsidRPr="00D75555">
              <w:rPr>
                <w:sz w:val="24"/>
                <w:szCs w:val="24"/>
              </w:rPr>
              <w:t>wyrządzone przez podwykonawców</w:t>
            </w:r>
          </w:p>
        </w:tc>
      </w:tr>
      <w:tr w:rsidR="00E808C8" w:rsidRPr="00247F4D" w14:paraId="4D82E0D8" w14:textId="77777777" w:rsidTr="00C254FD">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14:paraId="788C2642" w14:textId="77777777" w:rsidR="00E808C8" w:rsidRPr="00247F4D" w:rsidRDefault="00E808C8" w:rsidP="00C254FD">
            <w:pPr>
              <w:numPr>
                <w:ilvl w:val="0"/>
                <w:numId w:val="37"/>
              </w:numPr>
              <w:jc w:val="both"/>
              <w:rPr>
                <w:sz w:val="24"/>
                <w:szCs w:val="24"/>
              </w:rPr>
            </w:pPr>
            <w:r w:rsidRPr="00247F4D">
              <w:rPr>
                <w:sz w:val="24"/>
                <w:szCs w:val="24"/>
              </w:rPr>
              <w:t>czyste straty finansowe</w:t>
            </w:r>
          </w:p>
          <w:p w14:paraId="33A49F5F" w14:textId="77777777" w:rsidR="00E808C8" w:rsidRPr="00D81722" w:rsidRDefault="00E808C8" w:rsidP="00C254FD">
            <w:pPr>
              <w:ind w:left="699"/>
              <w:jc w:val="both"/>
              <w:rPr>
                <w:sz w:val="24"/>
                <w:szCs w:val="24"/>
              </w:rPr>
            </w:pPr>
            <w:r w:rsidRPr="00D81722">
              <w:rPr>
                <w:sz w:val="24"/>
                <w:szCs w:val="24"/>
              </w:rPr>
              <w:t>Limit: 500 000 zł na wszystkie wypadki i 500 000 zł na jeden wypadek w okresie ubezpieczenia</w:t>
            </w:r>
          </w:p>
        </w:tc>
      </w:tr>
    </w:tbl>
    <w:p w14:paraId="15FC6FCE" w14:textId="77777777" w:rsidR="00F36093" w:rsidRPr="00247F4D" w:rsidRDefault="00F36093" w:rsidP="00C17004">
      <w:pPr>
        <w:keepNext/>
        <w:spacing w:before="120" w:after="120"/>
        <w:jc w:val="center"/>
        <w:rPr>
          <w:b/>
          <w:bCs/>
          <w:sz w:val="28"/>
          <w:szCs w:val="28"/>
        </w:rPr>
      </w:pPr>
    </w:p>
    <w:p w14:paraId="105A00E3" w14:textId="77777777" w:rsidR="00C17004" w:rsidRPr="00247F4D" w:rsidRDefault="00C17004" w:rsidP="00C17004">
      <w:pPr>
        <w:keepNext/>
        <w:spacing w:before="120" w:after="120"/>
        <w:jc w:val="center"/>
        <w:rPr>
          <w:b/>
          <w:bCs/>
          <w:sz w:val="28"/>
          <w:szCs w:val="28"/>
        </w:rPr>
      </w:pPr>
      <w:r w:rsidRPr="00247F4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247F4D" w14:paraId="61B880C7"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67E0D024" w14:textId="77777777" w:rsidR="00C17004" w:rsidRPr="00247F4D" w:rsidRDefault="00C17004">
            <w:pPr>
              <w:keepNext/>
              <w:jc w:val="center"/>
              <w:rPr>
                <w:b/>
                <w:bCs/>
                <w:sz w:val="24"/>
                <w:szCs w:val="24"/>
              </w:rPr>
            </w:pPr>
            <w:r w:rsidRPr="00247F4D">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9DE074" w14:textId="77777777" w:rsidR="00C17004" w:rsidRPr="00247F4D" w:rsidRDefault="00C17004">
            <w:pPr>
              <w:keepNext/>
              <w:jc w:val="center"/>
              <w:rPr>
                <w:b/>
                <w:bCs/>
                <w:sz w:val="24"/>
                <w:szCs w:val="24"/>
              </w:rPr>
            </w:pPr>
            <w:r w:rsidRPr="00247F4D">
              <w:rPr>
                <w:b/>
                <w:bCs/>
                <w:sz w:val="24"/>
                <w:szCs w:val="24"/>
              </w:rPr>
              <w:t>Wysokość w zł</w:t>
            </w:r>
          </w:p>
        </w:tc>
      </w:tr>
      <w:tr w:rsidR="00C17004" w:rsidRPr="00247F4D" w14:paraId="1F4FA60D"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7E314CCC" w14:textId="77777777" w:rsidR="00C17004" w:rsidRPr="00247F4D" w:rsidRDefault="00C17004">
            <w:pPr>
              <w:keepNext/>
              <w:jc w:val="center"/>
              <w:rPr>
                <w:sz w:val="24"/>
                <w:szCs w:val="24"/>
              </w:rPr>
            </w:pPr>
            <w:r w:rsidRPr="00247F4D">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14:paraId="445C2DA3" w14:textId="4129E324" w:rsidR="00C17004" w:rsidRPr="00247F4D" w:rsidRDefault="00E808C8">
            <w:pPr>
              <w:keepNext/>
              <w:jc w:val="center"/>
              <w:rPr>
                <w:sz w:val="24"/>
                <w:szCs w:val="24"/>
              </w:rPr>
            </w:pPr>
            <w:r>
              <w:rPr>
                <w:sz w:val="24"/>
                <w:szCs w:val="24"/>
              </w:rPr>
              <w:t>1 000 000</w:t>
            </w:r>
          </w:p>
        </w:tc>
      </w:tr>
      <w:tr w:rsidR="00C17004" w:rsidRPr="00247F4D" w14:paraId="43295C18" w14:textId="77777777"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4DA20069" w14:textId="77777777" w:rsidR="00C17004" w:rsidRPr="00247F4D" w:rsidRDefault="00C17004">
            <w:pPr>
              <w:ind w:right="-2"/>
              <w:jc w:val="center"/>
              <w:rPr>
                <w:sz w:val="24"/>
                <w:szCs w:val="24"/>
              </w:rPr>
            </w:pPr>
            <w:r w:rsidRPr="00247F4D">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14:paraId="5AF6A51E" w14:textId="402EFCF1" w:rsidR="00C17004" w:rsidRPr="00247F4D" w:rsidRDefault="00E808C8">
            <w:pPr>
              <w:ind w:right="-2"/>
              <w:jc w:val="center"/>
              <w:rPr>
                <w:sz w:val="24"/>
                <w:szCs w:val="24"/>
              </w:rPr>
            </w:pPr>
            <w:r>
              <w:rPr>
                <w:sz w:val="24"/>
                <w:szCs w:val="24"/>
              </w:rPr>
              <w:t xml:space="preserve">1 000 000 </w:t>
            </w:r>
          </w:p>
        </w:tc>
      </w:tr>
    </w:tbl>
    <w:p w14:paraId="42100D0E" w14:textId="58855040" w:rsidR="00FF54AE" w:rsidRPr="00E808C8" w:rsidRDefault="00C17004" w:rsidP="00E808C8">
      <w:pPr>
        <w:pStyle w:val="NormalnyWeb"/>
        <w:tabs>
          <w:tab w:val="left" w:pos="0"/>
          <w:tab w:val="left" w:pos="708"/>
        </w:tabs>
        <w:jc w:val="both"/>
        <w:rPr>
          <w:b/>
          <w:bCs/>
          <w:color w:val="FF0000"/>
        </w:rPr>
      </w:pPr>
      <w:r w:rsidRPr="00247F4D">
        <w:rPr>
          <w:b/>
          <w:bCs/>
        </w:rPr>
        <w:t xml:space="preserve">Wszystkie </w:t>
      </w:r>
      <w:r w:rsidRPr="00E808C8">
        <w:rPr>
          <w:b/>
          <w:bCs/>
        </w:rPr>
        <w:t>podlimity sumy gwarancyjnej zostały określone na wszystkie i na jeden</w:t>
      </w:r>
      <w:r w:rsidR="00FF54AE" w:rsidRPr="00E808C8">
        <w:rPr>
          <w:b/>
          <w:bCs/>
        </w:rPr>
        <w:t xml:space="preserve"> </w:t>
      </w:r>
      <w:r w:rsidRPr="00E808C8">
        <w:rPr>
          <w:b/>
          <w:bCs/>
        </w:rPr>
        <w:t>wypadek</w:t>
      </w:r>
      <w:r w:rsidR="00454360" w:rsidRPr="00E808C8">
        <w:rPr>
          <w:b/>
          <w:bCs/>
        </w:rPr>
        <w:t>. Brak wprowadzonego limitu sumy gwarancyjnej oznacza odpowiedzialność do pełnej sumy gwarancyjnej.</w:t>
      </w:r>
    </w:p>
    <w:p w14:paraId="7CD1B18B" w14:textId="4321CFA6" w:rsidR="00C17004" w:rsidRPr="00247F4D" w:rsidRDefault="00C17004" w:rsidP="00FF54AE">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E808C8">
        <w:t>brak</w:t>
      </w:r>
    </w:p>
    <w:p w14:paraId="13950B13" w14:textId="20BE5568" w:rsidR="00C17004" w:rsidRPr="00247F4D" w:rsidRDefault="00C17004" w:rsidP="00FF54AE">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E808C8">
        <w:t>brak</w:t>
      </w:r>
    </w:p>
    <w:p w14:paraId="57D688D4" w14:textId="7E7B24FA" w:rsidR="00C17004" w:rsidRPr="00247F4D" w:rsidRDefault="00C17004" w:rsidP="00FF54AE">
      <w:pPr>
        <w:pStyle w:val="NormalnyWeb"/>
        <w:tabs>
          <w:tab w:val="left" w:pos="0"/>
          <w:tab w:val="left" w:pos="708"/>
        </w:tabs>
        <w:spacing w:before="0" w:beforeAutospacing="0" w:after="0" w:afterAutospacing="0"/>
        <w:ind w:right="-2"/>
        <w:jc w:val="both"/>
      </w:pPr>
      <w:r w:rsidRPr="00247F4D">
        <w:rPr>
          <w:b/>
          <w:bCs/>
        </w:rPr>
        <w:t xml:space="preserve">Franszyza redukcyjna: </w:t>
      </w:r>
      <w:r w:rsidR="00E808C8">
        <w:t>brak</w:t>
      </w:r>
    </w:p>
    <w:p w14:paraId="64C5DE53" w14:textId="77777777" w:rsidR="00B20493" w:rsidRPr="00247F4D" w:rsidRDefault="00B20493" w:rsidP="00FF54AE">
      <w:pPr>
        <w:pStyle w:val="NormalnyWeb"/>
        <w:tabs>
          <w:tab w:val="left" w:pos="0"/>
          <w:tab w:val="left" w:pos="708"/>
        </w:tabs>
        <w:spacing w:before="0" w:beforeAutospacing="0" w:after="0" w:afterAutospacing="0"/>
        <w:ind w:right="-2"/>
        <w:jc w:val="both"/>
      </w:pPr>
    </w:p>
    <w:p w14:paraId="15EEEFD8" w14:textId="77777777" w:rsidR="00B20493" w:rsidRPr="00E808C8" w:rsidRDefault="00B20493" w:rsidP="00FF54AE">
      <w:pPr>
        <w:pStyle w:val="NormalnyWeb"/>
        <w:tabs>
          <w:tab w:val="left" w:pos="0"/>
          <w:tab w:val="left" w:pos="708"/>
        </w:tabs>
        <w:spacing w:before="0" w:beforeAutospacing="0" w:after="0" w:afterAutospacing="0"/>
        <w:ind w:right="-2"/>
        <w:jc w:val="both"/>
      </w:pPr>
    </w:p>
    <w:p w14:paraId="0A73F535" w14:textId="77777777" w:rsidR="00B20493" w:rsidRPr="00E808C8" w:rsidRDefault="00B20493" w:rsidP="00B502E2">
      <w:pPr>
        <w:numPr>
          <w:ilvl w:val="0"/>
          <w:numId w:val="12"/>
        </w:numPr>
        <w:jc w:val="center"/>
        <w:rPr>
          <w:b/>
          <w:sz w:val="28"/>
          <w:szCs w:val="28"/>
          <w:u w:val="single"/>
        </w:rPr>
      </w:pPr>
      <w:r w:rsidRPr="00E808C8">
        <w:rPr>
          <w:b/>
          <w:sz w:val="28"/>
          <w:szCs w:val="28"/>
          <w:u w:val="single"/>
        </w:rPr>
        <w:t>UBEZPIECZENIE MIENIA OD WSZYSTKICH RYZYK</w:t>
      </w:r>
    </w:p>
    <w:p w14:paraId="1D92AD86" w14:textId="77777777" w:rsidR="00B20493" w:rsidRPr="00247F4D" w:rsidRDefault="00B20493" w:rsidP="00B20493">
      <w:pPr>
        <w:rPr>
          <w:sz w:val="24"/>
          <w:szCs w:val="24"/>
        </w:rPr>
      </w:pPr>
    </w:p>
    <w:p w14:paraId="1F17BB28" w14:textId="77777777" w:rsidR="00B20493" w:rsidRPr="00247F4D" w:rsidRDefault="00B20493">
      <w:pPr>
        <w:pStyle w:val="Akapitzlist"/>
        <w:keepNext/>
        <w:numPr>
          <w:ilvl w:val="0"/>
          <w:numId w:val="30"/>
        </w:numPr>
        <w:spacing w:before="240" w:after="120"/>
        <w:ind w:left="567" w:hanging="567"/>
        <w:rPr>
          <w:b/>
          <w:bCs/>
          <w:sz w:val="24"/>
          <w:szCs w:val="24"/>
        </w:rPr>
      </w:pPr>
      <w:r w:rsidRPr="00247F4D">
        <w:rPr>
          <w:b/>
          <w:bCs/>
          <w:sz w:val="24"/>
          <w:szCs w:val="24"/>
        </w:rPr>
        <w:lastRenderedPageBreak/>
        <w:t>Zakres ubezpieczenia:</w:t>
      </w:r>
    </w:p>
    <w:p w14:paraId="6C73C053" w14:textId="77777777" w:rsidR="000D702D" w:rsidRPr="00247F4D" w:rsidRDefault="000D702D" w:rsidP="000D702D">
      <w:pPr>
        <w:tabs>
          <w:tab w:val="left" w:pos="360"/>
        </w:tabs>
        <w:ind w:right="-2"/>
        <w:jc w:val="both"/>
        <w:rPr>
          <w:sz w:val="24"/>
          <w:szCs w:val="24"/>
        </w:rPr>
      </w:pPr>
      <w:r w:rsidRPr="00247F4D">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14:paraId="2FA62557" w14:textId="77777777" w:rsidR="000D702D" w:rsidRPr="00247F4D" w:rsidRDefault="000D702D" w:rsidP="000D702D">
      <w:pPr>
        <w:tabs>
          <w:tab w:val="left" w:pos="360"/>
        </w:tabs>
        <w:ind w:right="-2"/>
        <w:jc w:val="both"/>
        <w:rPr>
          <w:sz w:val="24"/>
          <w:szCs w:val="24"/>
        </w:rPr>
      </w:pPr>
      <w:r w:rsidRPr="00247F4D">
        <w:rPr>
          <w:sz w:val="24"/>
          <w:szCs w:val="24"/>
        </w:rPr>
        <w:t>1.</w:t>
      </w:r>
      <w:r w:rsidRPr="00247F4D">
        <w:rPr>
          <w:sz w:val="24"/>
          <w:szCs w:val="24"/>
        </w:rPr>
        <w:tab/>
        <w:t>Ogień, w tym również osmalenie i przypalenie, działanie dymu i sadzy, jeżeli pierwotną przyczyną był ogień,</w:t>
      </w:r>
    </w:p>
    <w:p w14:paraId="13F357BF" w14:textId="77777777" w:rsidR="000D702D" w:rsidRPr="00247F4D" w:rsidRDefault="000D702D" w:rsidP="000D702D">
      <w:pPr>
        <w:tabs>
          <w:tab w:val="left" w:pos="360"/>
        </w:tabs>
        <w:ind w:right="-2"/>
        <w:jc w:val="both"/>
        <w:rPr>
          <w:sz w:val="24"/>
          <w:szCs w:val="24"/>
        </w:rPr>
      </w:pPr>
      <w:r w:rsidRPr="00247F4D">
        <w:rPr>
          <w:sz w:val="24"/>
          <w:szCs w:val="24"/>
        </w:rPr>
        <w:t>2.</w:t>
      </w:r>
      <w:r w:rsidRPr="00247F4D">
        <w:rPr>
          <w:sz w:val="24"/>
          <w:szCs w:val="24"/>
        </w:rPr>
        <w:tab/>
        <w:t>Bezpośrednie uderzenie pioruna,</w:t>
      </w:r>
    </w:p>
    <w:p w14:paraId="7979E564" w14:textId="77777777" w:rsidR="000D702D" w:rsidRPr="00247F4D" w:rsidRDefault="000D702D" w:rsidP="000D702D">
      <w:pPr>
        <w:tabs>
          <w:tab w:val="left" w:pos="360"/>
        </w:tabs>
        <w:ind w:right="-2"/>
        <w:jc w:val="both"/>
        <w:rPr>
          <w:sz w:val="24"/>
          <w:szCs w:val="24"/>
        </w:rPr>
      </w:pPr>
      <w:r w:rsidRPr="00247F4D">
        <w:rPr>
          <w:sz w:val="24"/>
          <w:szCs w:val="24"/>
        </w:rPr>
        <w:t>3.</w:t>
      </w:r>
      <w:r w:rsidRPr="00247F4D">
        <w:rPr>
          <w:sz w:val="24"/>
          <w:szCs w:val="24"/>
        </w:rPr>
        <w:tab/>
        <w:t>Eksplozja, implozja</w:t>
      </w:r>
    </w:p>
    <w:p w14:paraId="54623792" w14:textId="77777777" w:rsidR="000D702D" w:rsidRPr="00247F4D" w:rsidRDefault="000D702D" w:rsidP="000D702D">
      <w:pPr>
        <w:tabs>
          <w:tab w:val="left" w:pos="360"/>
        </w:tabs>
        <w:ind w:right="-2"/>
        <w:jc w:val="both"/>
        <w:rPr>
          <w:sz w:val="24"/>
          <w:szCs w:val="24"/>
        </w:rPr>
      </w:pPr>
      <w:r w:rsidRPr="00247F4D">
        <w:rPr>
          <w:sz w:val="24"/>
          <w:szCs w:val="24"/>
        </w:rPr>
        <w:t>4.</w:t>
      </w:r>
      <w:r w:rsidRPr="00247F4D">
        <w:rPr>
          <w:sz w:val="24"/>
          <w:szCs w:val="24"/>
        </w:rPr>
        <w:tab/>
        <w:t>Upadek statku powietrznego, jego części lub przewożonego ładunku,</w:t>
      </w:r>
    </w:p>
    <w:p w14:paraId="56FABAD3" w14:textId="77777777" w:rsidR="000D702D" w:rsidRPr="00247F4D" w:rsidRDefault="000D702D" w:rsidP="000D702D">
      <w:pPr>
        <w:tabs>
          <w:tab w:val="left" w:pos="360"/>
        </w:tabs>
        <w:ind w:right="-2"/>
        <w:jc w:val="both"/>
        <w:rPr>
          <w:sz w:val="24"/>
          <w:szCs w:val="24"/>
        </w:rPr>
      </w:pPr>
      <w:r w:rsidRPr="00247F4D">
        <w:rPr>
          <w:sz w:val="24"/>
          <w:szCs w:val="24"/>
        </w:rPr>
        <w:t>5.</w:t>
      </w:r>
      <w:r w:rsidRPr="00247F4D">
        <w:rPr>
          <w:sz w:val="24"/>
          <w:szCs w:val="24"/>
        </w:rPr>
        <w:tab/>
        <w:t>Uderzenie pojazdu (w tym własnego) w ubezpieczane mienie,</w:t>
      </w:r>
    </w:p>
    <w:p w14:paraId="6BDE01DF" w14:textId="77777777" w:rsidR="000D702D" w:rsidRPr="00247F4D" w:rsidRDefault="000D702D" w:rsidP="000D702D">
      <w:pPr>
        <w:tabs>
          <w:tab w:val="left" w:pos="360"/>
        </w:tabs>
        <w:ind w:right="-2"/>
        <w:jc w:val="both"/>
        <w:rPr>
          <w:sz w:val="24"/>
          <w:szCs w:val="24"/>
        </w:rPr>
      </w:pPr>
      <w:r w:rsidRPr="00247F4D">
        <w:rPr>
          <w:sz w:val="24"/>
          <w:szCs w:val="24"/>
        </w:rPr>
        <w:t>6.</w:t>
      </w:r>
      <w:r w:rsidRPr="00247F4D">
        <w:rPr>
          <w:sz w:val="24"/>
          <w:szCs w:val="24"/>
        </w:rPr>
        <w:tab/>
        <w:t>Huk ponaddźwiękowy,</w:t>
      </w:r>
    </w:p>
    <w:p w14:paraId="354A3E74" w14:textId="18BEB6F9" w:rsidR="000D702D" w:rsidRPr="00E808C8" w:rsidRDefault="000D702D" w:rsidP="000D702D">
      <w:pPr>
        <w:tabs>
          <w:tab w:val="left" w:pos="360"/>
        </w:tabs>
        <w:ind w:right="-2"/>
        <w:jc w:val="both"/>
        <w:rPr>
          <w:sz w:val="24"/>
          <w:szCs w:val="24"/>
        </w:rPr>
      </w:pPr>
      <w:r w:rsidRPr="00247F4D">
        <w:rPr>
          <w:sz w:val="24"/>
          <w:szCs w:val="24"/>
        </w:rPr>
        <w:t>7.</w:t>
      </w:r>
      <w:r w:rsidRPr="00247F4D">
        <w:rPr>
          <w:sz w:val="24"/>
          <w:szCs w:val="24"/>
        </w:rPr>
        <w:tab/>
        <w:t xml:space="preserve">Powódź rozumiana m.in. jako zalanie ubezpieczanego mienia wskutek podniesienia się poziomu wód w zbiornikach </w:t>
      </w:r>
      <w:r w:rsidR="002A7F4B">
        <w:rPr>
          <w:sz w:val="24"/>
          <w:szCs w:val="24"/>
        </w:rPr>
        <w:t xml:space="preserve">i ciekach </w:t>
      </w:r>
      <w:r w:rsidRPr="00247F4D">
        <w:rPr>
          <w:sz w:val="24"/>
          <w:szCs w:val="24"/>
        </w:rPr>
        <w:t xml:space="preserve">stojących i płynących, podniesienia się poziomu wód gruntowych lub podziemnych, sztormu i podniesienia się poziomu wód morskich, tsunami, tworzenia się zatorów lodowych, przerwania tam, zabezpieczeń przeciwpowodziowych, także wskutek obfitych opadów atmosferycznych, topnienia mas lodu i śniegu, </w:t>
      </w:r>
      <w:r w:rsidR="002A7F4B">
        <w:rPr>
          <w:sz w:val="24"/>
          <w:szCs w:val="24"/>
        </w:rPr>
        <w:t xml:space="preserve">topnienia kry lodowej, </w:t>
      </w:r>
      <w:r w:rsidRPr="00247F4D">
        <w:rPr>
          <w:sz w:val="24"/>
          <w:szCs w:val="24"/>
        </w:rPr>
        <w:t>spływu wody po zboczach i stokach górskich oraz wystąpienie wody z systemów kanalizacyjnych będące następstwem wymienionych zjawisk, bez względu na teren, na którym znajduje się ubezpieczane mienie oraz bez względu na dotychczasową szkodowość.</w:t>
      </w:r>
    </w:p>
    <w:p w14:paraId="7C4AB89C" w14:textId="77777777" w:rsidR="000D702D" w:rsidRPr="00247F4D" w:rsidRDefault="000D702D" w:rsidP="000D702D">
      <w:pPr>
        <w:tabs>
          <w:tab w:val="left" w:pos="360"/>
        </w:tabs>
        <w:ind w:right="-2"/>
        <w:jc w:val="both"/>
        <w:rPr>
          <w:sz w:val="24"/>
          <w:szCs w:val="24"/>
        </w:rPr>
      </w:pPr>
      <w:r w:rsidRPr="00247F4D">
        <w:rPr>
          <w:sz w:val="24"/>
          <w:szCs w:val="24"/>
        </w:rPr>
        <w:t>8.</w:t>
      </w:r>
      <w:r w:rsidRPr="00247F4D">
        <w:rPr>
          <w:sz w:val="24"/>
          <w:szCs w:val="24"/>
        </w:rPr>
        <w:tab/>
        <w:t>Deszcz nawalny,</w:t>
      </w:r>
    </w:p>
    <w:p w14:paraId="59993C05" w14:textId="77777777" w:rsidR="000D702D" w:rsidRPr="00247F4D" w:rsidRDefault="000D702D" w:rsidP="000D702D">
      <w:pPr>
        <w:tabs>
          <w:tab w:val="left" w:pos="360"/>
        </w:tabs>
        <w:ind w:right="-2"/>
        <w:jc w:val="both"/>
        <w:rPr>
          <w:sz w:val="24"/>
          <w:szCs w:val="24"/>
        </w:rPr>
      </w:pPr>
      <w:r w:rsidRPr="00247F4D">
        <w:rPr>
          <w:sz w:val="24"/>
          <w:szCs w:val="24"/>
        </w:rPr>
        <w:t>9.</w:t>
      </w:r>
      <w:r w:rsidRPr="00247F4D">
        <w:rPr>
          <w:sz w:val="24"/>
          <w:szCs w:val="24"/>
        </w:rPr>
        <w:tab/>
        <w:t>Huragan – wiatr o sile przynajmniej 13 m/s,</w:t>
      </w:r>
    </w:p>
    <w:p w14:paraId="66A075B0" w14:textId="77777777" w:rsidR="000D702D" w:rsidRPr="00247F4D" w:rsidRDefault="000D702D" w:rsidP="000D702D">
      <w:pPr>
        <w:tabs>
          <w:tab w:val="left" w:pos="360"/>
        </w:tabs>
        <w:ind w:right="-2"/>
        <w:jc w:val="both"/>
        <w:rPr>
          <w:sz w:val="24"/>
          <w:szCs w:val="24"/>
        </w:rPr>
      </w:pPr>
      <w:r w:rsidRPr="00247F4D">
        <w:rPr>
          <w:sz w:val="24"/>
          <w:szCs w:val="24"/>
        </w:rPr>
        <w:t>10.</w:t>
      </w:r>
      <w:r w:rsidRPr="00247F4D">
        <w:rPr>
          <w:sz w:val="24"/>
          <w:szCs w:val="24"/>
        </w:rPr>
        <w:tab/>
        <w:t>Grad,</w:t>
      </w:r>
    </w:p>
    <w:p w14:paraId="34CFD407" w14:textId="77777777" w:rsidR="000D702D" w:rsidRPr="00247F4D" w:rsidRDefault="000D702D" w:rsidP="000D702D">
      <w:pPr>
        <w:tabs>
          <w:tab w:val="left" w:pos="360"/>
        </w:tabs>
        <w:ind w:right="-2"/>
        <w:jc w:val="both"/>
        <w:rPr>
          <w:sz w:val="24"/>
          <w:szCs w:val="24"/>
        </w:rPr>
      </w:pPr>
      <w:r w:rsidRPr="00247F4D">
        <w:rPr>
          <w:sz w:val="24"/>
          <w:szCs w:val="24"/>
        </w:rPr>
        <w:t>11.</w:t>
      </w:r>
      <w:r w:rsidRPr="00247F4D">
        <w:rPr>
          <w:sz w:val="24"/>
          <w:szCs w:val="24"/>
        </w:rPr>
        <w:tab/>
        <w:t>Napór śniegu lub lodu – bezpośrednie działanie ciężaru śniegu lub lodu na przedmiot ubezpieczenia albo przewrócenie się pod wpływem ciężaru śniegu lub lodu mienia sąsiedniego na ubezpieczone mienie,</w:t>
      </w:r>
    </w:p>
    <w:p w14:paraId="2405EA62" w14:textId="77777777" w:rsidR="000D702D" w:rsidRPr="00247F4D" w:rsidRDefault="000D702D" w:rsidP="000D702D">
      <w:pPr>
        <w:tabs>
          <w:tab w:val="left" w:pos="360"/>
        </w:tabs>
        <w:ind w:right="-2"/>
        <w:jc w:val="both"/>
        <w:rPr>
          <w:sz w:val="24"/>
          <w:szCs w:val="24"/>
        </w:rPr>
      </w:pPr>
      <w:r w:rsidRPr="00247F4D">
        <w:rPr>
          <w:sz w:val="24"/>
          <w:szCs w:val="24"/>
        </w:rPr>
        <w:t>12.</w:t>
      </w:r>
      <w:r w:rsidRPr="00247F4D">
        <w:rPr>
          <w:sz w:val="24"/>
          <w:szCs w:val="24"/>
        </w:rPr>
        <w:tab/>
        <w:t>Zapadanie lub osuwanie się ziemi, trzęsienie ziemi – nie będące następstwem działalności człowieka.</w:t>
      </w:r>
    </w:p>
    <w:p w14:paraId="11FD8347" w14:textId="77777777" w:rsidR="000D702D" w:rsidRPr="00247F4D" w:rsidRDefault="000D702D" w:rsidP="000D702D">
      <w:pPr>
        <w:tabs>
          <w:tab w:val="left" w:pos="360"/>
        </w:tabs>
        <w:ind w:right="-2"/>
        <w:jc w:val="both"/>
        <w:rPr>
          <w:sz w:val="24"/>
          <w:szCs w:val="24"/>
        </w:rPr>
      </w:pPr>
      <w:r w:rsidRPr="00247F4D">
        <w:rPr>
          <w:sz w:val="24"/>
          <w:szCs w:val="24"/>
        </w:rPr>
        <w:t>13.</w:t>
      </w:r>
      <w:r w:rsidRPr="00247F4D">
        <w:rPr>
          <w:sz w:val="24"/>
          <w:szCs w:val="24"/>
        </w:rPr>
        <w:tab/>
        <w:t>Lawina śniegu, lodu, błota, skał, ziemi z naturalnych zboczy,</w:t>
      </w:r>
    </w:p>
    <w:p w14:paraId="45A1EDD2" w14:textId="77777777" w:rsidR="000D702D" w:rsidRPr="00247F4D" w:rsidRDefault="000D702D" w:rsidP="000D702D">
      <w:pPr>
        <w:tabs>
          <w:tab w:val="left" w:pos="360"/>
        </w:tabs>
        <w:ind w:right="-2"/>
        <w:jc w:val="both"/>
        <w:rPr>
          <w:sz w:val="24"/>
          <w:szCs w:val="24"/>
        </w:rPr>
      </w:pPr>
      <w:r w:rsidRPr="00247F4D">
        <w:rPr>
          <w:sz w:val="24"/>
          <w:szCs w:val="24"/>
        </w:rPr>
        <w:t>14.</w:t>
      </w:r>
      <w:r w:rsidRPr="00247F4D">
        <w:rPr>
          <w:sz w:val="24"/>
          <w:szCs w:val="24"/>
        </w:rPr>
        <w:tab/>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14:paraId="702D5F83" w14:textId="77777777" w:rsidR="000D702D" w:rsidRPr="00247F4D" w:rsidRDefault="000D702D" w:rsidP="000D702D">
      <w:pPr>
        <w:tabs>
          <w:tab w:val="left" w:pos="360"/>
        </w:tabs>
        <w:ind w:right="-2"/>
        <w:jc w:val="both"/>
        <w:rPr>
          <w:sz w:val="24"/>
          <w:szCs w:val="24"/>
        </w:rPr>
      </w:pPr>
      <w:r w:rsidRPr="00247F4D">
        <w:rPr>
          <w:sz w:val="24"/>
          <w:szCs w:val="24"/>
        </w:rPr>
        <w:t>15. Szkody w ubezpieczonym mieniu powstałe w wyniku uderzenia lub przewrócenia się sąsiadujących obiektów (lub oderwanych od nich części), takich jak drzewa, maszty, kominy i itp.,  na ubezpieczone mienie,</w:t>
      </w:r>
    </w:p>
    <w:p w14:paraId="17B616B5" w14:textId="77777777" w:rsidR="000D702D" w:rsidRPr="00247F4D" w:rsidRDefault="000D702D" w:rsidP="000D702D">
      <w:pPr>
        <w:tabs>
          <w:tab w:val="left" w:pos="284"/>
        </w:tabs>
        <w:ind w:right="-2"/>
        <w:jc w:val="both"/>
        <w:rPr>
          <w:sz w:val="24"/>
          <w:szCs w:val="24"/>
        </w:rPr>
      </w:pPr>
      <w:r w:rsidRPr="00247F4D">
        <w:rPr>
          <w:sz w:val="24"/>
          <w:szCs w:val="24"/>
        </w:rPr>
        <w:lastRenderedPageBreak/>
        <w:t>16. Zbyt wysokie/niskie napięcie/natężenie lub ich zanik w sieci instalacji elektrycznej, niewłaściwe działanie prądu elektrycznego oraz działania wtórne</w:t>
      </w:r>
    </w:p>
    <w:p w14:paraId="3F91E9CE" w14:textId="77777777" w:rsidR="000D702D" w:rsidRPr="00247F4D" w:rsidRDefault="000D702D" w:rsidP="000D702D">
      <w:pPr>
        <w:tabs>
          <w:tab w:val="left" w:pos="360"/>
        </w:tabs>
        <w:ind w:right="-2"/>
        <w:jc w:val="both"/>
        <w:rPr>
          <w:sz w:val="24"/>
          <w:szCs w:val="24"/>
        </w:rPr>
      </w:pPr>
      <w:r w:rsidRPr="00247F4D">
        <w:rPr>
          <w:sz w:val="24"/>
          <w:szCs w:val="24"/>
        </w:rPr>
        <w:t>17.</w:t>
      </w:r>
      <w:r w:rsidRPr="00247F4D">
        <w:rPr>
          <w:sz w:val="24"/>
          <w:szCs w:val="24"/>
        </w:rPr>
        <w:tab/>
        <w:t>Pośrednie działanie wyładowań atmosferycznych i zjawisk pochodnych, przepięć spowodowanych zarówno wyładowaniem atmosferycznym, jak i powstałych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14:paraId="5BC36BAF" w14:textId="77777777" w:rsidR="000D702D" w:rsidRPr="00247F4D" w:rsidRDefault="000D702D" w:rsidP="000D702D">
      <w:pPr>
        <w:tabs>
          <w:tab w:val="left" w:pos="360"/>
        </w:tabs>
        <w:ind w:right="-2"/>
        <w:jc w:val="both"/>
        <w:rPr>
          <w:sz w:val="24"/>
          <w:szCs w:val="24"/>
        </w:rPr>
      </w:pPr>
      <w:r w:rsidRPr="00247F4D">
        <w:rPr>
          <w:sz w:val="24"/>
          <w:szCs w:val="24"/>
        </w:rPr>
        <w:t>Do ochrony ubezpieczeniowej pozostają włączone szkody powstałe we wszelkiego rodzaju wkładkach topikowych, bezpiecznikach, stycznikach, odgromnikach, ochronnikach przeciwprzepięciowych, czujnikach, żarówkach, lampach.</w:t>
      </w:r>
    </w:p>
    <w:p w14:paraId="73070F55" w14:textId="1E1F8CEF" w:rsidR="000D702D" w:rsidRPr="00E808C8" w:rsidRDefault="000D702D" w:rsidP="000D702D">
      <w:pPr>
        <w:tabs>
          <w:tab w:val="left" w:pos="360"/>
        </w:tabs>
        <w:ind w:right="-2"/>
        <w:jc w:val="both"/>
        <w:rPr>
          <w:sz w:val="24"/>
          <w:szCs w:val="24"/>
          <w:u w:val="single"/>
        </w:rPr>
      </w:pPr>
      <w:r w:rsidRPr="00E808C8">
        <w:rPr>
          <w:sz w:val="24"/>
          <w:szCs w:val="24"/>
          <w:u w:val="single"/>
        </w:rPr>
        <w:t xml:space="preserve">Limit </w:t>
      </w:r>
      <w:r w:rsidR="00E808C8" w:rsidRPr="00E808C8">
        <w:rPr>
          <w:sz w:val="24"/>
          <w:szCs w:val="24"/>
          <w:u w:val="single"/>
        </w:rPr>
        <w:t xml:space="preserve">250 000 </w:t>
      </w:r>
      <w:r w:rsidRPr="00E808C8">
        <w:rPr>
          <w:sz w:val="24"/>
          <w:szCs w:val="24"/>
          <w:u w:val="single"/>
        </w:rPr>
        <w:t xml:space="preserve"> zł na jedno i wszystkie zdarzenia w okresie ubezpieczenia</w:t>
      </w:r>
    </w:p>
    <w:p w14:paraId="7C82CDE5" w14:textId="77777777" w:rsidR="000D702D" w:rsidRPr="00247F4D" w:rsidRDefault="000D702D">
      <w:pPr>
        <w:pStyle w:val="Akapitzlist"/>
        <w:numPr>
          <w:ilvl w:val="0"/>
          <w:numId w:val="38"/>
        </w:numPr>
        <w:tabs>
          <w:tab w:val="left" w:pos="0"/>
          <w:tab w:val="left" w:pos="426"/>
        </w:tabs>
        <w:ind w:left="0" w:right="-2" w:firstLine="0"/>
        <w:jc w:val="both"/>
        <w:rPr>
          <w:sz w:val="24"/>
          <w:szCs w:val="24"/>
        </w:rPr>
      </w:pPr>
      <w:r w:rsidRPr="00247F4D">
        <w:rPr>
          <w:sz w:val="24"/>
          <w:szCs w:val="24"/>
        </w:rPr>
        <w:t>Szkody  elektryczne - rozszerza się zakres ochrony ubezpieczeniowej o szkody powstałe w ruchomościach w tym w maszynach, urządzeniach, aparatach oraz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przegrzaniu, okopceniu, uszkodzeniu izolacji.</w:t>
      </w:r>
    </w:p>
    <w:p w14:paraId="4121B603" w14:textId="6145EEF9" w:rsidR="000D702D" w:rsidRPr="00E808C8" w:rsidRDefault="000D702D" w:rsidP="000D702D">
      <w:pPr>
        <w:tabs>
          <w:tab w:val="left" w:pos="360"/>
        </w:tabs>
        <w:ind w:right="-2"/>
        <w:jc w:val="both"/>
        <w:rPr>
          <w:sz w:val="24"/>
          <w:szCs w:val="24"/>
          <w:u w:val="single"/>
        </w:rPr>
      </w:pPr>
      <w:r w:rsidRPr="00E808C8">
        <w:rPr>
          <w:sz w:val="24"/>
          <w:szCs w:val="24"/>
          <w:u w:val="single"/>
        </w:rPr>
        <w:t xml:space="preserve">Limit: </w:t>
      </w:r>
      <w:r w:rsidR="00E808C8" w:rsidRPr="00E808C8">
        <w:rPr>
          <w:sz w:val="24"/>
          <w:szCs w:val="24"/>
          <w:u w:val="single"/>
        </w:rPr>
        <w:t xml:space="preserve">250 000 zł </w:t>
      </w:r>
      <w:r w:rsidRPr="00E808C8">
        <w:rPr>
          <w:sz w:val="24"/>
          <w:szCs w:val="24"/>
          <w:u w:val="single"/>
        </w:rPr>
        <w:t>na jedno i wszystkie zdarzenia w okresie ubezpieczenia</w:t>
      </w:r>
    </w:p>
    <w:p w14:paraId="4550799D" w14:textId="77777777" w:rsidR="000D702D" w:rsidRDefault="000D702D" w:rsidP="000D702D">
      <w:pPr>
        <w:tabs>
          <w:tab w:val="left" w:pos="360"/>
        </w:tabs>
        <w:ind w:right="-2"/>
        <w:jc w:val="both"/>
        <w:rPr>
          <w:sz w:val="24"/>
        </w:rPr>
      </w:pPr>
      <w:r w:rsidRPr="00247F4D">
        <w:rPr>
          <w:sz w:val="24"/>
          <w:szCs w:val="24"/>
        </w:rPr>
        <w:t>19.</w:t>
      </w:r>
      <w:r w:rsidRPr="00247F4D">
        <w:rPr>
          <w:sz w:val="24"/>
          <w:szCs w:val="24"/>
        </w:rPr>
        <w:tab/>
        <w:t xml:space="preserve">Działanie człowieka, tj. m.in. niewłaściwe użytkowanie, nieostrożność, zaniedbanie, błędną obsługę, </w:t>
      </w:r>
      <w:r w:rsidRPr="00464510">
        <w:rPr>
          <w:sz w:val="24"/>
          <w:szCs w:val="24"/>
        </w:rPr>
        <w:t>zniszczenie przez osoby trzecie (w tym m.in. w wyniku c</w:t>
      </w:r>
      <w:r w:rsidR="00464510" w:rsidRPr="00464510">
        <w:rPr>
          <w:sz w:val="24"/>
          <w:szCs w:val="24"/>
        </w:rPr>
        <w:t xml:space="preserve">elowego i świadomego działania) </w:t>
      </w:r>
      <w:r w:rsidR="00464510" w:rsidRPr="00464510">
        <w:rPr>
          <w:sz w:val="24"/>
        </w:rPr>
        <w:t>– dotyczy także sprzętu elektronicznego, o ile włączono dodatkowe rozszerzenie zakresu ubezpieczenia dla sprzętu elektronicznego</w:t>
      </w:r>
    </w:p>
    <w:p w14:paraId="72194D3E" w14:textId="0FAE587D" w:rsidR="00E808C8" w:rsidRPr="00E808C8" w:rsidRDefault="00E808C8" w:rsidP="000D702D">
      <w:pPr>
        <w:tabs>
          <w:tab w:val="left" w:pos="360"/>
        </w:tabs>
        <w:ind w:right="-2"/>
        <w:jc w:val="both"/>
        <w:rPr>
          <w:sz w:val="24"/>
          <w:szCs w:val="24"/>
          <w:u w:val="single"/>
        </w:rPr>
      </w:pPr>
      <w:r w:rsidRPr="00E808C8">
        <w:rPr>
          <w:sz w:val="24"/>
          <w:szCs w:val="24"/>
          <w:u w:val="single"/>
        </w:rPr>
        <w:t>Limit: 2</w:t>
      </w:r>
      <w:r>
        <w:rPr>
          <w:sz w:val="24"/>
          <w:szCs w:val="24"/>
          <w:u w:val="single"/>
        </w:rPr>
        <w:t>0</w:t>
      </w:r>
      <w:r w:rsidRPr="00E808C8">
        <w:rPr>
          <w:sz w:val="24"/>
          <w:szCs w:val="24"/>
          <w:u w:val="single"/>
        </w:rPr>
        <w:t>0 000 zł na jedno i wszystkie zdarzenia w okresie ubezpieczenia</w:t>
      </w:r>
    </w:p>
    <w:p w14:paraId="3B5664C9" w14:textId="77777777" w:rsidR="000D702D" w:rsidRPr="00247F4D" w:rsidRDefault="000D702D" w:rsidP="000D702D">
      <w:pPr>
        <w:tabs>
          <w:tab w:val="left" w:pos="360"/>
        </w:tabs>
        <w:ind w:right="-2"/>
        <w:jc w:val="both"/>
        <w:rPr>
          <w:sz w:val="24"/>
          <w:szCs w:val="24"/>
        </w:rPr>
      </w:pPr>
      <w:r w:rsidRPr="00247F4D">
        <w:rPr>
          <w:sz w:val="24"/>
          <w:szCs w:val="24"/>
        </w:rPr>
        <w:t>20.</w:t>
      </w:r>
      <w:r w:rsidRPr="00247F4D">
        <w:rPr>
          <w:sz w:val="24"/>
          <w:szCs w:val="24"/>
        </w:rPr>
        <w:tab/>
        <w:t>Ryzyko dewastacji - ochroną ubezpieczeniową objęte jest mienie ruchome i nieruchome Ubezpieczonego (z wyłączeniem wartości pieniężnych) od zniszczenia lub uszkodzenia wskutek dewastacji</w:t>
      </w:r>
      <w:r w:rsidR="00464510">
        <w:rPr>
          <w:sz w:val="24"/>
          <w:szCs w:val="24"/>
        </w:rPr>
        <w:t xml:space="preserve"> związanej oraz niezwiązanej z kradzieżą</w:t>
      </w:r>
      <w:r w:rsidRPr="00247F4D">
        <w:rPr>
          <w:sz w:val="24"/>
          <w:szCs w:val="24"/>
        </w:rPr>
        <w:t>.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7C654A4F" w14:textId="1A54223D" w:rsidR="000D702D" w:rsidRPr="00E808C8" w:rsidRDefault="000D702D" w:rsidP="000D702D">
      <w:pPr>
        <w:tabs>
          <w:tab w:val="left" w:pos="360"/>
        </w:tabs>
        <w:ind w:right="-2"/>
        <w:jc w:val="both"/>
        <w:rPr>
          <w:sz w:val="24"/>
          <w:szCs w:val="24"/>
          <w:u w:val="single"/>
        </w:rPr>
      </w:pPr>
      <w:r w:rsidRPr="00E808C8">
        <w:rPr>
          <w:sz w:val="24"/>
          <w:szCs w:val="24"/>
          <w:u w:val="single"/>
        </w:rPr>
        <w:t xml:space="preserve">Limit </w:t>
      </w:r>
      <w:r w:rsidR="00E808C8" w:rsidRPr="00E808C8">
        <w:rPr>
          <w:sz w:val="24"/>
          <w:szCs w:val="24"/>
          <w:u w:val="single"/>
        </w:rPr>
        <w:t xml:space="preserve">200 000 </w:t>
      </w:r>
      <w:r w:rsidRPr="00E808C8">
        <w:rPr>
          <w:sz w:val="24"/>
          <w:szCs w:val="24"/>
          <w:u w:val="single"/>
        </w:rPr>
        <w:t xml:space="preserve">zł na jedno i wszystkie zdarzenia w okresie ubezpieczenia z podlimitem dla szkód  powstałych wskutek pomalowania w tym  graffiti w wysokości </w:t>
      </w:r>
      <w:r w:rsidR="00E808C8" w:rsidRPr="00E808C8">
        <w:rPr>
          <w:sz w:val="24"/>
          <w:szCs w:val="24"/>
          <w:u w:val="single"/>
        </w:rPr>
        <w:t>200 000</w:t>
      </w:r>
      <w:r w:rsidRPr="00E808C8">
        <w:rPr>
          <w:sz w:val="24"/>
          <w:szCs w:val="24"/>
          <w:u w:val="single"/>
        </w:rPr>
        <w:t xml:space="preserve"> zł na jedno i wszystkie zdarzenia w okresie ubezpieczenia</w:t>
      </w:r>
    </w:p>
    <w:p w14:paraId="54E0A9FD" w14:textId="77777777" w:rsidR="000D702D" w:rsidRPr="00247F4D" w:rsidRDefault="000D702D" w:rsidP="000D702D">
      <w:pPr>
        <w:tabs>
          <w:tab w:val="left" w:pos="360"/>
        </w:tabs>
        <w:ind w:right="-2"/>
        <w:jc w:val="both"/>
        <w:rPr>
          <w:sz w:val="24"/>
          <w:szCs w:val="24"/>
        </w:rPr>
      </w:pPr>
      <w:r w:rsidRPr="00247F4D">
        <w:rPr>
          <w:sz w:val="24"/>
          <w:szCs w:val="24"/>
        </w:rPr>
        <w:t>21.</w:t>
      </w:r>
      <w:r w:rsidRPr="00247F4D">
        <w:rPr>
          <w:sz w:val="24"/>
          <w:szCs w:val="24"/>
        </w:rPr>
        <w:tab/>
        <w:t>Kradzież z włamaniem i rabunek, wandalizm, dewastacja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14:paraId="49E64153" w14:textId="77777777" w:rsidR="000D702D" w:rsidRPr="00247F4D" w:rsidRDefault="000D702D" w:rsidP="000D702D">
      <w:pPr>
        <w:tabs>
          <w:tab w:val="left" w:pos="0"/>
        </w:tabs>
        <w:ind w:right="-2"/>
        <w:jc w:val="both"/>
        <w:rPr>
          <w:b/>
          <w:bCs/>
          <w:sz w:val="24"/>
          <w:szCs w:val="24"/>
        </w:rPr>
      </w:pPr>
      <w:r w:rsidRPr="00247F4D">
        <w:rPr>
          <w:sz w:val="24"/>
          <w:szCs w:val="24"/>
        </w:rPr>
        <w:lastRenderedPageBreak/>
        <w:t>22. Stłuczenia (rozbicie) ubezpieczonych przedmiotów. Przedmiotem ubezpieczenia są m.in.: 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 Szyby od stłuczenia objęte są także wówczas gdy stanowią środki obrotowe ubezpieczonego.</w:t>
      </w:r>
    </w:p>
    <w:p w14:paraId="2164F501" w14:textId="77777777" w:rsidR="000D702D" w:rsidRPr="00247F4D" w:rsidRDefault="000D702D" w:rsidP="000D702D">
      <w:pPr>
        <w:tabs>
          <w:tab w:val="left" w:pos="360"/>
        </w:tabs>
        <w:ind w:right="-2"/>
        <w:jc w:val="both"/>
        <w:rPr>
          <w:sz w:val="24"/>
          <w:szCs w:val="24"/>
        </w:rPr>
      </w:pPr>
      <w:r w:rsidRPr="00247F4D">
        <w:rPr>
          <w:sz w:val="24"/>
          <w:szCs w:val="24"/>
        </w:rPr>
        <w:t>23. Zanieczyszczenie lub skażenie ubezpieczanego mienia w wyniku zdarzeń objętych zakresem ubezpieczenia,</w:t>
      </w:r>
    </w:p>
    <w:p w14:paraId="3917F7C3" w14:textId="77777777" w:rsidR="000D702D" w:rsidRPr="00247F4D" w:rsidRDefault="000D702D" w:rsidP="000D702D">
      <w:pPr>
        <w:tabs>
          <w:tab w:val="left" w:pos="360"/>
        </w:tabs>
        <w:ind w:right="-2"/>
        <w:jc w:val="both"/>
        <w:rPr>
          <w:sz w:val="24"/>
          <w:szCs w:val="24"/>
        </w:rPr>
      </w:pPr>
      <w:r w:rsidRPr="00247F4D">
        <w:rPr>
          <w:sz w:val="24"/>
          <w:szCs w:val="24"/>
        </w:rPr>
        <w:t>24.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14:paraId="6788C9DB" w14:textId="77777777" w:rsidR="000D702D" w:rsidRPr="00247F4D" w:rsidRDefault="000D702D" w:rsidP="000D702D">
      <w:pPr>
        <w:tabs>
          <w:tab w:val="left" w:pos="360"/>
        </w:tabs>
        <w:ind w:right="-2"/>
        <w:jc w:val="both"/>
        <w:rPr>
          <w:sz w:val="24"/>
          <w:szCs w:val="24"/>
        </w:rPr>
      </w:pPr>
    </w:p>
    <w:p w14:paraId="05B4C47B" w14:textId="77777777" w:rsidR="00B20493" w:rsidRPr="00247F4D" w:rsidRDefault="000D702D" w:rsidP="00B20493">
      <w:pPr>
        <w:tabs>
          <w:tab w:val="left" w:pos="0"/>
        </w:tabs>
        <w:ind w:right="-2"/>
        <w:jc w:val="both"/>
        <w:rPr>
          <w:sz w:val="24"/>
          <w:szCs w:val="24"/>
        </w:rPr>
      </w:pPr>
      <w:r w:rsidRPr="00247F4D">
        <w:rPr>
          <w:sz w:val="24"/>
          <w:szCs w:val="24"/>
        </w:rPr>
        <w:t xml:space="preserve">Ochroną ubezpieczeniową objęta jest całość mienia zgłoszonego do ubezpieczenia bez względu na jego rodzaj. </w:t>
      </w:r>
    </w:p>
    <w:p w14:paraId="62CD9C9D" w14:textId="77777777" w:rsidR="009C3261" w:rsidRPr="00247F4D" w:rsidRDefault="009C3261" w:rsidP="00182335">
      <w:pPr>
        <w:jc w:val="both"/>
        <w:rPr>
          <w:sz w:val="24"/>
          <w:szCs w:val="24"/>
        </w:rPr>
      </w:pPr>
    </w:p>
    <w:p w14:paraId="04FE2A1A" w14:textId="77777777" w:rsidR="00B20493" w:rsidRPr="00247F4D" w:rsidRDefault="00B20493" w:rsidP="00B20493">
      <w:pPr>
        <w:rPr>
          <w:b/>
          <w:sz w:val="24"/>
          <w:szCs w:val="24"/>
        </w:rPr>
      </w:pPr>
    </w:p>
    <w:p w14:paraId="4D5B4147" w14:textId="52021215" w:rsidR="00B20493" w:rsidRPr="00182335" w:rsidRDefault="00B20493" w:rsidP="00182335">
      <w:pPr>
        <w:numPr>
          <w:ilvl w:val="0"/>
          <w:numId w:val="29"/>
        </w:numPr>
        <w:rPr>
          <w:sz w:val="24"/>
          <w:szCs w:val="24"/>
        </w:rPr>
      </w:pPr>
      <w:r w:rsidRPr="00182335">
        <w:rPr>
          <w:sz w:val="24"/>
          <w:szCs w:val="24"/>
        </w:rPr>
        <w:t xml:space="preserve">Wartość: odtworzeniowa </w:t>
      </w:r>
    </w:p>
    <w:p w14:paraId="40E41610" w14:textId="77777777" w:rsidR="00B20493" w:rsidRDefault="00B20493">
      <w:pPr>
        <w:numPr>
          <w:ilvl w:val="0"/>
          <w:numId w:val="29"/>
        </w:numPr>
        <w:rPr>
          <w:sz w:val="24"/>
          <w:szCs w:val="24"/>
        </w:rPr>
      </w:pPr>
      <w:r w:rsidRPr="00247F4D">
        <w:rPr>
          <w:sz w:val="24"/>
          <w:szCs w:val="24"/>
        </w:rPr>
        <w:t>System: na sumy stałe</w:t>
      </w:r>
    </w:p>
    <w:p w14:paraId="092F326A" w14:textId="77777777" w:rsidR="008F5F9C" w:rsidRDefault="008F5F9C" w:rsidP="008F5F9C">
      <w:pPr>
        <w:pStyle w:val="Akapitzlist"/>
        <w:spacing w:before="240" w:after="120"/>
        <w:ind w:left="0"/>
        <w:rPr>
          <w:bCs/>
          <w:sz w:val="24"/>
          <w:szCs w:val="24"/>
        </w:rPr>
      </w:pPr>
      <w:r>
        <w:rPr>
          <w:bCs/>
          <w:sz w:val="24"/>
          <w:szCs w:val="24"/>
        </w:rPr>
        <w:t>W przypadku mienia ubezpieczonego na sumy stałe nie ma zastosowania konsumpcja sumy ubezpieczenia po wypłacie odszkodowania.</w:t>
      </w:r>
    </w:p>
    <w:p w14:paraId="72ADD4BC" w14:textId="77777777" w:rsidR="008F5F9C" w:rsidRPr="008F5F9C" w:rsidRDefault="008F5F9C" w:rsidP="008F5F9C">
      <w:pPr>
        <w:ind w:left="480"/>
        <w:rPr>
          <w:sz w:val="24"/>
          <w:szCs w:val="24"/>
        </w:rPr>
      </w:pPr>
    </w:p>
    <w:p w14:paraId="2231E986" w14:textId="397868CC" w:rsidR="003F18A7" w:rsidRPr="00182335" w:rsidRDefault="00B20493" w:rsidP="00606587">
      <w:pPr>
        <w:keepNext/>
        <w:numPr>
          <w:ilvl w:val="0"/>
          <w:numId w:val="29"/>
        </w:numPr>
        <w:tabs>
          <w:tab w:val="left" w:pos="0"/>
          <w:tab w:val="left" w:pos="708"/>
        </w:tabs>
        <w:ind w:right="-2"/>
        <w:jc w:val="both"/>
        <w:rPr>
          <w:b/>
          <w:bCs/>
        </w:rPr>
      </w:pPr>
      <w:r w:rsidRPr="00247F4D">
        <w:rPr>
          <w:sz w:val="24"/>
          <w:szCs w:val="24"/>
        </w:rPr>
        <w:t xml:space="preserve">Przedmiot ubezpieczenia: </w:t>
      </w:r>
    </w:p>
    <w:p w14:paraId="467D561F" w14:textId="77777777" w:rsidR="00182335" w:rsidRDefault="00182335" w:rsidP="00182335">
      <w:pPr>
        <w:keepNext/>
        <w:tabs>
          <w:tab w:val="left" w:pos="0"/>
          <w:tab w:val="left" w:pos="708"/>
        </w:tabs>
        <w:ind w:left="480" w:right="-2"/>
        <w:jc w:val="both"/>
        <w:rPr>
          <w:color w:val="FF0000"/>
          <w:sz w:val="24"/>
          <w:szCs w:val="24"/>
        </w:rPr>
      </w:pPr>
    </w:p>
    <w:p w14:paraId="3E4BA5A3" w14:textId="77777777" w:rsidR="00182335" w:rsidRPr="0060087C" w:rsidRDefault="00182335" w:rsidP="00182335">
      <w:pPr>
        <w:pStyle w:val="Akapitzlist"/>
        <w:spacing w:before="240" w:after="120"/>
        <w:ind w:left="480"/>
        <w:jc w:val="both"/>
        <w:rPr>
          <w:b/>
          <w:bCs/>
          <w:sz w:val="24"/>
          <w:szCs w:val="24"/>
        </w:rPr>
      </w:pPr>
      <w:r w:rsidRPr="0060087C">
        <w:rPr>
          <w:bCs/>
          <w:sz w:val="24"/>
          <w:szCs w:val="24"/>
        </w:rPr>
        <w:t>Szafy dystrybucyjne wolnostojące, węzły telekomunikacyjne, rurociągi, rury osłonowe, zasobniki kablowe, studnie telekomunikacyjne, kable energetyczne, osprzęt telekomunikacyjny, wyposażenie węzłów w postaci urządzeń telekomunikacyjnych, zasilających i klimatyzujących  oraz inne elementy sieci optycznej w tym kable, przewody - wybudowane lub nabyte w ramach projektu „Sieć szerokopasmowa Polski wschodniej Województwo Podlaskie”.</w:t>
      </w:r>
    </w:p>
    <w:p w14:paraId="771E3847" w14:textId="77777777" w:rsidR="00182335" w:rsidRPr="0060087C" w:rsidRDefault="00182335" w:rsidP="00182335">
      <w:pPr>
        <w:pStyle w:val="Akapitzlist"/>
        <w:spacing w:before="240" w:after="120"/>
        <w:ind w:left="480"/>
        <w:rPr>
          <w:b/>
          <w:bCs/>
          <w:sz w:val="24"/>
          <w:szCs w:val="24"/>
        </w:rPr>
      </w:pPr>
      <w:r w:rsidRPr="0060087C">
        <w:rPr>
          <w:b/>
          <w:bCs/>
          <w:sz w:val="24"/>
          <w:szCs w:val="24"/>
        </w:rPr>
        <w:t>Suma ubezpieczenia 195 660 984,73 zł</w:t>
      </w:r>
    </w:p>
    <w:p w14:paraId="5D61E25E" w14:textId="77777777" w:rsidR="00182335" w:rsidRPr="0060087C" w:rsidRDefault="00182335" w:rsidP="00182335">
      <w:pPr>
        <w:keepNext/>
        <w:tabs>
          <w:tab w:val="left" w:pos="0"/>
          <w:tab w:val="left" w:pos="708"/>
        </w:tabs>
        <w:ind w:left="480" w:right="-2"/>
        <w:jc w:val="both"/>
        <w:rPr>
          <w:bCs/>
          <w:sz w:val="24"/>
          <w:szCs w:val="24"/>
        </w:rPr>
      </w:pPr>
      <w:r w:rsidRPr="0060087C">
        <w:rPr>
          <w:bCs/>
          <w:sz w:val="24"/>
          <w:szCs w:val="24"/>
        </w:rPr>
        <w:t>Suma ubezpieczenia nie zawiera podatku VAT – wartość netto</w:t>
      </w:r>
    </w:p>
    <w:p w14:paraId="15AD8ECA" w14:textId="77777777" w:rsidR="00182335" w:rsidRPr="00182335" w:rsidRDefault="00182335" w:rsidP="00182335">
      <w:pPr>
        <w:keepNext/>
        <w:tabs>
          <w:tab w:val="left" w:pos="0"/>
          <w:tab w:val="left" w:pos="708"/>
        </w:tabs>
        <w:ind w:left="480" w:right="-2"/>
        <w:jc w:val="both"/>
        <w:rPr>
          <w:b/>
          <w:bCs/>
        </w:rPr>
      </w:pPr>
    </w:p>
    <w:p w14:paraId="6FD8838E" w14:textId="428B62F2" w:rsidR="003F18A7" w:rsidRPr="00247F4D" w:rsidRDefault="003F18A7" w:rsidP="003F18A7">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182335">
        <w:t>brak</w:t>
      </w:r>
    </w:p>
    <w:p w14:paraId="603BE288" w14:textId="5424C4AE" w:rsidR="003F18A7" w:rsidRPr="00247F4D" w:rsidRDefault="003F18A7" w:rsidP="003F18A7">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182335">
        <w:t>brak</w:t>
      </w:r>
    </w:p>
    <w:p w14:paraId="746E76A9" w14:textId="5310890D" w:rsidR="003F18A7" w:rsidRPr="00247F4D" w:rsidRDefault="003F18A7" w:rsidP="003F18A7">
      <w:pPr>
        <w:pStyle w:val="NormalnyWeb"/>
        <w:tabs>
          <w:tab w:val="left" w:pos="0"/>
          <w:tab w:val="left" w:pos="708"/>
        </w:tabs>
        <w:spacing w:before="0" w:beforeAutospacing="0" w:after="0" w:afterAutospacing="0"/>
        <w:ind w:right="-2"/>
        <w:jc w:val="both"/>
      </w:pPr>
      <w:r w:rsidRPr="00247F4D">
        <w:rPr>
          <w:b/>
          <w:bCs/>
        </w:rPr>
        <w:t xml:space="preserve">Franszyza redukcyjna: </w:t>
      </w:r>
      <w:r w:rsidR="00182335">
        <w:t>brak</w:t>
      </w:r>
    </w:p>
    <w:p w14:paraId="4CCB29E1" w14:textId="77777777" w:rsidR="007C001D" w:rsidRPr="00247F4D" w:rsidRDefault="007C001D" w:rsidP="003F18A7">
      <w:pPr>
        <w:pStyle w:val="NormalnyWeb"/>
        <w:tabs>
          <w:tab w:val="left" w:pos="0"/>
          <w:tab w:val="left" w:pos="708"/>
        </w:tabs>
        <w:spacing w:before="0" w:beforeAutospacing="0" w:after="0" w:afterAutospacing="0"/>
        <w:ind w:right="-2"/>
        <w:jc w:val="both"/>
      </w:pPr>
    </w:p>
    <w:p w14:paraId="29127993" w14:textId="77777777" w:rsidR="007C001D" w:rsidRPr="00247F4D" w:rsidRDefault="007C001D" w:rsidP="007C001D">
      <w:pPr>
        <w:keepNext/>
        <w:keepLines/>
        <w:spacing w:before="360" w:after="240"/>
        <w:ind w:left="567"/>
        <w:jc w:val="center"/>
        <w:outlineLvl w:val="1"/>
        <w:rPr>
          <w:b/>
          <w:bCs/>
          <w:sz w:val="28"/>
          <w:szCs w:val="28"/>
          <w:u w:val="single"/>
        </w:rPr>
      </w:pPr>
      <w:r w:rsidRPr="00247F4D">
        <w:rPr>
          <w:b/>
          <w:bCs/>
          <w:sz w:val="28"/>
          <w:szCs w:val="28"/>
          <w:u w:val="single"/>
        </w:rPr>
        <w:lastRenderedPageBreak/>
        <w:t>ZASTOSOWANE LIMITY W SYSTEMIE NA PIERWSZE RYZYKO</w:t>
      </w:r>
    </w:p>
    <w:p w14:paraId="5E9FEA2D" w14:textId="77777777" w:rsidR="00182335" w:rsidRDefault="00182335" w:rsidP="007C001D">
      <w:pPr>
        <w:keepNext/>
        <w:keepLines/>
        <w:spacing w:before="360" w:after="240"/>
        <w:ind w:left="567"/>
        <w:jc w:val="center"/>
        <w:outlineLvl w:val="1"/>
        <w:rPr>
          <w:b/>
          <w:i/>
          <w:sz w:val="24"/>
          <w:szCs w:val="24"/>
        </w:rPr>
      </w:pPr>
    </w:p>
    <w:p w14:paraId="29B51807" w14:textId="3C4282C7" w:rsidR="007C001D" w:rsidRPr="00247F4D" w:rsidRDefault="007C001D" w:rsidP="007C001D">
      <w:pPr>
        <w:keepNext/>
        <w:keepLines/>
        <w:spacing w:before="360" w:after="240"/>
        <w:ind w:left="567"/>
        <w:jc w:val="center"/>
        <w:outlineLvl w:val="1"/>
        <w:rPr>
          <w:b/>
          <w:bCs/>
          <w:sz w:val="24"/>
          <w:szCs w:val="24"/>
        </w:rPr>
      </w:pPr>
      <w:r w:rsidRPr="00247F4D">
        <w:rPr>
          <w:b/>
          <w:bCs/>
          <w:sz w:val="24"/>
          <w:szCs w:val="24"/>
        </w:rPr>
        <w:t xml:space="preserve">RYZYKO KRADZIEŻY Z WŁAMANIEM I RABUNKU </w:t>
      </w:r>
    </w:p>
    <w:p w14:paraId="236794CB" w14:textId="77777777" w:rsidR="007C001D" w:rsidRPr="00247F4D" w:rsidRDefault="007C001D" w:rsidP="007C001D">
      <w:pPr>
        <w:keepNext/>
        <w:numPr>
          <w:ilvl w:val="0"/>
          <w:numId w:val="9"/>
        </w:numPr>
        <w:spacing w:before="240" w:after="120"/>
        <w:ind w:left="567" w:hanging="567"/>
        <w:rPr>
          <w:b/>
          <w:bCs/>
          <w:sz w:val="24"/>
          <w:szCs w:val="24"/>
        </w:rPr>
      </w:pPr>
      <w:r w:rsidRPr="00247F4D">
        <w:rPr>
          <w:b/>
          <w:bCs/>
          <w:sz w:val="24"/>
          <w:szCs w:val="24"/>
        </w:rPr>
        <w:t>Zakres ubezpieczenia:</w:t>
      </w:r>
    </w:p>
    <w:p w14:paraId="57C3F7D3" w14:textId="77777777" w:rsidR="007C001D" w:rsidRPr="00247F4D" w:rsidRDefault="007C001D" w:rsidP="007C001D">
      <w:pPr>
        <w:tabs>
          <w:tab w:val="left" w:pos="0"/>
        </w:tabs>
        <w:ind w:right="-2"/>
        <w:jc w:val="both"/>
        <w:rPr>
          <w:sz w:val="24"/>
          <w:szCs w:val="24"/>
        </w:rPr>
      </w:pPr>
      <w:r w:rsidRPr="00247F4D">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14:paraId="14074FD1" w14:textId="77777777" w:rsidR="007C001D" w:rsidRPr="00247F4D" w:rsidRDefault="007C001D" w:rsidP="007C001D">
      <w:pPr>
        <w:tabs>
          <w:tab w:val="left" w:pos="0"/>
        </w:tabs>
        <w:ind w:right="-2"/>
        <w:rPr>
          <w:sz w:val="24"/>
          <w:szCs w:val="24"/>
        </w:rPr>
      </w:pPr>
      <w:r w:rsidRPr="00247F4D">
        <w:rPr>
          <w:sz w:val="24"/>
          <w:szCs w:val="24"/>
        </w:rPr>
        <w:t>Sumy ubezpieczenia na poszczególne rodzaje mienia oraz dodatkowe rozszerzenia podane są poniżej.</w:t>
      </w:r>
    </w:p>
    <w:p w14:paraId="778DC98F" w14:textId="77777777" w:rsidR="007C001D" w:rsidRPr="00247F4D" w:rsidRDefault="007C001D" w:rsidP="007C001D">
      <w:pPr>
        <w:keepNext/>
        <w:numPr>
          <w:ilvl w:val="0"/>
          <w:numId w:val="9"/>
        </w:numPr>
        <w:spacing w:before="240" w:after="120"/>
        <w:ind w:left="567" w:hanging="567"/>
        <w:rPr>
          <w:b/>
          <w:bCs/>
          <w:sz w:val="24"/>
          <w:szCs w:val="24"/>
        </w:rPr>
      </w:pPr>
      <w:r w:rsidRPr="00247F4D">
        <w:rPr>
          <w:b/>
          <w:bCs/>
          <w:sz w:val="24"/>
          <w:szCs w:val="24"/>
        </w:rPr>
        <w:t xml:space="preserve">System: </w:t>
      </w:r>
      <w:r w:rsidRPr="00247F4D">
        <w:rPr>
          <w:sz w:val="24"/>
          <w:szCs w:val="24"/>
        </w:rPr>
        <w:t>na pierwsze ryzyko</w:t>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8"/>
        <w:gridCol w:w="2276"/>
      </w:tblGrid>
      <w:tr w:rsidR="00464510" w:rsidRPr="00247F4D" w14:paraId="282DEBEB" w14:textId="77777777" w:rsidTr="00464510">
        <w:trPr>
          <w:cantSplit/>
          <w:trHeight w:val="397"/>
          <w:tblHeader/>
          <w:jc w:val="center"/>
        </w:trPr>
        <w:tc>
          <w:tcPr>
            <w:tcW w:w="3471" w:type="pct"/>
            <w:tcBorders>
              <w:top w:val="single" w:sz="4" w:space="0" w:color="auto"/>
              <w:left w:val="single" w:sz="4" w:space="0" w:color="auto"/>
              <w:bottom w:val="single" w:sz="4" w:space="0" w:color="auto"/>
              <w:right w:val="single" w:sz="4" w:space="0" w:color="auto"/>
            </w:tcBorders>
            <w:vAlign w:val="center"/>
          </w:tcPr>
          <w:p w14:paraId="157A5B7A" w14:textId="77777777" w:rsidR="00464510" w:rsidRPr="00247F4D" w:rsidRDefault="00464510" w:rsidP="00486761">
            <w:pPr>
              <w:tabs>
                <w:tab w:val="left" w:pos="0"/>
              </w:tabs>
              <w:ind w:right="-2"/>
              <w:jc w:val="center"/>
              <w:rPr>
                <w:b/>
                <w:bCs/>
                <w:sz w:val="24"/>
                <w:szCs w:val="24"/>
              </w:rPr>
            </w:pPr>
          </w:p>
        </w:tc>
        <w:tc>
          <w:tcPr>
            <w:tcW w:w="1529" w:type="pct"/>
            <w:tcBorders>
              <w:top w:val="single" w:sz="4" w:space="0" w:color="auto"/>
              <w:left w:val="single" w:sz="4" w:space="0" w:color="auto"/>
              <w:bottom w:val="single" w:sz="4" w:space="0" w:color="auto"/>
              <w:right w:val="single" w:sz="4" w:space="0" w:color="auto"/>
            </w:tcBorders>
            <w:vAlign w:val="center"/>
            <w:hideMark/>
          </w:tcPr>
          <w:p w14:paraId="121419C9" w14:textId="77777777" w:rsidR="00464510" w:rsidRPr="00247F4D" w:rsidRDefault="00464510" w:rsidP="00486761">
            <w:pPr>
              <w:tabs>
                <w:tab w:val="left" w:pos="0"/>
              </w:tabs>
              <w:ind w:right="-2"/>
              <w:jc w:val="center"/>
              <w:rPr>
                <w:b/>
                <w:bCs/>
                <w:sz w:val="24"/>
                <w:szCs w:val="24"/>
              </w:rPr>
            </w:pPr>
            <w:r w:rsidRPr="00247F4D">
              <w:rPr>
                <w:b/>
                <w:bCs/>
                <w:sz w:val="24"/>
                <w:szCs w:val="24"/>
              </w:rPr>
              <w:t>Kradzież z włamaniem i rabunek</w:t>
            </w:r>
          </w:p>
        </w:tc>
      </w:tr>
      <w:tr w:rsidR="00464510" w:rsidRPr="00247F4D" w14:paraId="0031750C" w14:textId="77777777" w:rsidTr="00464510">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14:paraId="04C05D2F" w14:textId="1B232B0D" w:rsidR="00464510" w:rsidRPr="00247F4D" w:rsidRDefault="00182335" w:rsidP="00486761">
            <w:pPr>
              <w:rPr>
                <w:sz w:val="24"/>
                <w:szCs w:val="24"/>
              </w:rPr>
            </w:pPr>
            <w:r>
              <w:rPr>
                <w:sz w:val="24"/>
                <w:szCs w:val="24"/>
              </w:rPr>
              <w:t>M</w:t>
            </w:r>
            <w:r w:rsidRPr="00182335">
              <w:rPr>
                <w:sz w:val="24"/>
                <w:szCs w:val="24"/>
              </w:rPr>
              <w:t>ienie wybudowane lub nabyte w ramach projektu „Sieć szerokopasmowa Polski wschodniej Województwo Podlaskie”</w:t>
            </w:r>
          </w:p>
        </w:tc>
        <w:tc>
          <w:tcPr>
            <w:tcW w:w="1529" w:type="pct"/>
            <w:tcBorders>
              <w:top w:val="single" w:sz="4" w:space="0" w:color="auto"/>
              <w:left w:val="single" w:sz="4" w:space="0" w:color="auto"/>
              <w:bottom w:val="single" w:sz="4" w:space="0" w:color="auto"/>
              <w:right w:val="single" w:sz="4" w:space="0" w:color="auto"/>
            </w:tcBorders>
            <w:vAlign w:val="center"/>
          </w:tcPr>
          <w:p w14:paraId="62C37A23" w14:textId="77777777" w:rsidR="00464510" w:rsidRPr="00247F4D" w:rsidRDefault="00464510" w:rsidP="00486761">
            <w:pPr>
              <w:tabs>
                <w:tab w:val="left" w:pos="0"/>
              </w:tabs>
              <w:ind w:right="269"/>
              <w:jc w:val="right"/>
              <w:rPr>
                <w:sz w:val="24"/>
                <w:szCs w:val="24"/>
              </w:rPr>
            </w:pPr>
          </w:p>
        </w:tc>
      </w:tr>
    </w:tbl>
    <w:p w14:paraId="14A286AA" w14:textId="77777777" w:rsidR="007C001D" w:rsidRPr="00182335" w:rsidRDefault="007C001D" w:rsidP="007C001D">
      <w:pPr>
        <w:tabs>
          <w:tab w:val="left" w:pos="360"/>
        </w:tabs>
        <w:spacing w:before="240" w:after="120"/>
        <w:jc w:val="both"/>
        <w:rPr>
          <w:b/>
          <w:sz w:val="24"/>
          <w:szCs w:val="24"/>
        </w:rPr>
      </w:pPr>
      <w:r w:rsidRPr="00182335">
        <w:rPr>
          <w:b/>
          <w:sz w:val="24"/>
          <w:szCs w:val="24"/>
        </w:rPr>
        <w:t>Dodatkowe rozszerzenia zakresu ubezpieczenia:</w:t>
      </w:r>
    </w:p>
    <w:p w14:paraId="3A14E5F3" w14:textId="77777777" w:rsidR="007C001D" w:rsidRPr="00182335" w:rsidRDefault="007C001D">
      <w:pPr>
        <w:numPr>
          <w:ilvl w:val="0"/>
          <w:numId w:val="35"/>
        </w:numPr>
        <w:tabs>
          <w:tab w:val="left" w:pos="0"/>
        </w:tabs>
        <w:ind w:left="284" w:hanging="284"/>
        <w:rPr>
          <w:sz w:val="24"/>
          <w:szCs w:val="24"/>
        </w:rPr>
      </w:pPr>
      <w:r w:rsidRPr="00182335">
        <w:rPr>
          <w:b/>
          <w:sz w:val="24"/>
          <w:szCs w:val="24"/>
        </w:rPr>
        <w:t>Koszty naprawy zabezpieczeń</w:t>
      </w:r>
      <w:r w:rsidRPr="00182335">
        <w:rPr>
          <w:sz w:val="24"/>
          <w:szCs w:val="24"/>
        </w:rPr>
        <w:t xml:space="preserve"> </w:t>
      </w:r>
    </w:p>
    <w:p w14:paraId="4EC66BF9" w14:textId="7E709113" w:rsidR="007C001D" w:rsidRPr="00182335" w:rsidRDefault="007C001D" w:rsidP="007C001D">
      <w:pPr>
        <w:ind w:left="284"/>
        <w:rPr>
          <w:sz w:val="24"/>
          <w:szCs w:val="24"/>
        </w:rPr>
      </w:pPr>
      <w:r w:rsidRPr="00182335">
        <w:rPr>
          <w:sz w:val="24"/>
          <w:szCs w:val="24"/>
        </w:rPr>
        <w:t xml:space="preserve">Limit </w:t>
      </w:r>
      <w:r w:rsidR="00182335" w:rsidRPr="00182335">
        <w:rPr>
          <w:sz w:val="24"/>
          <w:szCs w:val="24"/>
        </w:rPr>
        <w:t xml:space="preserve">10 000 zł </w:t>
      </w:r>
      <w:r w:rsidRPr="00182335">
        <w:rPr>
          <w:sz w:val="24"/>
          <w:szCs w:val="24"/>
        </w:rPr>
        <w:t xml:space="preserve">na jedno i wszystkie zdarzenia w okresie ubezpieczenia </w:t>
      </w:r>
    </w:p>
    <w:p w14:paraId="2D292159" w14:textId="77777777" w:rsidR="007C001D" w:rsidRPr="00182335" w:rsidRDefault="007C001D" w:rsidP="007C001D">
      <w:pPr>
        <w:rPr>
          <w:sz w:val="24"/>
          <w:szCs w:val="24"/>
        </w:rPr>
      </w:pPr>
    </w:p>
    <w:p w14:paraId="1DF130C5" w14:textId="77777777" w:rsidR="007C001D" w:rsidRPr="00182335" w:rsidRDefault="007C001D">
      <w:pPr>
        <w:numPr>
          <w:ilvl w:val="0"/>
          <w:numId w:val="35"/>
        </w:numPr>
        <w:tabs>
          <w:tab w:val="left" w:pos="0"/>
        </w:tabs>
        <w:ind w:left="284" w:hanging="284"/>
        <w:jc w:val="both"/>
        <w:rPr>
          <w:sz w:val="24"/>
          <w:szCs w:val="24"/>
        </w:rPr>
      </w:pPr>
      <w:r w:rsidRPr="00182335">
        <w:rPr>
          <w:sz w:val="24"/>
          <w:szCs w:val="24"/>
        </w:rPr>
        <w:t xml:space="preserve">Ochrona ubezpieczeniowa obejmuje również </w:t>
      </w:r>
      <w:r w:rsidRPr="00182335">
        <w:rPr>
          <w:b/>
          <w:sz w:val="24"/>
          <w:szCs w:val="24"/>
        </w:rPr>
        <w:t>mienie zewnętrzne i wewnętrzne</w:t>
      </w:r>
      <w:r w:rsidRPr="00182335">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14:paraId="48E8BC73" w14:textId="4AA0FE7F" w:rsidR="007C001D" w:rsidRPr="00182335" w:rsidRDefault="007C001D" w:rsidP="007C001D">
      <w:pPr>
        <w:ind w:left="284"/>
        <w:rPr>
          <w:sz w:val="24"/>
          <w:szCs w:val="24"/>
        </w:rPr>
      </w:pPr>
      <w:r w:rsidRPr="00182335">
        <w:rPr>
          <w:sz w:val="24"/>
          <w:szCs w:val="24"/>
        </w:rPr>
        <w:t xml:space="preserve">Limit </w:t>
      </w:r>
      <w:r w:rsidR="00182335" w:rsidRPr="00182335">
        <w:rPr>
          <w:sz w:val="24"/>
          <w:szCs w:val="24"/>
        </w:rPr>
        <w:t xml:space="preserve">10 000 zł </w:t>
      </w:r>
      <w:r w:rsidRPr="00182335">
        <w:rPr>
          <w:sz w:val="24"/>
          <w:szCs w:val="24"/>
        </w:rPr>
        <w:t xml:space="preserve">na jedno i wszystkie zdarzenia w okresie ubezpieczenia </w:t>
      </w:r>
    </w:p>
    <w:p w14:paraId="23925B2D" w14:textId="77777777" w:rsidR="007C001D" w:rsidRPr="00247F4D" w:rsidRDefault="007C001D" w:rsidP="007C001D">
      <w:pPr>
        <w:ind w:left="284"/>
        <w:rPr>
          <w:color w:val="FF0000"/>
          <w:sz w:val="24"/>
          <w:szCs w:val="24"/>
        </w:rPr>
      </w:pPr>
    </w:p>
    <w:p w14:paraId="69E71C03" w14:textId="34EBBBB3" w:rsidR="007C001D" w:rsidRPr="00247F4D" w:rsidRDefault="007C001D" w:rsidP="007C001D">
      <w:pPr>
        <w:keepNext/>
        <w:tabs>
          <w:tab w:val="left" w:pos="0"/>
          <w:tab w:val="left" w:pos="708"/>
        </w:tabs>
        <w:ind w:right="-2"/>
        <w:jc w:val="both"/>
        <w:rPr>
          <w:b/>
          <w:bCs/>
          <w:sz w:val="24"/>
          <w:szCs w:val="24"/>
        </w:rPr>
      </w:pPr>
      <w:r w:rsidRPr="00247F4D">
        <w:rPr>
          <w:b/>
          <w:bCs/>
          <w:sz w:val="24"/>
          <w:szCs w:val="24"/>
        </w:rPr>
        <w:t>Udział własny:</w:t>
      </w:r>
      <w:r w:rsidR="00182335">
        <w:rPr>
          <w:sz w:val="24"/>
          <w:szCs w:val="24"/>
        </w:rPr>
        <w:t xml:space="preserve"> brak</w:t>
      </w:r>
    </w:p>
    <w:p w14:paraId="622A8CB5" w14:textId="6BC9BC14" w:rsidR="007C001D" w:rsidRPr="00247F4D" w:rsidRDefault="007C001D" w:rsidP="007C001D">
      <w:pPr>
        <w:keepNext/>
        <w:tabs>
          <w:tab w:val="left" w:pos="0"/>
          <w:tab w:val="left" w:pos="708"/>
        </w:tabs>
        <w:jc w:val="both"/>
        <w:rPr>
          <w:b/>
          <w:bCs/>
          <w:sz w:val="24"/>
          <w:szCs w:val="24"/>
        </w:rPr>
      </w:pPr>
      <w:r w:rsidRPr="00247F4D">
        <w:rPr>
          <w:b/>
          <w:bCs/>
          <w:sz w:val="24"/>
          <w:szCs w:val="24"/>
        </w:rPr>
        <w:t xml:space="preserve">Franszyza integralna: </w:t>
      </w:r>
      <w:r w:rsidR="00182335">
        <w:rPr>
          <w:sz w:val="24"/>
          <w:szCs w:val="24"/>
        </w:rPr>
        <w:t>brak</w:t>
      </w:r>
    </w:p>
    <w:p w14:paraId="1564F1FE" w14:textId="4876E1F4" w:rsidR="007C001D" w:rsidRPr="00247F4D" w:rsidRDefault="007C001D" w:rsidP="007C001D">
      <w:pPr>
        <w:tabs>
          <w:tab w:val="left" w:pos="0"/>
          <w:tab w:val="left" w:pos="708"/>
        </w:tabs>
        <w:ind w:right="-2"/>
        <w:jc w:val="both"/>
        <w:rPr>
          <w:sz w:val="24"/>
          <w:szCs w:val="24"/>
        </w:rPr>
      </w:pPr>
      <w:r w:rsidRPr="00247F4D">
        <w:rPr>
          <w:b/>
          <w:bCs/>
          <w:sz w:val="24"/>
          <w:szCs w:val="24"/>
        </w:rPr>
        <w:t>Franszyza redukcyjna:</w:t>
      </w:r>
      <w:r w:rsidR="00182335">
        <w:rPr>
          <w:sz w:val="24"/>
          <w:szCs w:val="24"/>
        </w:rPr>
        <w:t xml:space="preserve"> brak</w:t>
      </w:r>
    </w:p>
    <w:p w14:paraId="5CA468E0" w14:textId="77777777" w:rsidR="007C001D" w:rsidRPr="00247F4D" w:rsidRDefault="007C001D" w:rsidP="003F18A7">
      <w:pPr>
        <w:pStyle w:val="NormalnyWeb"/>
        <w:tabs>
          <w:tab w:val="left" w:pos="0"/>
          <w:tab w:val="left" w:pos="708"/>
        </w:tabs>
        <w:spacing w:before="0" w:beforeAutospacing="0" w:after="0" w:afterAutospacing="0"/>
        <w:ind w:right="-2"/>
        <w:jc w:val="both"/>
      </w:pPr>
    </w:p>
    <w:p w14:paraId="51201255" w14:textId="77777777" w:rsidR="00182335" w:rsidRPr="00247F4D" w:rsidRDefault="00182335" w:rsidP="00182335">
      <w:pPr>
        <w:keepNext/>
        <w:spacing w:before="240" w:after="120"/>
        <w:ind w:left="62"/>
        <w:jc w:val="center"/>
        <w:outlineLvl w:val="1"/>
        <w:rPr>
          <w:b/>
          <w:bCs/>
          <w:sz w:val="28"/>
          <w:szCs w:val="28"/>
          <w:u w:val="single"/>
        </w:rPr>
      </w:pPr>
      <w:r w:rsidRPr="00247F4D">
        <w:rPr>
          <w:b/>
          <w:bCs/>
          <w:sz w:val="28"/>
          <w:szCs w:val="28"/>
          <w:u w:val="single"/>
        </w:rPr>
        <w:t>KLAUZULE DODATKOWE - INFORMACJA DLA WYKONAWCÓW</w:t>
      </w:r>
    </w:p>
    <w:p w14:paraId="566C1FAB" w14:textId="77777777" w:rsidR="00182335" w:rsidRPr="00247F4D" w:rsidRDefault="00182335" w:rsidP="00182335">
      <w:pPr>
        <w:numPr>
          <w:ilvl w:val="3"/>
          <w:numId w:val="19"/>
        </w:numPr>
        <w:tabs>
          <w:tab w:val="clear" w:pos="794"/>
          <w:tab w:val="num" w:pos="0"/>
        </w:tabs>
        <w:spacing w:before="240" w:after="120"/>
        <w:ind w:left="403" w:hanging="403"/>
        <w:outlineLvl w:val="1"/>
        <w:rPr>
          <w:sz w:val="24"/>
          <w:szCs w:val="24"/>
        </w:rPr>
      </w:pPr>
      <w:r w:rsidRPr="00247F4D">
        <w:rPr>
          <w:sz w:val="24"/>
          <w:szCs w:val="24"/>
        </w:rPr>
        <w:t>Adekwatnie do ryzyk, w których mają zastosowanie, w programie ubezpieczeniowym obowiązują klauzule dodatkowe.</w:t>
      </w:r>
    </w:p>
    <w:p w14:paraId="0D07C654" w14:textId="77777777" w:rsidR="00182335" w:rsidRPr="00247F4D" w:rsidRDefault="00182335" w:rsidP="00182335">
      <w:pPr>
        <w:spacing w:before="120" w:after="120"/>
        <w:ind w:left="403"/>
        <w:outlineLvl w:val="1"/>
        <w:rPr>
          <w:sz w:val="24"/>
          <w:szCs w:val="24"/>
        </w:rPr>
      </w:pPr>
    </w:p>
    <w:tbl>
      <w:tblPr>
        <w:tblW w:w="9429" w:type="dxa"/>
        <w:tblInd w:w="-639" w:type="dxa"/>
        <w:tblCellMar>
          <w:left w:w="70" w:type="dxa"/>
          <w:right w:w="70" w:type="dxa"/>
        </w:tblCellMar>
        <w:tblLook w:val="04A0" w:firstRow="1" w:lastRow="0" w:firstColumn="1" w:lastColumn="0" w:noHBand="0" w:noVBand="1"/>
      </w:tblPr>
      <w:tblGrid>
        <w:gridCol w:w="567"/>
        <w:gridCol w:w="4253"/>
        <w:gridCol w:w="1134"/>
        <w:gridCol w:w="1843"/>
        <w:gridCol w:w="1632"/>
      </w:tblGrid>
      <w:tr w:rsidR="00182335" w:rsidRPr="00247F4D" w14:paraId="0EA4CFFC" w14:textId="77777777" w:rsidTr="00C254FD">
        <w:trPr>
          <w:trHeight w:val="2007"/>
        </w:trPr>
        <w:tc>
          <w:tcPr>
            <w:tcW w:w="567" w:type="dxa"/>
            <w:tcBorders>
              <w:top w:val="nil"/>
              <w:left w:val="nil"/>
              <w:bottom w:val="nil"/>
              <w:right w:val="nil"/>
            </w:tcBorders>
            <w:shd w:val="clear" w:color="auto" w:fill="auto"/>
            <w:noWrap/>
            <w:vAlign w:val="bottom"/>
            <w:hideMark/>
          </w:tcPr>
          <w:p w14:paraId="7E504ADF" w14:textId="77777777" w:rsidR="00182335" w:rsidRPr="00247F4D" w:rsidRDefault="00182335" w:rsidP="00C254FD"/>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53C5A" w14:textId="77777777" w:rsidR="00182335" w:rsidRPr="00247F4D" w:rsidRDefault="00182335" w:rsidP="00C254FD">
            <w:pPr>
              <w:rPr>
                <w:color w:val="000000"/>
              </w:rPr>
            </w:pPr>
            <w:r w:rsidRPr="00247F4D">
              <w:rPr>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F945E8" w14:textId="77777777" w:rsidR="00182335" w:rsidRPr="00247F4D" w:rsidRDefault="00182335" w:rsidP="00C254FD">
            <w:pPr>
              <w:jc w:val="center"/>
              <w:rPr>
                <w:b/>
                <w:bCs/>
                <w:color w:val="000000"/>
              </w:rPr>
            </w:pPr>
            <w:r w:rsidRPr="00247F4D">
              <w:rPr>
                <w:b/>
                <w:bCs/>
                <w:color w:val="000000"/>
              </w:rPr>
              <w:t>Status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FB7666" w14:textId="77777777" w:rsidR="00182335" w:rsidRPr="00247F4D" w:rsidRDefault="00182335" w:rsidP="00C254FD">
            <w:pPr>
              <w:jc w:val="center"/>
              <w:rPr>
                <w:b/>
                <w:bCs/>
                <w:color w:val="000000"/>
              </w:rPr>
            </w:pPr>
            <w:r w:rsidRPr="00247F4D">
              <w:rPr>
                <w:b/>
                <w:bCs/>
                <w:color w:val="000000"/>
              </w:rPr>
              <w:t>Ubezpieczenie odpowiedzialności cywilnej z tyt. prowadzonej działalności i posiadanego mienia</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37FA0BD6" w14:textId="77777777" w:rsidR="00182335" w:rsidRPr="002660F4" w:rsidRDefault="00182335" w:rsidP="00C254FD">
            <w:pPr>
              <w:jc w:val="center"/>
              <w:rPr>
                <w:b/>
                <w:bCs/>
              </w:rPr>
            </w:pPr>
            <w:r w:rsidRPr="002660F4">
              <w:rPr>
                <w:b/>
                <w:bCs/>
              </w:rPr>
              <w:t>Ubezpieczenie mienia od wszystkich ryzyk</w:t>
            </w:r>
          </w:p>
        </w:tc>
      </w:tr>
      <w:tr w:rsidR="00182335" w:rsidRPr="00B07650" w14:paraId="062989F8" w14:textId="77777777" w:rsidTr="00C254FD">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B5B6" w14:textId="77777777" w:rsidR="00182335" w:rsidRPr="00247F4D"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1906E5AE" w14:textId="77777777" w:rsidR="00182335" w:rsidRPr="00B07650" w:rsidRDefault="00182335" w:rsidP="00C254FD">
            <w:pPr>
              <w:rPr>
                <w:b/>
                <w:bCs/>
                <w:color w:val="000000"/>
              </w:rPr>
            </w:pPr>
            <w:r w:rsidRPr="00B07650">
              <w:rPr>
                <w:b/>
                <w:bCs/>
                <w:color w:val="000000"/>
              </w:rPr>
              <w:t>Klauzula reprezentantów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60087"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6F1D59"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C528" w14:textId="77777777" w:rsidR="00182335" w:rsidRPr="00B07650" w:rsidRDefault="00182335" w:rsidP="00C254FD">
            <w:pPr>
              <w:jc w:val="center"/>
              <w:rPr>
                <w:b/>
                <w:bCs/>
              </w:rPr>
            </w:pPr>
            <w:r w:rsidRPr="00B07650">
              <w:rPr>
                <w:b/>
                <w:bCs/>
                <w:sz w:val="22"/>
                <w:szCs w:val="22"/>
              </w:rPr>
              <w:t>+</w:t>
            </w:r>
          </w:p>
        </w:tc>
      </w:tr>
      <w:tr w:rsidR="00182335" w:rsidRPr="00B07650" w14:paraId="408A0225"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9E9AEE" w14:textId="77777777" w:rsidR="00182335" w:rsidRPr="00B07650" w:rsidRDefault="00182335" w:rsidP="00C254FD">
            <w:pPr>
              <w:numPr>
                <w:ilvl w:val="0"/>
                <w:numId w:val="36"/>
              </w:numPr>
              <w:ind w:left="499" w:hanging="427"/>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19AA59E8" w14:textId="77777777" w:rsidR="00182335" w:rsidRPr="00B07650" w:rsidRDefault="00182335" w:rsidP="00C254FD">
            <w:pPr>
              <w:rPr>
                <w:b/>
                <w:bCs/>
                <w:color w:val="000000"/>
              </w:rPr>
            </w:pPr>
            <w:r w:rsidRPr="00B07650">
              <w:rPr>
                <w:b/>
                <w:bCs/>
                <w:color w:val="000000"/>
              </w:rPr>
              <w:t>Klauzula automatycznego pokrycia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7CAAA"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8369AC5"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6E8E" w14:textId="77777777" w:rsidR="00182335" w:rsidRPr="00B07650" w:rsidRDefault="00182335" w:rsidP="00C254FD">
            <w:pPr>
              <w:jc w:val="center"/>
              <w:rPr>
                <w:b/>
                <w:bCs/>
              </w:rPr>
            </w:pPr>
            <w:r w:rsidRPr="00B07650">
              <w:rPr>
                <w:b/>
                <w:bCs/>
                <w:sz w:val="22"/>
                <w:szCs w:val="22"/>
              </w:rPr>
              <w:t>+</w:t>
            </w:r>
          </w:p>
        </w:tc>
      </w:tr>
      <w:tr w:rsidR="00182335" w:rsidRPr="00B07650" w14:paraId="28F3B607"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12700"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3AC1F182" w14:textId="77777777" w:rsidR="00182335" w:rsidRPr="00B07650" w:rsidRDefault="00182335" w:rsidP="00C254FD">
            <w:pPr>
              <w:rPr>
                <w:b/>
                <w:bCs/>
                <w:color w:val="000000"/>
              </w:rPr>
            </w:pPr>
            <w:r w:rsidRPr="00B07650">
              <w:rPr>
                <w:b/>
                <w:bCs/>
                <w:color w:val="000000"/>
              </w:rPr>
              <w:t>Klauzula automatycznego pokrycia majątku nabytego po zebraniu danych do SWZ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5ADF25"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22F5CE4"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777C" w14:textId="77777777" w:rsidR="00182335" w:rsidRPr="00B07650" w:rsidRDefault="00182335" w:rsidP="00C254FD">
            <w:pPr>
              <w:jc w:val="center"/>
              <w:rPr>
                <w:b/>
                <w:bCs/>
              </w:rPr>
            </w:pPr>
            <w:r w:rsidRPr="00B07650">
              <w:rPr>
                <w:b/>
                <w:bCs/>
                <w:sz w:val="22"/>
                <w:szCs w:val="22"/>
              </w:rPr>
              <w:t>+</w:t>
            </w:r>
          </w:p>
        </w:tc>
      </w:tr>
      <w:tr w:rsidR="00182335" w:rsidRPr="00B07650" w14:paraId="2FB7A870"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AE630"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597D8964" w14:textId="77777777" w:rsidR="00182335" w:rsidRPr="00B07650" w:rsidRDefault="00182335" w:rsidP="00C254FD">
            <w:pPr>
              <w:rPr>
                <w:b/>
                <w:bCs/>
                <w:color w:val="000000"/>
              </w:rPr>
            </w:pPr>
            <w:r w:rsidRPr="00B07650">
              <w:rPr>
                <w:b/>
                <w:bCs/>
                <w:color w:val="000000"/>
              </w:rPr>
              <w:t>Klauzula wartości mienia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CA5E2"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0449FCD"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4701" w14:textId="77777777" w:rsidR="00182335" w:rsidRPr="00B07650" w:rsidRDefault="00182335" w:rsidP="00C254FD">
            <w:pPr>
              <w:jc w:val="center"/>
              <w:rPr>
                <w:b/>
                <w:bCs/>
              </w:rPr>
            </w:pPr>
            <w:r w:rsidRPr="00B07650">
              <w:rPr>
                <w:b/>
                <w:bCs/>
                <w:sz w:val="22"/>
                <w:szCs w:val="22"/>
              </w:rPr>
              <w:t>+</w:t>
            </w:r>
          </w:p>
        </w:tc>
      </w:tr>
      <w:tr w:rsidR="00182335" w:rsidRPr="00B07650" w14:paraId="1647D8A9" w14:textId="77777777" w:rsidTr="00C254FD">
        <w:trPr>
          <w:trHeight w:val="8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C59792"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3E548F6F" w14:textId="77777777" w:rsidR="00182335" w:rsidRPr="00B07650" w:rsidRDefault="00182335" w:rsidP="00C254FD">
            <w:pPr>
              <w:rPr>
                <w:b/>
                <w:bCs/>
                <w:color w:val="000000"/>
              </w:rPr>
            </w:pPr>
            <w:r w:rsidRPr="00B07650">
              <w:rPr>
                <w:b/>
                <w:bCs/>
                <w:color w:val="000000"/>
              </w:rPr>
              <w:t>Klauzula samolikwidacji małych szkód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F7588"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51CC4EF"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FF8F" w14:textId="77777777" w:rsidR="00182335" w:rsidRPr="00B07650" w:rsidRDefault="00182335" w:rsidP="00C254FD">
            <w:pPr>
              <w:jc w:val="center"/>
              <w:rPr>
                <w:b/>
                <w:bCs/>
              </w:rPr>
            </w:pPr>
            <w:r w:rsidRPr="00B07650">
              <w:rPr>
                <w:b/>
                <w:bCs/>
                <w:sz w:val="22"/>
                <w:szCs w:val="22"/>
              </w:rPr>
              <w:t>+</w:t>
            </w:r>
          </w:p>
        </w:tc>
      </w:tr>
      <w:tr w:rsidR="00182335" w:rsidRPr="00B07650" w14:paraId="60F17098"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4F785A"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4CC8EDEF" w14:textId="77777777" w:rsidR="00182335" w:rsidRPr="00B07650" w:rsidRDefault="00182335" w:rsidP="00C254FD">
            <w:pPr>
              <w:rPr>
                <w:b/>
                <w:bCs/>
                <w:color w:val="000000"/>
              </w:rPr>
            </w:pPr>
            <w:r w:rsidRPr="00B07650">
              <w:rPr>
                <w:b/>
                <w:bCs/>
                <w:color w:val="000000"/>
              </w:rPr>
              <w:t>Klauzula niezawiadomienia w terminie o szkodzie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CD07A"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AB6AC51"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6AA8" w14:textId="77777777" w:rsidR="00182335" w:rsidRPr="00B07650" w:rsidRDefault="00182335" w:rsidP="00C254FD">
            <w:pPr>
              <w:jc w:val="center"/>
              <w:rPr>
                <w:b/>
                <w:bCs/>
              </w:rPr>
            </w:pPr>
            <w:r w:rsidRPr="00B07650">
              <w:rPr>
                <w:b/>
                <w:bCs/>
                <w:sz w:val="22"/>
                <w:szCs w:val="22"/>
              </w:rPr>
              <w:t>+</w:t>
            </w:r>
          </w:p>
        </w:tc>
      </w:tr>
      <w:tr w:rsidR="00182335" w:rsidRPr="00B07650" w14:paraId="6C3663FA" w14:textId="77777777" w:rsidTr="00C254FD">
        <w:trPr>
          <w:trHeight w:val="11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794E96"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2DC8A264" w14:textId="77777777" w:rsidR="00182335" w:rsidRPr="00B07650" w:rsidRDefault="00182335" w:rsidP="00C254FD">
            <w:pPr>
              <w:rPr>
                <w:b/>
                <w:bCs/>
                <w:color w:val="000000"/>
              </w:rPr>
            </w:pPr>
            <w:r w:rsidRPr="00B07650">
              <w:rPr>
                <w:b/>
                <w:bCs/>
                <w:color w:val="000000"/>
              </w:rPr>
              <w:t>Klauzula zniesienia zasady proporcji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A9E43"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663235"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C1C5" w14:textId="77777777" w:rsidR="00182335" w:rsidRPr="00B07650" w:rsidRDefault="00182335" w:rsidP="00C254FD">
            <w:pPr>
              <w:jc w:val="center"/>
              <w:rPr>
                <w:b/>
                <w:bCs/>
              </w:rPr>
            </w:pPr>
            <w:r w:rsidRPr="00B07650">
              <w:rPr>
                <w:b/>
                <w:bCs/>
                <w:sz w:val="22"/>
                <w:szCs w:val="22"/>
              </w:rPr>
              <w:t>+</w:t>
            </w:r>
          </w:p>
        </w:tc>
      </w:tr>
      <w:tr w:rsidR="00182335" w:rsidRPr="00B07650" w14:paraId="32EAD3CB"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A65D9D"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72624140" w14:textId="77777777" w:rsidR="00182335" w:rsidRPr="00B07650" w:rsidRDefault="00182335" w:rsidP="00C254FD">
            <w:pPr>
              <w:rPr>
                <w:b/>
                <w:bCs/>
                <w:color w:val="000000"/>
              </w:rPr>
            </w:pPr>
            <w:r w:rsidRPr="00B07650">
              <w:rPr>
                <w:b/>
                <w:bCs/>
                <w:color w:val="000000"/>
              </w:rPr>
              <w:t>Klauzula zabezpieczeń przeciwpożarowych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1FC6"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C5BB95"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1600" w14:textId="77777777" w:rsidR="00182335" w:rsidRPr="00B07650" w:rsidRDefault="00182335" w:rsidP="00C254FD">
            <w:pPr>
              <w:jc w:val="center"/>
              <w:rPr>
                <w:b/>
                <w:bCs/>
              </w:rPr>
            </w:pPr>
            <w:r w:rsidRPr="00B07650">
              <w:rPr>
                <w:b/>
                <w:bCs/>
                <w:sz w:val="22"/>
                <w:szCs w:val="22"/>
              </w:rPr>
              <w:t>+</w:t>
            </w:r>
          </w:p>
        </w:tc>
      </w:tr>
      <w:tr w:rsidR="00182335" w:rsidRPr="00B07650" w14:paraId="77BF941A" w14:textId="77777777" w:rsidTr="00C254FD">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CBEBC2"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2B206997" w14:textId="77777777" w:rsidR="00182335" w:rsidRPr="00B07650" w:rsidRDefault="00182335" w:rsidP="00C254FD">
            <w:pPr>
              <w:rPr>
                <w:b/>
                <w:bCs/>
                <w:color w:val="000000"/>
              </w:rPr>
            </w:pPr>
            <w:r w:rsidRPr="00B07650">
              <w:rPr>
                <w:b/>
                <w:bCs/>
                <w:color w:val="000000"/>
              </w:rPr>
              <w:t>Klauzula zabezpieczeń przeciwkradzieżowych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F7FEE" w14:textId="77777777" w:rsidR="00182335" w:rsidRPr="00B07650" w:rsidRDefault="00182335" w:rsidP="00C254FD">
            <w:pPr>
              <w:jc w:val="center"/>
              <w:rPr>
                <w:b/>
                <w:bCs/>
              </w:rPr>
            </w:pPr>
            <w:r w:rsidRPr="00B07650">
              <w:rPr>
                <w:b/>
                <w:bCs/>
              </w:rPr>
              <w:t>O</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75B782B"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DF7FD" w14:textId="77777777" w:rsidR="00182335" w:rsidRPr="00B07650" w:rsidRDefault="00182335" w:rsidP="00C254FD">
            <w:pPr>
              <w:jc w:val="center"/>
              <w:rPr>
                <w:b/>
                <w:bCs/>
              </w:rPr>
            </w:pPr>
            <w:r w:rsidRPr="00B07650">
              <w:rPr>
                <w:b/>
                <w:bCs/>
                <w:sz w:val="22"/>
                <w:szCs w:val="22"/>
              </w:rPr>
              <w:t>+</w:t>
            </w:r>
          </w:p>
        </w:tc>
      </w:tr>
      <w:tr w:rsidR="00182335" w:rsidRPr="00B07650" w14:paraId="5B000C54" w14:textId="77777777" w:rsidTr="00C254FD">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A19891"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5166B489" w14:textId="77777777" w:rsidR="00182335" w:rsidRPr="00B07650" w:rsidRDefault="00182335" w:rsidP="00C254FD">
            <w:pPr>
              <w:rPr>
                <w:b/>
                <w:bCs/>
                <w:color w:val="000000"/>
              </w:rPr>
            </w:pPr>
            <w:r w:rsidRPr="00B07650">
              <w:rPr>
                <w:b/>
                <w:bCs/>
                <w:color w:val="000000"/>
              </w:rPr>
              <w:t>Klauzula szybkiej likwidacji szkód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8DF02" w14:textId="77777777" w:rsidR="00182335" w:rsidRPr="00B07650" w:rsidRDefault="00182335" w:rsidP="00C254FD">
            <w:pPr>
              <w:jc w:val="center"/>
              <w:rPr>
                <w:b/>
                <w:bCs/>
              </w:rPr>
            </w:pPr>
            <w:r w:rsidRPr="00B07650">
              <w:rPr>
                <w:b/>
                <w:bCs/>
              </w:rPr>
              <w:t>F</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7003780"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E195E" w14:textId="77777777" w:rsidR="00182335" w:rsidRPr="00B07650" w:rsidRDefault="00182335" w:rsidP="00C254FD">
            <w:pPr>
              <w:jc w:val="center"/>
              <w:rPr>
                <w:b/>
                <w:bCs/>
              </w:rPr>
            </w:pPr>
            <w:r w:rsidRPr="00B07650">
              <w:rPr>
                <w:b/>
                <w:bCs/>
                <w:sz w:val="22"/>
                <w:szCs w:val="22"/>
              </w:rPr>
              <w:t>+</w:t>
            </w:r>
          </w:p>
        </w:tc>
      </w:tr>
      <w:tr w:rsidR="00182335" w:rsidRPr="00B07650" w14:paraId="6443A416" w14:textId="77777777" w:rsidTr="00C254FD">
        <w:trPr>
          <w:trHeight w:val="8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5E2E9"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2D3EC9CE" w14:textId="77777777" w:rsidR="00182335" w:rsidRPr="00B07650" w:rsidRDefault="00182335" w:rsidP="00C254FD">
            <w:pPr>
              <w:rPr>
                <w:b/>
                <w:bCs/>
                <w:color w:val="000000"/>
              </w:rPr>
            </w:pPr>
            <w:r w:rsidRPr="00B07650">
              <w:rPr>
                <w:b/>
                <w:bCs/>
                <w:color w:val="000000"/>
              </w:rPr>
              <w:t>Klauzula stempla bankowego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0B069" w14:textId="77777777" w:rsidR="00182335" w:rsidRPr="00B07650" w:rsidRDefault="00182335" w:rsidP="00C254FD">
            <w:pPr>
              <w:jc w:val="center"/>
              <w:rPr>
                <w:b/>
                <w:bCs/>
              </w:rPr>
            </w:pPr>
            <w:r w:rsidRPr="00B07650">
              <w:rPr>
                <w:b/>
                <w:bCs/>
              </w:rPr>
              <w:t>F</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D0C9E69" w14:textId="77777777" w:rsidR="00182335" w:rsidRPr="00B07650" w:rsidRDefault="00182335" w:rsidP="00C254FD">
            <w:pPr>
              <w:jc w:val="center"/>
              <w:rPr>
                <w:b/>
                <w:bCs/>
              </w:rPr>
            </w:pPr>
            <w:r w:rsidRPr="00B07650">
              <w:rPr>
                <w:b/>
                <w:bCs/>
                <w:sz w:val="22"/>
                <w:szCs w:val="22"/>
              </w:rPr>
              <w:t>+</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FC0E" w14:textId="77777777" w:rsidR="00182335" w:rsidRPr="00B07650" w:rsidRDefault="00182335" w:rsidP="00C254FD">
            <w:pPr>
              <w:jc w:val="center"/>
              <w:rPr>
                <w:b/>
                <w:bCs/>
              </w:rPr>
            </w:pPr>
            <w:r w:rsidRPr="00B07650">
              <w:rPr>
                <w:b/>
                <w:bCs/>
                <w:sz w:val="22"/>
                <w:szCs w:val="22"/>
              </w:rPr>
              <w:t>+</w:t>
            </w:r>
          </w:p>
        </w:tc>
      </w:tr>
      <w:tr w:rsidR="00182335" w:rsidRPr="00B07650" w14:paraId="5B468CE8" w14:textId="77777777" w:rsidTr="00C254FD">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FADBB4"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5FCB3798" w14:textId="77777777" w:rsidR="00182335" w:rsidRPr="00B07650" w:rsidRDefault="00182335" w:rsidP="00C254FD">
            <w:pPr>
              <w:rPr>
                <w:b/>
                <w:bCs/>
                <w:color w:val="000000"/>
              </w:rPr>
            </w:pPr>
            <w:r w:rsidRPr="00B07650">
              <w:rPr>
                <w:b/>
                <w:bCs/>
                <w:color w:val="000000"/>
              </w:rPr>
              <w:t>Klauzula rozliczenia składki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0ACB2" w14:textId="77777777" w:rsidR="00182335" w:rsidRPr="00B07650" w:rsidRDefault="00182335" w:rsidP="00C254FD">
            <w:pPr>
              <w:jc w:val="center"/>
              <w:rPr>
                <w:b/>
                <w:bCs/>
              </w:rPr>
            </w:pPr>
            <w:r w:rsidRPr="00B07650">
              <w:rPr>
                <w:b/>
                <w:bCs/>
              </w:rPr>
              <w:t>F</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8DE06A"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6FB60" w14:textId="77777777" w:rsidR="00182335" w:rsidRPr="00B07650" w:rsidRDefault="00182335" w:rsidP="00C254FD">
            <w:pPr>
              <w:jc w:val="center"/>
              <w:rPr>
                <w:b/>
                <w:bCs/>
              </w:rPr>
            </w:pPr>
            <w:r w:rsidRPr="00B07650">
              <w:rPr>
                <w:b/>
                <w:bCs/>
                <w:sz w:val="22"/>
                <w:szCs w:val="22"/>
              </w:rPr>
              <w:t>+</w:t>
            </w:r>
          </w:p>
        </w:tc>
      </w:tr>
      <w:tr w:rsidR="00182335" w:rsidRPr="00B07650" w14:paraId="2500476E" w14:textId="77777777" w:rsidTr="00C254FD">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88403"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420D37DD" w14:textId="77777777" w:rsidR="00182335" w:rsidRPr="00B07650" w:rsidRDefault="00182335" w:rsidP="00C254FD">
            <w:pPr>
              <w:rPr>
                <w:b/>
                <w:bCs/>
              </w:rPr>
            </w:pPr>
            <w:r w:rsidRPr="00B07650">
              <w:rPr>
                <w:b/>
                <w:bCs/>
                <w:color w:val="000000"/>
              </w:rPr>
              <w:t>Klauzula rzeczoznawców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4EBC9" w14:textId="77777777" w:rsidR="00182335" w:rsidRPr="00B07650" w:rsidRDefault="00182335" w:rsidP="00C254FD">
            <w:pPr>
              <w:jc w:val="center"/>
              <w:rPr>
                <w:b/>
                <w:bCs/>
              </w:rPr>
            </w:pPr>
            <w:r w:rsidRPr="00B07650">
              <w:rPr>
                <w:b/>
                <w:bCs/>
              </w:rPr>
              <w:t>F</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7630F8" w14:textId="77777777" w:rsidR="00182335" w:rsidRPr="00B07650" w:rsidRDefault="00182335" w:rsidP="00C254FD">
            <w:pPr>
              <w:jc w:val="center"/>
              <w:rPr>
                <w:b/>
                <w:bCs/>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87B7" w14:textId="77777777" w:rsidR="00182335" w:rsidRPr="00B07650" w:rsidRDefault="00182335" w:rsidP="00C254FD">
            <w:pPr>
              <w:jc w:val="center"/>
              <w:rPr>
                <w:b/>
                <w:bCs/>
              </w:rPr>
            </w:pPr>
            <w:r w:rsidRPr="00B07650">
              <w:rPr>
                <w:b/>
                <w:bCs/>
                <w:sz w:val="22"/>
                <w:szCs w:val="22"/>
              </w:rPr>
              <w:t>+</w:t>
            </w:r>
          </w:p>
        </w:tc>
      </w:tr>
      <w:tr w:rsidR="00182335" w:rsidRPr="00247F4D" w14:paraId="2BD764BD" w14:textId="77777777" w:rsidTr="00C254FD">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1989" w14:textId="77777777" w:rsidR="00182335" w:rsidRPr="00B07650" w:rsidRDefault="00182335" w:rsidP="00C254FD">
            <w:pPr>
              <w:numPr>
                <w:ilvl w:val="0"/>
                <w:numId w:val="36"/>
              </w:numPr>
              <w:ind w:left="355"/>
              <w:jc w:val="right"/>
              <w:rPr>
                <w:color w:val="000000"/>
              </w:rPr>
            </w:pPr>
          </w:p>
        </w:tc>
        <w:tc>
          <w:tcPr>
            <w:tcW w:w="4253" w:type="dxa"/>
            <w:tcBorders>
              <w:top w:val="single" w:sz="4" w:space="0" w:color="auto"/>
              <w:bottom w:val="single" w:sz="4" w:space="0" w:color="auto"/>
              <w:right w:val="single" w:sz="4" w:space="0" w:color="auto"/>
            </w:tcBorders>
            <w:vAlign w:val="center"/>
            <w:hideMark/>
          </w:tcPr>
          <w:p w14:paraId="08FD56B1" w14:textId="77777777" w:rsidR="00182335" w:rsidRPr="00B07650" w:rsidRDefault="00182335" w:rsidP="00C254FD">
            <w:pPr>
              <w:rPr>
                <w:b/>
                <w:bCs/>
              </w:rPr>
            </w:pPr>
            <w:r w:rsidRPr="00B07650">
              <w:rPr>
                <w:b/>
                <w:bCs/>
                <w:color w:val="000000"/>
              </w:rPr>
              <w:t>Klauzula obiegu dokumentów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3876F" w14:textId="77777777" w:rsidR="00182335" w:rsidRPr="00B07650" w:rsidRDefault="00182335" w:rsidP="00C254FD">
            <w:pPr>
              <w:jc w:val="center"/>
              <w:rPr>
                <w:b/>
                <w:bCs/>
              </w:rPr>
            </w:pPr>
            <w:r w:rsidRPr="00B07650">
              <w:rPr>
                <w:b/>
                <w:bCs/>
              </w:rPr>
              <w:t>F</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E9FA3F0" w14:textId="77777777" w:rsidR="00182335" w:rsidRPr="00B07650" w:rsidRDefault="00182335" w:rsidP="00C254FD">
            <w:pPr>
              <w:jc w:val="center"/>
              <w:rPr>
                <w:b/>
                <w:bCs/>
              </w:rPr>
            </w:pPr>
            <w:r w:rsidRPr="00B07650">
              <w:rPr>
                <w:b/>
                <w:bCs/>
                <w:sz w:val="22"/>
                <w:szCs w:val="22"/>
              </w:rPr>
              <w:t>+</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0F659" w14:textId="77777777" w:rsidR="00182335" w:rsidRPr="00247F4D" w:rsidRDefault="00182335" w:rsidP="00C254FD">
            <w:pPr>
              <w:jc w:val="center"/>
              <w:rPr>
                <w:b/>
                <w:bCs/>
              </w:rPr>
            </w:pPr>
            <w:r w:rsidRPr="00B07650">
              <w:rPr>
                <w:b/>
                <w:bCs/>
                <w:sz w:val="22"/>
                <w:szCs w:val="22"/>
              </w:rPr>
              <w:t>+</w:t>
            </w:r>
          </w:p>
        </w:tc>
      </w:tr>
    </w:tbl>
    <w:p w14:paraId="0140672D" w14:textId="77777777" w:rsidR="00182335" w:rsidRDefault="00182335" w:rsidP="00182335">
      <w:pPr>
        <w:tabs>
          <w:tab w:val="num" w:pos="720"/>
        </w:tabs>
        <w:spacing w:before="120"/>
        <w:ind w:left="403"/>
        <w:outlineLvl w:val="1"/>
        <w:rPr>
          <w:sz w:val="10"/>
          <w:szCs w:val="10"/>
        </w:rPr>
      </w:pPr>
    </w:p>
    <w:p w14:paraId="1EC2EBE3" w14:textId="77777777" w:rsidR="00182335" w:rsidRPr="00247F4D" w:rsidRDefault="00182335" w:rsidP="00182335">
      <w:pPr>
        <w:tabs>
          <w:tab w:val="num" w:pos="720"/>
        </w:tabs>
        <w:spacing w:before="120"/>
        <w:ind w:left="403"/>
        <w:outlineLvl w:val="1"/>
        <w:rPr>
          <w:sz w:val="10"/>
          <w:szCs w:val="10"/>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182335" w:rsidRPr="00247F4D" w14:paraId="2B0D9897" w14:textId="77777777" w:rsidTr="00C254FD">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2255" w14:textId="77777777" w:rsidR="00182335" w:rsidRPr="007614FE" w:rsidRDefault="00182335" w:rsidP="00C254FD">
            <w:pPr>
              <w:rPr>
                <w:b/>
                <w:sz w:val="24"/>
                <w:szCs w:val="24"/>
              </w:rPr>
            </w:pPr>
            <w:r w:rsidRPr="007614FE">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1E511" w14:textId="77777777" w:rsidR="00182335" w:rsidRPr="007614FE" w:rsidRDefault="00182335" w:rsidP="00C254FD">
            <w:pPr>
              <w:jc w:val="center"/>
              <w:rPr>
                <w:b/>
                <w:sz w:val="24"/>
                <w:szCs w:val="24"/>
              </w:rPr>
            </w:pPr>
            <w:r w:rsidRPr="007614FE">
              <w:rPr>
                <w:b/>
                <w:sz w:val="24"/>
                <w:szCs w:val="24"/>
              </w:rPr>
              <w:t>Skrót</w:t>
            </w:r>
          </w:p>
        </w:tc>
      </w:tr>
      <w:tr w:rsidR="00182335" w:rsidRPr="00247F4D" w14:paraId="38FAE2F0" w14:textId="77777777" w:rsidTr="00C254FD">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43A3A369" w14:textId="77777777" w:rsidR="00182335" w:rsidRPr="007614FE" w:rsidRDefault="00182335" w:rsidP="00C254FD">
            <w:pPr>
              <w:rPr>
                <w:sz w:val="24"/>
                <w:szCs w:val="24"/>
              </w:rPr>
            </w:pPr>
            <w:r w:rsidRPr="007614FE">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77C0C2B7" w14:textId="77777777" w:rsidR="00182335" w:rsidRPr="007614FE" w:rsidRDefault="00182335" w:rsidP="00C254FD">
            <w:pPr>
              <w:jc w:val="center"/>
              <w:rPr>
                <w:sz w:val="24"/>
                <w:szCs w:val="24"/>
              </w:rPr>
            </w:pPr>
            <w:r w:rsidRPr="007614FE">
              <w:rPr>
                <w:sz w:val="24"/>
                <w:szCs w:val="24"/>
              </w:rPr>
              <w:t>O</w:t>
            </w:r>
          </w:p>
        </w:tc>
      </w:tr>
      <w:tr w:rsidR="00182335" w:rsidRPr="00247F4D" w14:paraId="16E834C6" w14:textId="77777777" w:rsidTr="00C254FD">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14:paraId="0BE0DFCA" w14:textId="77777777" w:rsidR="00182335" w:rsidRPr="007614FE" w:rsidRDefault="00182335" w:rsidP="00C254FD">
            <w:pPr>
              <w:rPr>
                <w:sz w:val="24"/>
                <w:szCs w:val="24"/>
              </w:rPr>
            </w:pPr>
            <w:r w:rsidRPr="007614FE">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4CF6109D" w14:textId="77777777" w:rsidR="00182335" w:rsidRPr="007614FE" w:rsidRDefault="00182335" w:rsidP="00C254FD">
            <w:pPr>
              <w:jc w:val="center"/>
              <w:rPr>
                <w:sz w:val="24"/>
                <w:szCs w:val="24"/>
              </w:rPr>
            </w:pPr>
            <w:r w:rsidRPr="007614FE">
              <w:rPr>
                <w:sz w:val="24"/>
                <w:szCs w:val="24"/>
              </w:rPr>
              <w:t>F</w:t>
            </w:r>
          </w:p>
        </w:tc>
      </w:tr>
    </w:tbl>
    <w:p w14:paraId="653D4C52" w14:textId="77777777" w:rsidR="00182335" w:rsidRPr="00247F4D" w:rsidRDefault="00182335" w:rsidP="00182335">
      <w:pPr>
        <w:spacing w:before="120" w:after="120"/>
        <w:outlineLvl w:val="1"/>
      </w:pPr>
    </w:p>
    <w:p w14:paraId="7BA5CF0F" w14:textId="77777777" w:rsidR="00182335" w:rsidRPr="00D4644E" w:rsidRDefault="00182335" w:rsidP="00182335">
      <w:pPr>
        <w:keepNext/>
        <w:tabs>
          <w:tab w:val="left" w:pos="0"/>
        </w:tabs>
        <w:spacing w:before="360" w:after="120"/>
        <w:ind w:left="397"/>
        <w:jc w:val="center"/>
        <w:rPr>
          <w:b/>
          <w:bCs/>
          <w:sz w:val="28"/>
          <w:szCs w:val="28"/>
          <w:u w:val="single"/>
        </w:rPr>
      </w:pPr>
      <w:r w:rsidRPr="00D4644E">
        <w:rPr>
          <w:b/>
          <w:bCs/>
          <w:sz w:val="28"/>
          <w:szCs w:val="28"/>
          <w:u w:val="single"/>
        </w:rPr>
        <w:lastRenderedPageBreak/>
        <w:t>TREŚĆ KLAUZUL DODATKOWYCH</w:t>
      </w:r>
    </w:p>
    <w:p w14:paraId="23057A85"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 xml:space="preserve">Klauzula reprezentantów </w:t>
      </w:r>
    </w:p>
    <w:p w14:paraId="243A14C3" w14:textId="77777777" w:rsidR="00182335" w:rsidRPr="00D4644E" w:rsidRDefault="00182335" w:rsidP="00182335">
      <w:pPr>
        <w:pStyle w:val="Tekstpodstawowy"/>
        <w:ind w:left="426" w:right="-2"/>
        <w:jc w:val="both"/>
      </w:pPr>
      <w:r w:rsidRPr="00D4644E">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14:paraId="633B4B83"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 xml:space="preserve">Klauzula automatycznego pokrycia </w:t>
      </w:r>
    </w:p>
    <w:p w14:paraId="74CCD626" w14:textId="77777777" w:rsidR="00182335" w:rsidRPr="00614AE4" w:rsidRDefault="00182335" w:rsidP="00182335">
      <w:pPr>
        <w:tabs>
          <w:tab w:val="center" w:pos="426"/>
          <w:tab w:val="right" w:pos="9072"/>
        </w:tabs>
        <w:ind w:left="426"/>
        <w:jc w:val="both"/>
        <w:rPr>
          <w:bCs/>
          <w:highlight w:val="yellow"/>
        </w:rPr>
      </w:pPr>
      <w:r w:rsidRPr="00D4644E">
        <w:rPr>
          <w:sz w:val="24"/>
          <w:szCs w:val="24"/>
        </w:rPr>
        <w:t>Na podstawie niniejszej klauzuli ustala się, że Ubezpieczyciel obejmie automatyczną ochroną ubezpieczeniową nowo nabyte mienie lub mienie, którego wartość wzrosła w okresie ubezpieczenia, od dnia wprowadzenia środka do ewidencji lub z dniem przejścia na Ubezpieczającego ryzyka związanego z posiadaniem tego mienia do końca trwania okresu ubezpieczenia.</w:t>
      </w:r>
      <w:r>
        <w:rPr>
          <w:sz w:val="24"/>
          <w:szCs w:val="24"/>
        </w:rPr>
        <w:t xml:space="preserve"> </w:t>
      </w:r>
      <w:r w:rsidRPr="008374B4">
        <w:rPr>
          <w:bCs/>
          <w:sz w:val="24"/>
        </w:rPr>
        <w:t>Składka zostanie rozliczona pro rata w terminie do 30 dni od daty zakończenia umowy ubezpieczenia na podstawie zestawienia przesłanego przez Ubezpieczonego w terminie do 14 dni od daty zakończenia umowy ubezpieczenia</w:t>
      </w:r>
      <w:r>
        <w:rPr>
          <w:bCs/>
          <w:sz w:val="24"/>
        </w:rPr>
        <w:t>.</w:t>
      </w:r>
    </w:p>
    <w:p w14:paraId="71406FC8" w14:textId="77777777" w:rsidR="00182335" w:rsidRPr="00F24E6D" w:rsidRDefault="00182335" w:rsidP="00182335">
      <w:pPr>
        <w:tabs>
          <w:tab w:val="left" w:pos="0"/>
        </w:tabs>
        <w:ind w:left="397" w:right="-2"/>
        <w:rPr>
          <w:sz w:val="24"/>
          <w:szCs w:val="24"/>
          <w:u w:val="single"/>
        </w:rPr>
      </w:pPr>
      <w:r w:rsidRPr="00F24E6D">
        <w:rPr>
          <w:sz w:val="24"/>
          <w:szCs w:val="24"/>
          <w:u w:val="single"/>
        </w:rPr>
        <w:t>Limit 1 000 000 zł na jedno i wszystkie zdarzenia w okresie ubezpieczenia</w:t>
      </w:r>
    </w:p>
    <w:p w14:paraId="500D2EC9" w14:textId="77777777" w:rsidR="00182335" w:rsidRPr="00F24E6D" w:rsidRDefault="00182335" w:rsidP="00182335">
      <w:pPr>
        <w:tabs>
          <w:tab w:val="left" w:pos="0"/>
        </w:tabs>
        <w:ind w:left="397" w:right="-2"/>
        <w:rPr>
          <w:sz w:val="24"/>
          <w:szCs w:val="24"/>
          <w:u w:val="single"/>
        </w:rPr>
      </w:pPr>
    </w:p>
    <w:p w14:paraId="24C8BAD9" w14:textId="77777777" w:rsidR="00182335" w:rsidRPr="00D4644E" w:rsidRDefault="00182335" w:rsidP="00182335">
      <w:pPr>
        <w:numPr>
          <w:ilvl w:val="0"/>
          <w:numId w:val="31"/>
        </w:numPr>
        <w:tabs>
          <w:tab w:val="left" w:pos="0"/>
        </w:tabs>
        <w:ind w:right="-2"/>
        <w:rPr>
          <w:b/>
          <w:sz w:val="24"/>
          <w:szCs w:val="24"/>
        </w:rPr>
      </w:pPr>
      <w:r w:rsidRPr="00D4644E">
        <w:rPr>
          <w:b/>
          <w:sz w:val="24"/>
          <w:szCs w:val="24"/>
        </w:rPr>
        <w:t xml:space="preserve">Klauzula automatycznego pokrycia majątku nabytego po zebraniu danych do SWZ </w:t>
      </w:r>
    </w:p>
    <w:p w14:paraId="43B4EAE7" w14:textId="77777777" w:rsidR="00182335" w:rsidRPr="00D4644E" w:rsidRDefault="00182335" w:rsidP="00182335">
      <w:pPr>
        <w:tabs>
          <w:tab w:val="left" w:pos="0"/>
        </w:tabs>
        <w:autoSpaceDE w:val="0"/>
        <w:autoSpaceDN w:val="0"/>
        <w:adjustRightInd w:val="0"/>
        <w:ind w:left="397" w:right="-2"/>
        <w:jc w:val="both"/>
        <w:rPr>
          <w:sz w:val="24"/>
          <w:szCs w:val="24"/>
        </w:rPr>
      </w:pPr>
      <w:r w:rsidRPr="00D4644E">
        <w:rPr>
          <w:color w:val="000000"/>
          <w:sz w:val="24"/>
          <w:szCs w:val="24"/>
        </w:rPr>
        <w:t>Ochroną ubezpieczeniową zostają objęte wszystkie</w:t>
      </w:r>
      <w:r w:rsidRPr="00D4644E">
        <w:rPr>
          <w:i/>
          <w:iCs/>
          <w:color w:val="000000"/>
          <w:sz w:val="24"/>
          <w:szCs w:val="24"/>
        </w:rPr>
        <w:t xml:space="preserve"> </w:t>
      </w:r>
      <w:r w:rsidRPr="00D4644E">
        <w:rPr>
          <w:sz w:val="24"/>
          <w:szCs w:val="24"/>
        </w:rPr>
        <w:t xml:space="preserve">nowo nabyte środki trwałe i inne ruchomości, w których </w:t>
      </w:r>
      <w:r w:rsidRPr="00400474">
        <w:rPr>
          <w:sz w:val="24"/>
          <w:szCs w:val="24"/>
        </w:rPr>
        <w:t>posiadanie wszedł Ubezpieczony w okresie od data ostatniego stanu majątku lub jeśli brak informacji data 24.04.2023 r.  do 01.07.2023 r. oraz środki trwałe i wyposażenie, których wartość wzrosła w tym okresie</w:t>
      </w:r>
      <w:r w:rsidRPr="000469F1">
        <w:rPr>
          <w:sz w:val="24"/>
          <w:szCs w:val="24"/>
        </w:rPr>
        <w:t xml:space="preserve"> wskutek dokonanych ulepszeń, modernizacji lub remontów (tj. po zebraniu danych do ubezpieczenia i jednocześnie przed okresem ubezpieczenia wynikającym z SWZ). Ochrona ubezpieczeniowa dla w/w mienia rozpoczyna się od 02.07.2023 r. Zgłoszenie w/w mienia do zakładu ubezpieczeń nastąpi w systemie ”pro rata temporis” wg stawek określonych</w:t>
      </w:r>
      <w:r w:rsidRPr="00D4644E">
        <w:rPr>
          <w:color w:val="000000"/>
          <w:sz w:val="24"/>
          <w:szCs w:val="24"/>
        </w:rPr>
        <w:t xml:space="preserve"> w ofercie.</w:t>
      </w:r>
    </w:p>
    <w:p w14:paraId="0EA4721E" w14:textId="77777777" w:rsidR="00182335" w:rsidRPr="00D4644E" w:rsidRDefault="00182335" w:rsidP="00182335">
      <w:pPr>
        <w:keepNext/>
        <w:numPr>
          <w:ilvl w:val="0"/>
          <w:numId w:val="31"/>
        </w:numPr>
        <w:tabs>
          <w:tab w:val="left" w:pos="0"/>
        </w:tabs>
        <w:spacing w:before="240"/>
        <w:jc w:val="both"/>
        <w:rPr>
          <w:b/>
          <w:bCs/>
          <w:sz w:val="24"/>
          <w:szCs w:val="24"/>
        </w:rPr>
      </w:pPr>
      <w:r w:rsidRPr="00D4644E">
        <w:rPr>
          <w:b/>
          <w:bCs/>
          <w:sz w:val="24"/>
          <w:szCs w:val="24"/>
        </w:rPr>
        <w:t xml:space="preserve">Klauzula wartości mienia </w:t>
      </w:r>
    </w:p>
    <w:p w14:paraId="55BAA657" w14:textId="77777777" w:rsidR="00182335" w:rsidRPr="00B07650" w:rsidRDefault="00182335" w:rsidP="00182335">
      <w:pPr>
        <w:autoSpaceDE w:val="0"/>
        <w:autoSpaceDN w:val="0"/>
        <w:adjustRightInd w:val="0"/>
        <w:ind w:left="397"/>
        <w:jc w:val="both"/>
        <w:rPr>
          <w:rFonts w:eastAsia="Calibri"/>
          <w:sz w:val="24"/>
          <w:szCs w:val="24"/>
          <w:lang w:eastAsia="en-US"/>
        </w:rPr>
      </w:pPr>
      <w:r w:rsidRPr="00D4644E">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D4644E">
        <w:rPr>
          <w:rFonts w:eastAsia="Calibri"/>
          <w:sz w:val="24"/>
          <w:szCs w:val="24"/>
          <w:lang w:eastAsia="en-US"/>
        </w:rPr>
        <w:t xml:space="preserve">transportu </w:t>
      </w:r>
      <w:r w:rsidRPr="00D4644E">
        <w:rPr>
          <w:sz w:val="24"/>
          <w:szCs w:val="24"/>
        </w:rPr>
        <w:t>o ile stanowią one składową wartości ewidencyjnej brutto</w:t>
      </w:r>
      <w:r w:rsidRPr="00D4644E">
        <w:rPr>
          <w:rFonts w:eastAsia="Calibri"/>
          <w:sz w:val="24"/>
          <w:szCs w:val="24"/>
          <w:lang w:eastAsia="en-US"/>
        </w:rPr>
        <w:t>.</w:t>
      </w:r>
      <w:r w:rsidRPr="00D4644E">
        <w:rPr>
          <w:sz w:val="24"/>
          <w:szCs w:val="24"/>
        </w:rPr>
        <w:t xml:space="preserve"> </w:t>
      </w:r>
    </w:p>
    <w:p w14:paraId="748C2F58"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 xml:space="preserve">Klauzula samolikwidacji małych szkód </w:t>
      </w:r>
    </w:p>
    <w:p w14:paraId="410137B5" w14:textId="77777777" w:rsidR="00182335" w:rsidRPr="00D4644E" w:rsidRDefault="00182335" w:rsidP="00182335">
      <w:pPr>
        <w:ind w:left="397"/>
        <w:jc w:val="both"/>
        <w:rPr>
          <w:sz w:val="24"/>
          <w:szCs w:val="24"/>
        </w:rPr>
      </w:pPr>
      <w:r w:rsidRPr="00D4644E">
        <w:rPr>
          <w:sz w:val="24"/>
          <w:szCs w:val="24"/>
        </w:rPr>
        <w:t xml:space="preserve">Na podstawie niniejszej klauzuli ustala się, że w przypadku szkody, której szacowana wartość nie przekracza 10 000 zł na dzień jej powstania, Ubezpieczony lub </w:t>
      </w:r>
      <w:r w:rsidRPr="00D4644E">
        <w:rPr>
          <w:sz w:val="24"/>
          <w:szCs w:val="24"/>
        </w:rPr>
        <w:lastRenderedPageBreak/>
        <w:t>Ubezpieczający ma prawo, po zgłoszeniu szkody do Ubezpieczyciela, do samodzielnej likwidacji takiej szkody, przedstawiając ubezpieczycielowi komplet dokumentacji w postaci:</w:t>
      </w:r>
      <w:r w:rsidRPr="00D4644E">
        <w:rPr>
          <w:sz w:val="24"/>
          <w:szCs w:val="24"/>
        </w:rPr>
        <w:tab/>
      </w:r>
    </w:p>
    <w:p w14:paraId="66C2F497" w14:textId="77777777" w:rsidR="00182335" w:rsidRPr="00D4644E" w:rsidRDefault="00182335" w:rsidP="00182335">
      <w:pPr>
        <w:widowControl w:val="0"/>
        <w:tabs>
          <w:tab w:val="left" w:pos="1080"/>
        </w:tabs>
        <w:ind w:left="397"/>
        <w:jc w:val="both"/>
        <w:rPr>
          <w:sz w:val="24"/>
          <w:szCs w:val="24"/>
        </w:rPr>
      </w:pPr>
      <w:r w:rsidRPr="00D4644E">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14:paraId="602E3CE4" w14:textId="77777777" w:rsidR="00182335" w:rsidRPr="00D4644E" w:rsidRDefault="00182335" w:rsidP="00182335">
      <w:pPr>
        <w:widowControl w:val="0"/>
        <w:tabs>
          <w:tab w:val="left" w:pos="1080"/>
        </w:tabs>
        <w:ind w:left="397"/>
        <w:jc w:val="both"/>
        <w:rPr>
          <w:sz w:val="24"/>
          <w:szCs w:val="24"/>
        </w:rPr>
      </w:pPr>
      <w:r w:rsidRPr="00D4644E">
        <w:rPr>
          <w:sz w:val="24"/>
          <w:szCs w:val="24"/>
        </w:rPr>
        <w:t>- wykazu uszkodzonego mienia,</w:t>
      </w:r>
    </w:p>
    <w:p w14:paraId="68E2D037" w14:textId="77777777" w:rsidR="00182335" w:rsidRPr="00D4644E" w:rsidRDefault="00182335" w:rsidP="00182335">
      <w:pPr>
        <w:widowControl w:val="0"/>
        <w:tabs>
          <w:tab w:val="left" w:pos="1080"/>
        </w:tabs>
        <w:ind w:left="397"/>
        <w:jc w:val="both"/>
        <w:rPr>
          <w:sz w:val="24"/>
          <w:szCs w:val="24"/>
        </w:rPr>
      </w:pPr>
      <w:r w:rsidRPr="00D4644E">
        <w:rPr>
          <w:sz w:val="24"/>
          <w:szCs w:val="24"/>
        </w:rPr>
        <w:t>- dokumentacji fotograficznej.</w:t>
      </w:r>
    </w:p>
    <w:p w14:paraId="605AC291" w14:textId="77777777" w:rsidR="00182335" w:rsidRPr="00D4644E" w:rsidRDefault="00182335" w:rsidP="00182335">
      <w:pPr>
        <w:ind w:left="397"/>
        <w:jc w:val="both"/>
        <w:rPr>
          <w:sz w:val="24"/>
          <w:szCs w:val="24"/>
        </w:rPr>
      </w:pPr>
      <w:r w:rsidRPr="00D4644E">
        <w:rPr>
          <w:sz w:val="24"/>
          <w:szCs w:val="24"/>
        </w:rPr>
        <w:t>Po dokonaniu naprawy/odtworzeniu mienia do stanu sprzed szkody, Ubezpieczony lub Ubezpieczający dostarczy do Ubezpieczyciela oprócz w/w dokumentacji, niezbędne do podjęcia decyzji o wypłacie odszkodowania dokumenty, tj.:</w:t>
      </w:r>
    </w:p>
    <w:p w14:paraId="14E726CB" w14:textId="77777777" w:rsidR="00182335" w:rsidRPr="00D4644E" w:rsidRDefault="00182335" w:rsidP="00182335">
      <w:pPr>
        <w:ind w:left="397"/>
        <w:jc w:val="both"/>
        <w:rPr>
          <w:sz w:val="24"/>
          <w:szCs w:val="24"/>
        </w:rPr>
      </w:pPr>
      <w:r w:rsidRPr="00D4644E">
        <w:rPr>
          <w:sz w:val="24"/>
          <w:szCs w:val="24"/>
        </w:rPr>
        <w:t>- kosztorys naprawy bądź fakturę za odtworzenie stanu mienia sprzed szkody (faktury naprawy lub zakupu),</w:t>
      </w:r>
    </w:p>
    <w:p w14:paraId="02C805BA" w14:textId="77777777" w:rsidR="00182335" w:rsidRPr="00D4644E" w:rsidRDefault="00182335" w:rsidP="00182335">
      <w:pPr>
        <w:ind w:left="397"/>
        <w:jc w:val="both"/>
        <w:rPr>
          <w:sz w:val="24"/>
          <w:szCs w:val="24"/>
        </w:rPr>
      </w:pPr>
      <w:r w:rsidRPr="00D4644E">
        <w:rPr>
          <w:sz w:val="24"/>
          <w:szCs w:val="24"/>
        </w:rPr>
        <w:t>- inne dokumenty, żądane przez ubezpieczyciela wskazane przez zakład ubezpieczeń.</w:t>
      </w:r>
    </w:p>
    <w:p w14:paraId="4E906B17" w14:textId="77777777" w:rsidR="00182335" w:rsidRPr="00D4644E" w:rsidRDefault="00182335" w:rsidP="00182335">
      <w:pPr>
        <w:tabs>
          <w:tab w:val="left" w:pos="0"/>
        </w:tabs>
        <w:ind w:left="397" w:right="-2"/>
        <w:rPr>
          <w:b/>
          <w:color w:val="FF0000"/>
          <w:sz w:val="24"/>
          <w:szCs w:val="24"/>
        </w:rPr>
      </w:pPr>
      <w:r w:rsidRPr="00D4644E">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14:paraId="156925E1" w14:textId="77777777" w:rsidR="00182335" w:rsidRPr="00D4644E" w:rsidRDefault="00182335" w:rsidP="00182335">
      <w:pPr>
        <w:keepNext/>
        <w:numPr>
          <w:ilvl w:val="0"/>
          <w:numId w:val="31"/>
        </w:numPr>
        <w:tabs>
          <w:tab w:val="left" w:pos="0"/>
        </w:tabs>
        <w:spacing w:before="240"/>
        <w:jc w:val="both"/>
        <w:rPr>
          <w:b/>
          <w:bCs/>
          <w:sz w:val="24"/>
          <w:szCs w:val="24"/>
        </w:rPr>
      </w:pPr>
      <w:r w:rsidRPr="00D4644E">
        <w:rPr>
          <w:b/>
          <w:bCs/>
          <w:sz w:val="24"/>
          <w:szCs w:val="24"/>
        </w:rPr>
        <w:t>Klauzula niezawiadomienia w terminie o szkodzie</w:t>
      </w:r>
    </w:p>
    <w:p w14:paraId="7DDEEF04" w14:textId="77777777" w:rsidR="00182335" w:rsidRPr="00B07650" w:rsidRDefault="00182335" w:rsidP="00182335">
      <w:pPr>
        <w:pStyle w:val="Tekstpodstawowy"/>
        <w:ind w:left="426" w:right="-2"/>
        <w:jc w:val="both"/>
        <w:rPr>
          <w:b/>
          <w:bCs/>
        </w:rPr>
      </w:pPr>
      <w:r w:rsidRPr="00D4644E">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14:paraId="6C847B30"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Klauzula zniesienia zasady proporcji</w:t>
      </w:r>
    </w:p>
    <w:p w14:paraId="3176E1B1" w14:textId="77777777" w:rsidR="00182335" w:rsidRPr="00D4644E" w:rsidRDefault="00182335" w:rsidP="00182335">
      <w:pPr>
        <w:pStyle w:val="Tekstpodstawowy"/>
        <w:ind w:left="426" w:right="-2"/>
        <w:jc w:val="both"/>
      </w:pPr>
      <w:r w:rsidRPr="00D4644E">
        <w:t>Na podstawie niniejszej klauzuli ustala się, że w przypadku ubezpieczenia mienia wg wartości księgowej brutto, w momencie zaistnienia szkody nie będzie miała zastosowania zasada proporcji przy wyliczaniu wysokości odszkodowania.</w:t>
      </w:r>
    </w:p>
    <w:p w14:paraId="38BD0384"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Klauzula zabezpieczeń przeciwpożarowych</w:t>
      </w:r>
    </w:p>
    <w:p w14:paraId="463CABFB" w14:textId="77777777" w:rsidR="00182335" w:rsidRPr="00D4644E" w:rsidRDefault="00182335" w:rsidP="00182335">
      <w:pPr>
        <w:pStyle w:val="Tekstpodstawowy"/>
        <w:ind w:left="426" w:right="-2"/>
        <w:jc w:val="both"/>
      </w:pPr>
      <w:r w:rsidRPr="00D4644E">
        <w:t>Na podstawie niniejszej klauzuli Ubezpieczyciel oświadcza, że znany jest mu stan zabezpieczeń przeciwpożarowych w miejscu ubezpieczenia, w którym znajduje się mienie należące do Ubezpieczonego i uznaje te zabezpieczenia za wystarczające o ile w momencie szkody były sprawne i zgodne z przepisami prawa.</w:t>
      </w:r>
    </w:p>
    <w:p w14:paraId="209E8B89" w14:textId="77777777" w:rsidR="00182335" w:rsidRPr="00D4644E" w:rsidRDefault="00182335" w:rsidP="00182335">
      <w:pPr>
        <w:keepNext/>
        <w:numPr>
          <w:ilvl w:val="0"/>
          <w:numId w:val="31"/>
        </w:numPr>
        <w:tabs>
          <w:tab w:val="left" w:pos="0"/>
        </w:tabs>
        <w:spacing w:before="240"/>
        <w:jc w:val="both"/>
        <w:rPr>
          <w:b/>
          <w:bCs/>
          <w:sz w:val="24"/>
          <w:szCs w:val="24"/>
        </w:rPr>
      </w:pPr>
      <w:r w:rsidRPr="00D4644E">
        <w:rPr>
          <w:b/>
          <w:bCs/>
          <w:sz w:val="24"/>
          <w:szCs w:val="24"/>
        </w:rPr>
        <w:lastRenderedPageBreak/>
        <w:t>Klauzula zabezpieczeń przeciwkradzieżowych</w:t>
      </w:r>
    </w:p>
    <w:p w14:paraId="7D5BC7F4" w14:textId="77777777" w:rsidR="00182335" w:rsidRPr="00D4644E" w:rsidRDefault="00182335" w:rsidP="00182335">
      <w:pPr>
        <w:keepNext/>
        <w:tabs>
          <w:tab w:val="left" w:pos="300"/>
        </w:tabs>
        <w:ind w:left="403"/>
        <w:jc w:val="both"/>
        <w:rPr>
          <w:sz w:val="24"/>
          <w:szCs w:val="24"/>
        </w:rPr>
      </w:pPr>
      <w:r w:rsidRPr="00D4644E">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 o ile w momencie szkody były sprawne i zgodne z przepisami prawa.</w:t>
      </w:r>
    </w:p>
    <w:p w14:paraId="4512DCE4" w14:textId="77777777" w:rsidR="00182335" w:rsidRPr="00D4644E" w:rsidRDefault="00182335" w:rsidP="00182335">
      <w:pPr>
        <w:keepNext/>
        <w:numPr>
          <w:ilvl w:val="0"/>
          <w:numId w:val="31"/>
        </w:numPr>
        <w:tabs>
          <w:tab w:val="left" w:pos="0"/>
        </w:tabs>
        <w:spacing w:before="240"/>
        <w:jc w:val="both"/>
        <w:rPr>
          <w:b/>
          <w:bCs/>
          <w:sz w:val="24"/>
          <w:szCs w:val="24"/>
        </w:rPr>
      </w:pPr>
      <w:r w:rsidRPr="00D4644E">
        <w:rPr>
          <w:b/>
          <w:bCs/>
          <w:sz w:val="24"/>
          <w:szCs w:val="24"/>
        </w:rPr>
        <w:t>Klauzula szybkiej likwidacji szkód</w:t>
      </w:r>
    </w:p>
    <w:p w14:paraId="7FB0FD67" w14:textId="77777777" w:rsidR="00182335" w:rsidRPr="00D4644E" w:rsidRDefault="00182335" w:rsidP="00182335">
      <w:pPr>
        <w:pStyle w:val="Tekstpodstawowy"/>
        <w:ind w:left="397"/>
        <w:jc w:val="both"/>
      </w:pPr>
      <w:r w:rsidRPr="00D4644E">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14:paraId="43F64BCF" w14:textId="77777777" w:rsidR="00182335" w:rsidRPr="00D4644E" w:rsidRDefault="00182335" w:rsidP="00182335">
      <w:pPr>
        <w:keepNext/>
        <w:numPr>
          <w:ilvl w:val="0"/>
          <w:numId w:val="31"/>
        </w:numPr>
        <w:tabs>
          <w:tab w:val="left" w:pos="0"/>
        </w:tabs>
        <w:spacing w:before="240"/>
        <w:rPr>
          <w:b/>
          <w:bCs/>
          <w:sz w:val="24"/>
          <w:szCs w:val="24"/>
        </w:rPr>
      </w:pPr>
      <w:r w:rsidRPr="00D4644E">
        <w:rPr>
          <w:b/>
          <w:bCs/>
          <w:sz w:val="24"/>
          <w:szCs w:val="24"/>
        </w:rPr>
        <w:t>Klauzula stempla bankowego</w:t>
      </w:r>
    </w:p>
    <w:p w14:paraId="5AC7138C" w14:textId="77777777" w:rsidR="00182335" w:rsidRPr="00D4644E" w:rsidRDefault="00182335" w:rsidP="00182335">
      <w:pPr>
        <w:pStyle w:val="Tekstpodstawowy"/>
        <w:tabs>
          <w:tab w:val="left" w:pos="6663"/>
        </w:tabs>
        <w:ind w:left="426" w:right="-2"/>
        <w:jc w:val="both"/>
      </w:pPr>
      <w:r w:rsidRPr="00D4644E">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14:paraId="2245C96A" w14:textId="77777777" w:rsidR="00182335" w:rsidRPr="00D4644E" w:rsidRDefault="00182335" w:rsidP="00182335">
      <w:pPr>
        <w:keepNext/>
        <w:numPr>
          <w:ilvl w:val="0"/>
          <w:numId w:val="31"/>
        </w:numPr>
        <w:tabs>
          <w:tab w:val="left" w:pos="0"/>
        </w:tabs>
        <w:spacing w:before="240"/>
        <w:jc w:val="both"/>
        <w:rPr>
          <w:b/>
          <w:bCs/>
          <w:sz w:val="24"/>
          <w:szCs w:val="24"/>
        </w:rPr>
      </w:pPr>
      <w:r w:rsidRPr="00D4644E">
        <w:rPr>
          <w:b/>
          <w:bCs/>
          <w:sz w:val="24"/>
          <w:szCs w:val="24"/>
        </w:rPr>
        <w:t xml:space="preserve">Klauzula rozliczenia składki </w:t>
      </w:r>
    </w:p>
    <w:p w14:paraId="6A4C9C08" w14:textId="77777777" w:rsidR="00182335" w:rsidRDefault="00182335" w:rsidP="00182335">
      <w:pPr>
        <w:tabs>
          <w:tab w:val="left" w:pos="284"/>
        </w:tabs>
        <w:ind w:left="426" w:right="-2"/>
        <w:jc w:val="both"/>
        <w:rPr>
          <w:sz w:val="24"/>
          <w:szCs w:val="24"/>
        </w:rPr>
      </w:pPr>
      <w:r w:rsidRPr="00D4644E">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14:paraId="180AC569" w14:textId="77777777" w:rsidR="00182335" w:rsidRPr="00D4644E" w:rsidRDefault="00182335" w:rsidP="00182335">
      <w:pPr>
        <w:tabs>
          <w:tab w:val="left" w:pos="284"/>
        </w:tabs>
        <w:ind w:left="426" w:right="-2"/>
        <w:jc w:val="both"/>
        <w:rPr>
          <w:sz w:val="24"/>
          <w:szCs w:val="24"/>
        </w:rPr>
      </w:pPr>
    </w:p>
    <w:p w14:paraId="70441333" w14:textId="77777777" w:rsidR="00182335" w:rsidRPr="00D4644E" w:rsidRDefault="00182335" w:rsidP="00182335">
      <w:pPr>
        <w:numPr>
          <w:ilvl w:val="0"/>
          <w:numId w:val="31"/>
        </w:numPr>
        <w:jc w:val="both"/>
        <w:rPr>
          <w:b/>
          <w:sz w:val="24"/>
          <w:szCs w:val="24"/>
        </w:rPr>
      </w:pPr>
      <w:r w:rsidRPr="00D4644E">
        <w:rPr>
          <w:b/>
          <w:sz w:val="24"/>
          <w:szCs w:val="24"/>
        </w:rPr>
        <w:t>Klauzula rzeczoznawców</w:t>
      </w:r>
    </w:p>
    <w:p w14:paraId="7EA1855B" w14:textId="77777777" w:rsidR="00182335" w:rsidRPr="00D4644E" w:rsidRDefault="00182335" w:rsidP="00182335">
      <w:pPr>
        <w:pStyle w:val="Tekstpodstawowy"/>
        <w:ind w:left="426" w:right="-2"/>
        <w:jc w:val="both"/>
      </w:pPr>
      <w:r w:rsidRPr="00D4644E">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158601C0" w14:textId="77777777" w:rsidR="00182335" w:rsidRPr="000469F1" w:rsidRDefault="00182335" w:rsidP="00182335">
      <w:pPr>
        <w:tabs>
          <w:tab w:val="left" w:pos="0"/>
        </w:tabs>
        <w:ind w:left="397" w:right="-2"/>
        <w:rPr>
          <w:sz w:val="24"/>
          <w:szCs w:val="24"/>
          <w:u w:val="single"/>
        </w:rPr>
      </w:pPr>
      <w:r w:rsidRPr="000469F1">
        <w:rPr>
          <w:sz w:val="24"/>
          <w:szCs w:val="24"/>
          <w:u w:val="single"/>
        </w:rPr>
        <w:t>Limit 30 000 zł na jedno i wszystkie zdarzenia w okresie ubezpieczenia</w:t>
      </w:r>
    </w:p>
    <w:p w14:paraId="50FDE8CF" w14:textId="77777777" w:rsidR="00182335" w:rsidRPr="00D4644E" w:rsidRDefault="00182335" w:rsidP="00182335">
      <w:pPr>
        <w:tabs>
          <w:tab w:val="left" w:pos="0"/>
        </w:tabs>
        <w:ind w:left="397" w:right="-2"/>
        <w:rPr>
          <w:b/>
          <w:color w:val="FF0000"/>
          <w:sz w:val="24"/>
          <w:szCs w:val="24"/>
        </w:rPr>
      </w:pPr>
    </w:p>
    <w:p w14:paraId="37D920AC" w14:textId="77777777" w:rsidR="00182335" w:rsidRPr="00D4644E" w:rsidRDefault="00182335" w:rsidP="00182335">
      <w:pPr>
        <w:numPr>
          <w:ilvl w:val="0"/>
          <w:numId w:val="31"/>
        </w:numPr>
        <w:tabs>
          <w:tab w:val="left" w:pos="284"/>
        </w:tabs>
        <w:autoSpaceDE w:val="0"/>
        <w:autoSpaceDN w:val="0"/>
        <w:adjustRightInd w:val="0"/>
        <w:jc w:val="both"/>
        <w:rPr>
          <w:b/>
          <w:bCs/>
          <w:sz w:val="24"/>
          <w:szCs w:val="24"/>
        </w:rPr>
      </w:pPr>
      <w:r w:rsidRPr="00D4644E">
        <w:rPr>
          <w:b/>
          <w:bCs/>
          <w:sz w:val="24"/>
          <w:szCs w:val="24"/>
        </w:rPr>
        <w:t>Klauzula obiegu dokumentów</w:t>
      </w:r>
    </w:p>
    <w:p w14:paraId="1FC7274D" w14:textId="77777777" w:rsidR="00182335" w:rsidRPr="00D4644E" w:rsidRDefault="00182335" w:rsidP="00182335">
      <w:pPr>
        <w:tabs>
          <w:tab w:val="left" w:pos="0"/>
        </w:tabs>
        <w:autoSpaceDE w:val="0"/>
        <w:autoSpaceDN w:val="0"/>
        <w:adjustRightInd w:val="0"/>
        <w:ind w:left="397"/>
        <w:jc w:val="both"/>
        <w:rPr>
          <w:sz w:val="24"/>
          <w:szCs w:val="24"/>
        </w:rPr>
      </w:pPr>
      <w:r w:rsidRPr="00D4644E">
        <w:rPr>
          <w:sz w:val="24"/>
          <w:szCs w:val="24"/>
        </w:rPr>
        <w:t>Na podstawie niniejszej klauzuli ustala się sposób obiegu dokumentów pomiędzy Ubezpieczonym, brokerem reprezentującym Ubezpieczonego oraz Ubezpieczycielem:</w:t>
      </w:r>
    </w:p>
    <w:p w14:paraId="363B6D05" w14:textId="77777777" w:rsidR="00182335" w:rsidRPr="00D4644E" w:rsidRDefault="00182335" w:rsidP="00182335">
      <w:pPr>
        <w:tabs>
          <w:tab w:val="left" w:pos="0"/>
        </w:tabs>
        <w:autoSpaceDE w:val="0"/>
        <w:autoSpaceDN w:val="0"/>
        <w:adjustRightInd w:val="0"/>
        <w:ind w:left="397"/>
        <w:jc w:val="both"/>
        <w:rPr>
          <w:sz w:val="24"/>
          <w:szCs w:val="24"/>
        </w:rPr>
      </w:pPr>
      <w:r w:rsidRPr="00D4644E">
        <w:rPr>
          <w:sz w:val="24"/>
          <w:szCs w:val="24"/>
        </w:rPr>
        <w:t>- Ubezpieczyciel zobowiązuje się  do wystawienia dokumentów ubezpieczeniowych (w tym polis, aneksów, umów generalnych) maksymalnie w terminie 7 dni roboczych od otrzy</w:t>
      </w:r>
      <w:r>
        <w:rPr>
          <w:sz w:val="24"/>
          <w:szCs w:val="24"/>
        </w:rPr>
        <w:t>mania wniosku ubezpieczeniowego</w:t>
      </w:r>
      <w:r w:rsidRPr="00D4644E">
        <w:rPr>
          <w:sz w:val="24"/>
          <w:szCs w:val="24"/>
        </w:rPr>
        <w:t xml:space="preserve">; </w:t>
      </w:r>
    </w:p>
    <w:p w14:paraId="20D22D90" w14:textId="77777777" w:rsidR="00182335" w:rsidRPr="00D4644E" w:rsidRDefault="00182335" w:rsidP="00182335">
      <w:pPr>
        <w:tabs>
          <w:tab w:val="left" w:pos="0"/>
        </w:tabs>
        <w:autoSpaceDE w:val="0"/>
        <w:autoSpaceDN w:val="0"/>
        <w:adjustRightInd w:val="0"/>
        <w:ind w:left="397"/>
        <w:jc w:val="both"/>
        <w:rPr>
          <w:sz w:val="24"/>
          <w:szCs w:val="24"/>
        </w:rPr>
      </w:pPr>
      <w:r w:rsidRPr="00D4644E">
        <w:rPr>
          <w:sz w:val="24"/>
          <w:szCs w:val="24"/>
        </w:rPr>
        <w:lastRenderedPageBreak/>
        <w:t>- skany wystawionych i podpisanych dokumentów ubezpieczeniowych Ubezpieczyciel przesyła do reprezentującego Ubezpieczonego brokera celem weryfikacji poprawności ich wystawienia;</w:t>
      </w:r>
    </w:p>
    <w:p w14:paraId="3A2AB17F" w14:textId="77777777" w:rsidR="00182335" w:rsidRPr="00D4644E" w:rsidRDefault="00182335" w:rsidP="00182335">
      <w:pPr>
        <w:tabs>
          <w:tab w:val="left" w:pos="0"/>
        </w:tabs>
        <w:autoSpaceDE w:val="0"/>
        <w:autoSpaceDN w:val="0"/>
        <w:adjustRightInd w:val="0"/>
        <w:ind w:left="397"/>
        <w:jc w:val="both"/>
        <w:rPr>
          <w:sz w:val="24"/>
          <w:szCs w:val="24"/>
        </w:rPr>
      </w:pPr>
      <w:r w:rsidRPr="00D4644E">
        <w:rPr>
          <w:sz w:val="24"/>
          <w:szCs w:val="24"/>
        </w:rPr>
        <w:t>- jeśli wystawione dokumenty zawierają błędy Ubezpieczyciel zobowiązany jest poprawić je w terminie 3 dni roboczych od ich zgłoszenia i przesłać skany poprawionych i podpisanych dokumentów do ponownej weryfikacji;</w:t>
      </w:r>
    </w:p>
    <w:p w14:paraId="12E83A38" w14:textId="77777777" w:rsidR="00182335" w:rsidRDefault="00182335" w:rsidP="00182335">
      <w:pPr>
        <w:tabs>
          <w:tab w:val="left" w:pos="0"/>
        </w:tabs>
        <w:autoSpaceDE w:val="0"/>
        <w:autoSpaceDN w:val="0"/>
        <w:adjustRightInd w:val="0"/>
        <w:ind w:left="397"/>
        <w:jc w:val="both"/>
        <w:rPr>
          <w:sz w:val="24"/>
          <w:szCs w:val="24"/>
        </w:rPr>
      </w:pPr>
      <w:r w:rsidRPr="00D4644E">
        <w:rPr>
          <w:sz w:val="24"/>
          <w:szCs w:val="24"/>
        </w:rPr>
        <w:t xml:space="preserve">- w przypadku akceptacji dokumentów Ubezpieczyciel niezwłocznie przesyła je pocztą (oryginały i kopie do podpisu Ubezpieczonego) na adres wskazany przez brokera.  </w:t>
      </w:r>
    </w:p>
    <w:p w14:paraId="720E2B17" w14:textId="77777777" w:rsidR="00182335" w:rsidRPr="00D4644E" w:rsidRDefault="00182335" w:rsidP="00182335">
      <w:pPr>
        <w:tabs>
          <w:tab w:val="left" w:pos="0"/>
        </w:tabs>
        <w:autoSpaceDE w:val="0"/>
        <w:autoSpaceDN w:val="0"/>
        <w:adjustRightInd w:val="0"/>
        <w:ind w:left="397"/>
        <w:jc w:val="both"/>
        <w:rPr>
          <w:sz w:val="24"/>
          <w:szCs w:val="24"/>
        </w:rPr>
      </w:pPr>
    </w:p>
    <w:p w14:paraId="24980CC4" w14:textId="77777777" w:rsidR="00182335" w:rsidRPr="00D4644E" w:rsidRDefault="00182335" w:rsidP="00182335">
      <w:pPr>
        <w:tabs>
          <w:tab w:val="left" w:pos="0"/>
        </w:tabs>
        <w:autoSpaceDE w:val="0"/>
        <w:autoSpaceDN w:val="0"/>
        <w:adjustRightInd w:val="0"/>
        <w:ind w:left="397"/>
        <w:jc w:val="both"/>
        <w:rPr>
          <w:sz w:val="24"/>
          <w:szCs w:val="24"/>
        </w:rPr>
      </w:pPr>
      <w:bookmarkStart w:id="0" w:name="_Hlk76542954"/>
      <w:r w:rsidRPr="00D4644E">
        <w:rPr>
          <w:sz w:val="24"/>
          <w:szCs w:val="24"/>
        </w:rPr>
        <w:t xml:space="preserve"> </w:t>
      </w:r>
    </w:p>
    <w:p w14:paraId="782E74F8" w14:textId="77777777" w:rsidR="00182335" w:rsidRPr="00D4644E" w:rsidRDefault="00182335" w:rsidP="00182335">
      <w:pPr>
        <w:ind w:left="426" w:right="-2"/>
        <w:jc w:val="both"/>
        <w:rPr>
          <w:sz w:val="24"/>
          <w:szCs w:val="24"/>
        </w:rPr>
      </w:pPr>
    </w:p>
    <w:p w14:paraId="294A5005" w14:textId="77777777" w:rsidR="00182335" w:rsidRPr="00247F4D" w:rsidRDefault="00182335" w:rsidP="00182335">
      <w:pPr>
        <w:keepNext/>
        <w:tabs>
          <w:tab w:val="left" w:pos="0"/>
        </w:tabs>
        <w:spacing w:before="360" w:after="120"/>
        <w:ind w:left="397"/>
        <w:jc w:val="center"/>
        <w:rPr>
          <w:b/>
          <w:bCs/>
          <w:color w:val="4F81BD" w:themeColor="accent1"/>
          <w:sz w:val="28"/>
          <w:szCs w:val="28"/>
        </w:rPr>
      </w:pPr>
      <w:r w:rsidRPr="00247F4D">
        <w:rPr>
          <w:b/>
          <w:bCs/>
          <w:sz w:val="28"/>
          <w:szCs w:val="28"/>
        </w:rPr>
        <w:t xml:space="preserve">ZAŁOŻENIA DO WSZYSTKICH RODZAJÓW UBEZPIECZEŃ </w:t>
      </w:r>
    </w:p>
    <w:p w14:paraId="22ECA875" w14:textId="77777777" w:rsidR="00182335" w:rsidRPr="00A768F9" w:rsidRDefault="00182335" w:rsidP="00182335">
      <w:pPr>
        <w:ind w:right="-2"/>
        <w:jc w:val="both"/>
        <w:rPr>
          <w:sz w:val="24"/>
          <w:szCs w:val="24"/>
        </w:rPr>
      </w:pPr>
      <w:r w:rsidRPr="00A768F9">
        <w:rPr>
          <w:sz w:val="24"/>
          <w:szCs w:val="24"/>
        </w:rPr>
        <w:t>Zamawiający potwierdza pierwszeństwo zapisów SWZ wobec OWU. W sprawach nieuregulowanych zapisami SWZ zastosowanie mają zapisy OWU w tym wyłączenia w nich określone.</w:t>
      </w:r>
    </w:p>
    <w:p w14:paraId="6C0765C5" w14:textId="77777777" w:rsidR="00182335" w:rsidRPr="00A768F9" w:rsidRDefault="00182335" w:rsidP="00182335">
      <w:r w:rsidRPr="00A768F9">
        <w:rPr>
          <w:sz w:val="24"/>
          <w:szCs w:val="24"/>
        </w:rPr>
        <w:t>Podane w SWZ limity  będą miały zastosowanie chociażby nie zostały przewidziane w OWU.</w:t>
      </w:r>
    </w:p>
    <w:p w14:paraId="72D82B87" w14:textId="77777777" w:rsidR="00182335" w:rsidRPr="00A768F9" w:rsidRDefault="00182335" w:rsidP="00182335">
      <w:pPr>
        <w:ind w:right="-2"/>
        <w:jc w:val="both"/>
        <w:rPr>
          <w:sz w:val="24"/>
          <w:szCs w:val="24"/>
        </w:rPr>
      </w:pPr>
    </w:p>
    <w:p w14:paraId="6A0AC8B6" w14:textId="77777777" w:rsidR="00182335" w:rsidRPr="00A768F9" w:rsidRDefault="00182335" w:rsidP="00182335">
      <w:pPr>
        <w:ind w:right="-2"/>
        <w:jc w:val="both"/>
        <w:rPr>
          <w:sz w:val="24"/>
          <w:szCs w:val="24"/>
        </w:rPr>
      </w:pPr>
      <w:r w:rsidRPr="00A768F9">
        <w:rPr>
          <w:sz w:val="24"/>
          <w:szCs w:val="24"/>
        </w:rPr>
        <w:t>Podane sumy gwarancyjne, sumy ubezpieczenia oraz limity określone zostały w agregacie rocznym.</w:t>
      </w:r>
    </w:p>
    <w:bookmarkEnd w:id="0"/>
    <w:p w14:paraId="3AC2D2E5" w14:textId="77777777" w:rsidR="00182335" w:rsidRPr="00A768F9" w:rsidRDefault="00182335" w:rsidP="00182335">
      <w:pPr>
        <w:rPr>
          <w:szCs w:val="24"/>
        </w:rPr>
      </w:pPr>
    </w:p>
    <w:p w14:paraId="2A583DC8" w14:textId="77777777" w:rsidR="007C001D" w:rsidRPr="00247F4D" w:rsidRDefault="007C001D" w:rsidP="003F18A7">
      <w:pPr>
        <w:pStyle w:val="NormalnyWeb"/>
        <w:tabs>
          <w:tab w:val="left" w:pos="0"/>
          <w:tab w:val="left" w:pos="708"/>
        </w:tabs>
        <w:spacing w:before="0" w:beforeAutospacing="0" w:after="0" w:afterAutospacing="0"/>
        <w:ind w:right="-2"/>
        <w:jc w:val="both"/>
      </w:pPr>
    </w:p>
    <w:sectPr w:rsidR="007C001D" w:rsidRPr="00247F4D" w:rsidSect="00A7092C">
      <w:headerReference w:type="even" r:id="rId7"/>
      <w:headerReference w:type="default" r:id="rId8"/>
      <w:footerReference w:type="even" r:id="rId9"/>
      <w:footerReference w:type="default" r:id="rId10"/>
      <w:headerReference w:type="first" r:id="rId11"/>
      <w:footerReference w:type="first" r:id="rId12"/>
      <w:pgSz w:w="11906" w:h="16838" w:code="9"/>
      <w:pgMar w:top="1560" w:right="1361" w:bottom="907" w:left="1560" w:header="454" w:footer="283"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2F73" w14:textId="77777777" w:rsidR="00517754" w:rsidRDefault="00517754">
      <w:r>
        <w:separator/>
      </w:r>
    </w:p>
  </w:endnote>
  <w:endnote w:type="continuationSeparator" w:id="0">
    <w:p w14:paraId="0C5A4A8D" w14:textId="77777777" w:rsidR="00517754" w:rsidRDefault="0051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E683" w14:textId="77777777" w:rsidR="00B01545" w:rsidRDefault="00B015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3CB4" w14:textId="77777777" w:rsidR="00B01545" w:rsidRDefault="00B01545" w:rsidP="00044A7B">
    <w:pPr>
      <w:pStyle w:val="Stopka"/>
      <w:jc w:val="center"/>
      <w:rPr>
        <w:b/>
        <w:sz w:val="24"/>
      </w:rPr>
    </w:pPr>
  </w:p>
  <w:p w14:paraId="73CDA6A5" w14:textId="77777777" w:rsidR="00B01545" w:rsidRDefault="000025FC" w:rsidP="00044A7B">
    <w:pPr>
      <w:pStyle w:val="Stopka"/>
      <w:jc w:val="center"/>
      <w:rPr>
        <w:b/>
        <w:color w:val="808080"/>
        <w:sz w:val="24"/>
      </w:rPr>
    </w:pPr>
    <w:r>
      <w:pict w14:anchorId="3A22F6F6">
        <v:line id="_x0000_s1026" style="position:absolute;left:0;text-align:left;z-index:251658240" from="5.15pt,13pt" to="446.15pt,13pt" o:allowincell="f"/>
      </w:pict>
    </w:r>
  </w:p>
  <w:p w14:paraId="337EFF4E" w14:textId="77777777" w:rsidR="00B01545" w:rsidRDefault="00B01545" w:rsidP="00044A7B">
    <w:pPr>
      <w:pStyle w:val="Stopka"/>
      <w:jc w:val="center"/>
      <w:rPr>
        <w:b/>
        <w:sz w:val="16"/>
      </w:rPr>
    </w:pPr>
  </w:p>
  <w:p w14:paraId="2A151473" w14:textId="77777777" w:rsidR="00B01545" w:rsidRDefault="00B01545" w:rsidP="00392EEE">
    <w:pPr>
      <w:pStyle w:val="Stopka"/>
      <w:jc w:val="center"/>
      <w:rPr>
        <w:b/>
        <w:sz w:val="16"/>
      </w:rPr>
    </w:pPr>
  </w:p>
  <w:p w14:paraId="05BE53B3" w14:textId="77777777" w:rsidR="00B01545" w:rsidRDefault="00B01545" w:rsidP="00392EEE">
    <w:pPr>
      <w:pStyle w:val="Stopka"/>
      <w:jc w:val="center"/>
      <w:rPr>
        <w:vertAlign w:val="superscript"/>
      </w:rPr>
    </w:pPr>
    <w:r>
      <w:rPr>
        <w:b/>
      </w:rPr>
      <w:t>SUPRA BROKERS</w:t>
    </w:r>
    <w:r>
      <w:rPr>
        <w:vertAlign w:val="superscript"/>
      </w:rPr>
      <w:t>®</w:t>
    </w:r>
  </w:p>
  <w:p w14:paraId="719DBE49" w14:textId="77777777" w:rsidR="00B01545" w:rsidRDefault="00B01545" w:rsidP="00392EEE">
    <w:pPr>
      <w:pStyle w:val="Stopka"/>
      <w:jc w:val="center"/>
      <w:rPr>
        <w:sz w:val="18"/>
      </w:rPr>
    </w:pPr>
    <w:r>
      <w:rPr>
        <w:sz w:val="18"/>
      </w:rPr>
      <w:t>54-118 Wrocław, Aleja Śląska 1,  tel.071 77 70 400, faks 071 77 70 455, e-mail: centrala@suprabrokers.pl</w:t>
    </w:r>
  </w:p>
  <w:p w14:paraId="4B99E291" w14:textId="77777777" w:rsidR="00B01545" w:rsidRDefault="00B01545" w:rsidP="00392EEE">
    <w:pPr>
      <w:pStyle w:val="Stopka"/>
      <w:jc w:val="center"/>
      <w:rPr>
        <w:sz w:val="18"/>
      </w:rPr>
    </w:pPr>
    <w:r>
      <w:rPr>
        <w:sz w:val="18"/>
      </w:rPr>
      <w:t xml:space="preserve">Sąd Rejonowy dla Wrocławia-Fabrycznej, VI Wydz. Gospod., nr KRS:  0000425834,  </w:t>
    </w:r>
  </w:p>
  <w:p w14:paraId="6995ABD1" w14:textId="77777777" w:rsidR="00B01545" w:rsidRDefault="00B01545" w:rsidP="00392EEE">
    <w:pPr>
      <w:pStyle w:val="Stopka"/>
      <w:jc w:val="center"/>
      <w:rPr>
        <w:sz w:val="18"/>
        <w:szCs w:val="18"/>
      </w:rPr>
    </w:pPr>
    <w:r>
      <w:rPr>
        <w:sz w:val="18"/>
      </w:rPr>
      <w:t xml:space="preserve">kapitał zakł.: 2.000.818,40 zł, NIP: 894-30-41-146, REGON </w:t>
    </w:r>
    <w:r>
      <w:rPr>
        <w:sz w:val="18"/>
        <w:szCs w:val="18"/>
      </w:rPr>
      <w:t>021916234</w:t>
    </w:r>
  </w:p>
  <w:p w14:paraId="2DED5448" w14:textId="77777777" w:rsidR="00B01545" w:rsidRDefault="00B01545" w:rsidP="00392EEE">
    <w:pPr>
      <w:pStyle w:val="Stopka"/>
      <w:jc w:val="center"/>
      <w:rPr>
        <w:b/>
      </w:rPr>
    </w:pPr>
    <w:r>
      <w:rPr>
        <w:sz w:val="18"/>
        <w:szCs w:val="18"/>
      </w:rPr>
      <w:t>www.suprabrokers.pl</w:t>
    </w:r>
  </w:p>
  <w:p w14:paraId="04C72274" w14:textId="77777777" w:rsidR="00B01545" w:rsidRPr="00044A7B" w:rsidRDefault="00B01545" w:rsidP="00044A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4D94" w14:textId="77777777" w:rsidR="00B01545" w:rsidRDefault="00B01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67FCD" w14:textId="77777777" w:rsidR="00517754" w:rsidRDefault="00517754">
      <w:r>
        <w:separator/>
      </w:r>
    </w:p>
  </w:footnote>
  <w:footnote w:type="continuationSeparator" w:id="0">
    <w:p w14:paraId="65F39E38" w14:textId="77777777" w:rsidR="00517754" w:rsidRDefault="0051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4DAD" w14:textId="77777777" w:rsidR="00B01545" w:rsidRDefault="00B015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BBFA" w14:textId="77777777" w:rsidR="00B01545" w:rsidRDefault="00B01545" w:rsidP="00044A7B">
    <w:pPr>
      <w:pStyle w:val="Nagwek"/>
      <w:framePr w:wrap="around" w:vAnchor="text" w:hAnchor="margin" w:xAlign="right" w:y="1"/>
      <w:rPr>
        <w:rStyle w:val="Numerstrony"/>
      </w:rPr>
    </w:pPr>
  </w:p>
  <w:p w14:paraId="099A6A4C" w14:textId="77777777" w:rsidR="00B01545" w:rsidRPr="008859FB" w:rsidRDefault="00B01545" w:rsidP="00044A7B">
    <w:pPr>
      <w:pStyle w:val="Nagwek"/>
      <w:ind w:right="360"/>
      <w:rPr>
        <w:sz w:val="18"/>
        <w:szCs w:val="18"/>
      </w:rPr>
    </w:pPr>
    <w:r>
      <w:rPr>
        <w:snapToGrid w:val="0"/>
      </w:rPr>
      <w:tab/>
    </w:r>
    <w:r>
      <w:rPr>
        <w:snapToGrid w:val="0"/>
      </w:rPr>
      <w:tab/>
    </w:r>
    <w:r w:rsidRPr="008859FB">
      <w:rPr>
        <w:snapToGrid w:val="0"/>
        <w:sz w:val="18"/>
        <w:szCs w:val="18"/>
      </w:rPr>
      <w:t xml:space="preserve">Strona </w:t>
    </w:r>
    <w:r w:rsidR="001F577E" w:rsidRPr="008859FB">
      <w:rPr>
        <w:snapToGrid w:val="0"/>
        <w:sz w:val="18"/>
        <w:szCs w:val="18"/>
      </w:rPr>
      <w:fldChar w:fldCharType="begin"/>
    </w:r>
    <w:r w:rsidRPr="008859FB">
      <w:rPr>
        <w:snapToGrid w:val="0"/>
        <w:sz w:val="18"/>
        <w:szCs w:val="18"/>
      </w:rPr>
      <w:instrText xml:space="preserve"> PAGE </w:instrText>
    </w:r>
    <w:r w:rsidR="001F577E" w:rsidRPr="008859FB">
      <w:rPr>
        <w:snapToGrid w:val="0"/>
        <w:sz w:val="18"/>
        <w:szCs w:val="18"/>
      </w:rPr>
      <w:fldChar w:fldCharType="separate"/>
    </w:r>
    <w:r w:rsidR="008E1EEC">
      <w:rPr>
        <w:noProof/>
        <w:snapToGrid w:val="0"/>
        <w:sz w:val="18"/>
        <w:szCs w:val="18"/>
      </w:rPr>
      <w:t>26</w:t>
    </w:r>
    <w:r w:rsidR="001F577E" w:rsidRPr="008859FB">
      <w:rPr>
        <w:snapToGrid w:val="0"/>
        <w:sz w:val="18"/>
        <w:szCs w:val="18"/>
      </w:rPr>
      <w:fldChar w:fldCharType="end"/>
    </w:r>
    <w:r w:rsidRPr="008859FB">
      <w:rPr>
        <w:snapToGrid w:val="0"/>
        <w:sz w:val="18"/>
        <w:szCs w:val="18"/>
      </w:rPr>
      <w:t xml:space="preserve"> z </w:t>
    </w:r>
    <w:r w:rsidR="001F577E" w:rsidRPr="008859FB">
      <w:rPr>
        <w:snapToGrid w:val="0"/>
        <w:sz w:val="18"/>
        <w:szCs w:val="18"/>
      </w:rPr>
      <w:fldChar w:fldCharType="begin"/>
    </w:r>
    <w:r w:rsidRPr="008859FB">
      <w:rPr>
        <w:snapToGrid w:val="0"/>
        <w:sz w:val="18"/>
        <w:szCs w:val="18"/>
      </w:rPr>
      <w:instrText xml:space="preserve"> NUMPAGES </w:instrText>
    </w:r>
    <w:r w:rsidR="001F577E" w:rsidRPr="008859FB">
      <w:rPr>
        <w:snapToGrid w:val="0"/>
        <w:sz w:val="18"/>
        <w:szCs w:val="18"/>
      </w:rPr>
      <w:fldChar w:fldCharType="separate"/>
    </w:r>
    <w:r w:rsidR="008E1EEC">
      <w:rPr>
        <w:noProof/>
        <w:snapToGrid w:val="0"/>
        <w:sz w:val="18"/>
        <w:szCs w:val="18"/>
      </w:rPr>
      <w:t>26</w:t>
    </w:r>
    <w:r w:rsidR="001F577E" w:rsidRPr="008859FB">
      <w:rPr>
        <w:snapToGrid w:val="0"/>
        <w:sz w:val="18"/>
        <w:szCs w:val="18"/>
      </w:rPr>
      <w:fldChar w:fldCharType="end"/>
    </w:r>
    <w:r w:rsidR="000025FC">
      <w:rPr>
        <w:noProof/>
        <w:sz w:val="18"/>
        <w:szCs w:val="18"/>
      </w:rPr>
      <w:object w:dxaOrig="1440" w:dyaOrig="1440" w14:anchorId="45DC9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85pt;margin-top:-26.2pt;width:108pt;height:101.2pt;z-index:-251659264;mso-wrap-edited:f;mso-position-horizontal-relative:text;mso-position-vertical-relative:text" wrapcoords="-138 0 -138 21452 21600 21452 21600 0 -138 0" o:allowincell="f">
          <v:imagedata r:id="rId1" o:title=""/>
        </v:shape>
        <o:OLEObject Type="Embed" ProgID="PBrush" ShapeID="_x0000_s1027" DrawAspect="Content" ObjectID="_1778911439" r:id="rId2"/>
      </w:object>
    </w:r>
  </w:p>
  <w:p w14:paraId="03EC9E7C" w14:textId="77777777" w:rsidR="00B01545" w:rsidRDefault="00B01545" w:rsidP="00044A7B">
    <w:pPr>
      <w:pStyle w:val="Nagwek"/>
      <w:rPr>
        <w:b/>
        <w:sz w:val="24"/>
        <w:vertAlign w:val="superscript"/>
      </w:rPr>
    </w:pPr>
    <w:r>
      <w:rPr>
        <w:b/>
        <w:sz w:val="28"/>
      </w:rPr>
      <w:t xml:space="preserve">             SUPRA BROKERS </w:t>
    </w:r>
    <w:r>
      <w:rPr>
        <w:sz w:val="28"/>
        <w:vertAlign w:val="superscript"/>
      </w:rPr>
      <w:t>®</w:t>
    </w:r>
  </w:p>
  <w:p w14:paraId="2788A95B" w14:textId="77777777" w:rsidR="00B01545" w:rsidRPr="00D97BAB" w:rsidRDefault="00B01545" w:rsidP="00392EEE">
    <w:pPr>
      <w:jc w:val="right"/>
      <w:rPr>
        <w:sz w:val="18"/>
        <w:szCs w:val="18"/>
      </w:rPr>
    </w:pPr>
    <w:r w:rsidRPr="008859FB">
      <w:rPr>
        <w:sz w:val="18"/>
        <w:szCs w:val="18"/>
      </w:rPr>
      <w:t>F</w:t>
    </w:r>
    <w:r>
      <w:rPr>
        <w:sz w:val="18"/>
        <w:szCs w:val="18"/>
      </w:rPr>
      <w:t xml:space="preserve">337 </w:t>
    </w:r>
    <w:r w:rsidRPr="00D97BAB">
      <w:rPr>
        <w:sz w:val="18"/>
        <w:szCs w:val="18"/>
      </w:rPr>
      <w:t>Dokument chroniony prawem autorskim</w:t>
    </w:r>
  </w:p>
  <w:p w14:paraId="40D5C546" w14:textId="77777777" w:rsidR="00B01545" w:rsidRPr="00D97BAB" w:rsidRDefault="00B01545" w:rsidP="00392EEE">
    <w:pPr>
      <w:pStyle w:val="Tekstpodstawowy"/>
      <w:jc w:val="right"/>
      <w:rPr>
        <w:sz w:val="18"/>
      </w:rPr>
    </w:pPr>
    <w:r w:rsidRPr="00D97BAB">
      <w:rPr>
        <w:sz w:val="18"/>
      </w:rPr>
      <w:t xml:space="preserve">      © Supra Brokers S.A.</w:t>
    </w:r>
  </w:p>
  <w:p w14:paraId="63FDF7A1" w14:textId="77777777" w:rsidR="00B01545" w:rsidRDefault="00B01545" w:rsidP="00392EEE">
    <w:pPr>
      <w:pStyle w:val="Stopka"/>
      <w:jc w:val="right"/>
      <w:rPr>
        <w:sz w:val="24"/>
      </w:rPr>
    </w:pPr>
    <w:r>
      <w:rPr>
        <w:sz w:val="22"/>
      </w:rPr>
      <w:t>_____________________________________________________________________________</w:t>
    </w:r>
  </w:p>
  <w:p w14:paraId="2111B63B" w14:textId="77777777" w:rsidR="00B01545" w:rsidRPr="00F54224" w:rsidRDefault="00B01545" w:rsidP="00044A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9B2F" w14:textId="77777777" w:rsidR="00B01545" w:rsidRDefault="00B015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274336"/>
    <w:multiLevelType w:val="hybridMultilevel"/>
    <w:tmpl w:val="55228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9F6177"/>
    <w:multiLevelType w:val="hybridMultilevel"/>
    <w:tmpl w:val="A582D828"/>
    <w:lvl w:ilvl="0" w:tplc="EE5CE10A">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6" w15:restartNumberingAfterBreak="0">
    <w:nsid w:val="0E870863"/>
    <w:multiLevelType w:val="hybridMultilevel"/>
    <w:tmpl w:val="FC06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3694DCC"/>
    <w:multiLevelType w:val="hybridMultilevel"/>
    <w:tmpl w:val="4D6ED694"/>
    <w:lvl w:ilvl="0" w:tplc="5A20E450">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0C7E"/>
    <w:multiLevelType w:val="hybridMultilevel"/>
    <w:tmpl w:val="28406ED6"/>
    <w:lvl w:ilvl="0" w:tplc="E8DE52C2">
      <w:start w:val="1"/>
      <w:numFmt w:val="decimal"/>
      <w:lvlText w:val="%1."/>
      <w:lvlJc w:val="left"/>
      <w:pPr>
        <w:tabs>
          <w:tab w:val="num" w:pos="720"/>
        </w:tabs>
        <w:ind w:left="720" w:hanging="360"/>
      </w:pPr>
      <w:rPr>
        <w:rFonts w:hint="default"/>
      </w:rPr>
    </w:lvl>
    <w:lvl w:ilvl="1" w:tplc="A2BA329E">
      <w:start w:val="1"/>
      <w:numFmt w:val="decimal"/>
      <w:lvlText w:val="%2."/>
      <w:lvlJc w:val="left"/>
      <w:pPr>
        <w:tabs>
          <w:tab w:val="num" w:pos="1440"/>
        </w:tabs>
        <w:ind w:left="1440" w:hanging="360"/>
      </w:pPr>
      <w:rPr>
        <w:rFonts w:hint="default"/>
        <w:b w:val="0"/>
        <w:b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91106D"/>
    <w:multiLevelType w:val="hybridMultilevel"/>
    <w:tmpl w:val="A5C4D234"/>
    <w:lvl w:ilvl="0" w:tplc="66147B78">
      <w:start w:val="6"/>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9769B6"/>
    <w:multiLevelType w:val="hybridMultilevel"/>
    <w:tmpl w:val="5E405188"/>
    <w:lvl w:ilvl="0" w:tplc="ABDA3512">
      <w:start w:val="1"/>
      <w:numFmt w:val="decimal"/>
      <w:lvlText w:val="%1."/>
      <w:lvlJc w:val="left"/>
      <w:pPr>
        <w:tabs>
          <w:tab w:val="num" w:pos="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51C8C"/>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15" w15:restartNumberingAfterBreak="0">
    <w:nsid w:val="229039E7"/>
    <w:multiLevelType w:val="hybridMultilevel"/>
    <w:tmpl w:val="D7FEA774"/>
    <w:lvl w:ilvl="0" w:tplc="04150011">
      <w:start w:val="1"/>
      <w:numFmt w:val="decimal"/>
      <w:lvlText w:val="%1)"/>
      <w:lvlJc w:val="left"/>
      <w:pPr>
        <w:tabs>
          <w:tab w:val="num" w:pos="567"/>
        </w:tabs>
        <w:ind w:left="567" w:hanging="397"/>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620420A"/>
    <w:multiLevelType w:val="hybridMultilevel"/>
    <w:tmpl w:val="CFDA66B4"/>
    <w:lvl w:ilvl="0" w:tplc="FFFFFFF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7" w15:restartNumberingAfterBreak="0">
    <w:nsid w:val="272E5C4D"/>
    <w:multiLevelType w:val="singleLevel"/>
    <w:tmpl w:val="53F0A910"/>
    <w:lvl w:ilvl="0">
      <w:start w:val="4"/>
      <w:numFmt w:val="decimal"/>
      <w:lvlText w:val="%1)"/>
      <w:lvlJc w:val="left"/>
      <w:pPr>
        <w:ind w:left="720" w:hanging="360"/>
      </w:pPr>
      <w:rPr>
        <w:rFonts w:hint="default"/>
        <w:b/>
        <w:bCs w:val="0"/>
        <w:i w:val="0"/>
        <w:sz w:val="24"/>
      </w:rPr>
    </w:lvl>
  </w:abstractNum>
  <w:abstractNum w:abstractNumId="18"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14561E3"/>
    <w:multiLevelType w:val="hybridMultilevel"/>
    <w:tmpl w:val="08EEE3E2"/>
    <w:lvl w:ilvl="0" w:tplc="0286409C">
      <w:start w:val="15"/>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8CF1138"/>
    <w:multiLevelType w:val="hybridMultilevel"/>
    <w:tmpl w:val="7DA46A0C"/>
    <w:lvl w:ilvl="0" w:tplc="830E1D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A8E285A"/>
    <w:multiLevelType w:val="hybridMultilevel"/>
    <w:tmpl w:val="F6326AC2"/>
    <w:lvl w:ilvl="0" w:tplc="F2B4AC2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20171"/>
    <w:multiLevelType w:val="hybridMultilevel"/>
    <w:tmpl w:val="CFDA66B4"/>
    <w:lvl w:ilvl="0" w:tplc="EBD02682">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3E573FB1"/>
    <w:multiLevelType w:val="hybridMultilevel"/>
    <w:tmpl w:val="3CD2BB34"/>
    <w:lvl w:ilvl="0" w:tplc="D4B48EF8">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5FC0F4A"/>
    <w:multiLevelType w:val="hybridMultilevel"/>
    <w:tmpl w:val="128E3D96"/>
    <w:lvl w:ilvl="0" w:tplc="24925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BE32F7"/>
    <w:multiLevelType w:val="hybridMultilevel"/>
    <w:tmpl w:val="A300E3EC"/>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1C7B95"/>
    <w:multiLevelType w:val="multilevel"/>
    <w:tmpl w:val="9C9816B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94"/>
        </w:tabs>
        <w:ind w:left="1588" w:hanging="794"/>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F650AF8"/>
    <w:multiLevelType w:val="hybridMultilevel"/>
    <w:tmpl w:val="03426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29722C"/>
    <w:multiLevelType w:val="hybridMultilevel"/>
    <w:tmpl w:val="BC5EE5C8"/>
    <w:lvl w:ilvl="0" w:tplc="613A75FC">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3" w15:restartNumberingAfterBreak="0">
    <w:nsid w:val="52571827"/>
    <w:multiLevelType w:val="hybridMultilevel"/>
    <w:tmpl w:val="A3207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F33292"/>
    <w:multiLevelType w:val="multilevel"/>
    <w:tmpl w:val="8F2C135E"/>
    <w:lvl w:ilvl="0">
      <w:start w:val="1"/>
      <w:numFmt w:val="decimal"/>
      <w:lvlText w:val="%1."/>
      <w:lvlJc w:val="left"/>
      <w:pPr>
        <w:tabs>
          <w:tab w:val="num" w:pos="480"/>
        </w:tabs>
        <w:ind w:left="480" w:hanging="360"/>
      </w:pPr>
      <w:rPr>
        <w:rFonts w:ascii="Times New Roman" w:eastAsia="Times New Roman" w:hAnsi="Times New Roman" w:cs="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0"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CB0B06"/>
    <w:multiLevelType w:val="hybridMultilevel"/>
    <w:tmpl w:val="9B5EEFD0"/>
    <w:lvl w:ilvl="0" w:tplc="85160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5D5189"/>
    <w:multiLevelType w:val="hybridMultilevel"/>
    <w:tmpl w:val="8474F77A"/>
    <w:lvl w:ilvl="0" w:tplc="415236F6">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CC30A0"/>
    <w:multiLevelType w:val="hybridMultilevel"/>
    <w:tmpl w:val="694AD95A"/>
    <w:lvl w:ilvl="0" w:tplc="85160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96279A7"/>
    <w:multiLevelType w:val="hybridMultilevel"/>
    <w:tmpl w:val="A95CD75C"/>
    <w:lvl w:ilvl="0" w:tplc="0D82A99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C130E0"/>
    <w:multiLevelType w:val="hybridMultilevel"/>
    <w:tmpl w:val="92D8D8B4"/>
    <w:lvl w:ilvl="0" w:tplc="86CEFB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81494506">
    <w:abstractNumId w:val="5"/>
    <w:lvlOverride w:ilvl="0">
      <w:startOverride w:val="1"/>
    </w:lvlOverride>
  </w:num>
  <w:num w:numId="2" w16cid:durableId="1975326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79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7409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646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6041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7393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2639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5014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6471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339570">
    <w:abstractNumId w:val="15"/>
    <w:lvlOverride w:ilvl="0">
      <w:startOverride w:val="1"/>
    </w:lvlOverride>
    <w:lvlOverride w:ilvl="1"/>
    <w:lvlOverride w:ilvl="2"/>
    <w:lvlOverride w:ilvl="3"/>
    <w:lvlOverride w:ilvl="4"/>
    <w:lvlOverride w:ilvl="5"/>
    <w:lvlOverride w:ilvl="6"/>
    <w:lvlOverride w:ilvl="7"/>
    <w:lvlOverride w:ilvl="8"/>
  </w:num>
  <w:num w:numId="12" w16cid:durableId="11385761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83589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772199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9143834">
    <w:abstractNumId w:val="9"/>
  </w:num>
  <w:num w:numId="16" w16cid:durableId="1601717521">
    <w:abstractNumId w:val="44"/>
  </w:num>
  <w:num w:numId="17" w16cid:durableId="353698136">
    <w:abstractNumId w:val="20"/>
  </w:num>
  <w:num w:numId="18" w16cid:durableId="1441148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3110230">
    <w:abstractNumId w:val="18"/>
  </w:num>
  <w:num w:numId="20" w16cid:durableId="1471744557">
    <w:abstractNumId w:val="45"/>
  </w:num>
  <w:num w:numId="21" w16cid:durableId="1739012438">
    <w:abstractNumId w:val="36"/>
  </w:num>
  <w:num w:numId="22" w16cid:durableId="894047422">
    <w:abstractNumId w:val="3"/>
  </w:num>
  <w:num w:numId="23" w16cid:durableId="1460495571">
    <w:abstractNumId w:val="25"/>
  </w:num>
  <w:num w:numId="24" w16cid:durableId="1989431124">
    <w:abstractNumId w:val="45"/>
  </w:num>
  <w:num w:numId="25" w16cid:durableId="131598775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04650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4934446">
    <w:abstractNumId w:val="8"/>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6339449">
    <w:abstractNumId w:val="17"/>
  </w:num>
  <w:num w:numId="29" w16cid:durableId="218707592">
    <w:abstractNumId w:val="37"/>
  </w:num>
  <w:num w:numId="30" w16cid:durableId="2482765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1611925">
    <w:abstractNumId w:val="22"/>
  </w:num>
  <w:num w:numId="32" w16cid:durableId="313804352">
    <w:abstractNumId w:val="13"/>
  </w:num>
  <w:num w:numId="33" w16cid:durableId="990524644">
    <w:abstractNumId w:val="35"/>
  </w:num>
  <w:num w:numId="34" w16cid:durableId="55594961">
    <w:abstractNumId w:val="12"/>
  </w:num>
  <w:num w:numId="35" w16cid:durableId="1692099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5704877">
    <w:abstractNumId w:val="30"/>
  </w:num>
  <w:num w:numId="37" w16cid:durableId="1600719624">
    <w:abstractNumId w:val="6"/>
  </w:num>
  <w:num w:numId="38" w16cid:durableId="1990206131">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3397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3445502">
    <w:abstractNumId w:val="4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2234393">
    <w:abstractNumId w:val="41"/>
  </w:num>
  <w:num w:numId="42" w16cid:durableId="705064715">
    <w:abstractNumId w:val="47"/>
  </w:num>
  <w:num w:numId="43" w16cid:durableId="672534788">
    <w:abstractNumId w:val="14"/>
  </w:num>
  <w:num w:numId="44" w16cid:durableId="444351136">
    <w:abstractNumId w:val="28"/>
  </w:num>
  <w:num w:numId="45" w16cid:durableId="1126898427">
    <w:abstractNumId w:val="26"/>
  </w:num>
  <w:num w:numId="46" w16cid:durableId="1705011304">
    <w:abstractNumId w:val="19"/>
  </w:num>
  <w:num w:numId="47" w16cid:durableId="1798256041">
    <w:abstractNumId w:val="23"/>
  </w:num>
  <w:num w:numId="48" w16cid:durableId="190997729">
    <w:abstractNumId w:val="16"/>
  </w:num>
  <w:num w:numId="49" w16cid:durableId="1440102093">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oNotTrackMove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B1FEC"/>
    <w:rsid w:val="00000CE4"/>
    <w:rsid w:val="0000211D"/>
    <w:rsid w:val="000025FC"/>
    <w:rsid w:val="00005839"/>
    <w:rsid w:val="00007572"/>
    <w:rsid w:val="00007906"/>
    <w:rsid w:val="00007DA8"/>
    <w:rsid w:val="0001028A"/>
    <w:rsid w:val="0001488D"/>
    <w:rsid w:val="000157A6"/>
    <w:rsid w:val="000163B2"/>
    <w:rsid w:val="000163C4"/>
    <w:rsid w:val="00017582"/>
    <w:rsid w:val="000222C4"/>
    <w:rsid w:val="00024BBF"/>
    <w:rsid w:val="000268F1"/>
    <w:rsid w:val="000304BA"/>
    <w:rsid w:val="00030983"/>
    <w:rsid w:val="00030B1A"/>
    <w:rsid w:val="00031A85"/>
    <w:rsid w:val="0003201B"/>
    <w:rsid w:val="000326FE"/>
    <w:rsid w:val="0003670F"/>
    <w:rsid w:val="00040B94"/>
    <w:rsid w:val="00041BE0"/>
    <w:rsid w:val="000426C6"/>
    <w:rsid w:val="000429D6"/>
    <w:rsid w:val="00043121"/>
    <w:rsid w:val="000443F6"/>
    <w:rsid w:val="00044A7B"/>
    <w:rsid w:val="00045E5E"/>
    <w:rsid w:val="00045F51"/>
    <w:rsid w:val="000506EA"/>
    <w:rsid w:val="00055342"/>
    <w:rsid w:val="00061279"/>
    <w:rsid w:val="00062970"/>
    <w:rsid w:val="00065704"/>
    <w:rsid w:val="000662F1"/>
    <w:rsid w:val="000664CC"/>
    <w:rsid w:val="00067A9C"/>
    <w:rsid w:val="00070661"/>
    <w:rsid w:val="00071963"/>
    <w:rsid w:val="00071A2D"/>
    <w:rsid w:val="00072B75"/>
    <w:rsid w:val="00073644"/>
    <w:rsid w:val="0007436B"/>
    <w:rsid w:val="00074C5F"/>
    <w:rsid w:val="00074F75"/>
    <w:rsid w:val="000761B0"/>
    <w:rsid w:val="00076383"/>
    <w:rsid w:val="00077534"/>
    <w:rsid w:val="00082243"/>
    <w:rsid w:val="00083A5A"/>
    <w:rsid w:val="0008406B"/>
    <w:rsid w:val="0008645C"/>
    <w:rsid w:val="00093895"/>
    <w:rsid w:val="00094E23"/>
    <w:rsid w:val="000A008E"/>
    <w:rsid w:val="000A05AE"/>
    <w:rsid w:val="000A0EF5"/>
    <w:rsid w:val="000A1180"/>
    <w:rsid w:val="000A5BA6"/>
    <w:rsid w:val="000A60DF"/>
    <w:rsid w:val="000B01A4"/>
    <w:rsid w:val="000B0B6D"/>
    <w:rsid w:val="000B40D4"/>
    <w:rsid w:val="000B79C8"/>
    <w:rsid w:val="000C13E0"/>
    <w:rsid w:val="000C14E1"/>
    <w:rsid w:val="000C18C8"/>
    <w:rsid w:val="000C2130"/>
    <w:rsid w:val="000C51E2"/>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4CC5"/>
    <w:rsid w:val="000E6653"/>
    <w:rsid w:val="000E6F11"/>
    <w:rsid w:val="000F0630"/>
    <w:rsid w:val="000F1959"/>
    <w:rsid w:val="000F22D5"/>
    <w:rsid w:val="0010072C"/>
    <w:rsid w:val="0010275F"/>
    <w:rsid w:val="00104688"/>
    <w:rsid w:val="001048B2"/>
    <w:rsid w:val="00104A33"/>
    <w:rsid w:val="0011224F"/>
    <w:rsid w:val="00113E10"/>
    <w:rsid w:val="00115C5D"/>
    <w:rsid w:val="00121E63"/>
    <w:rsid w:val="00121E64"/>
    <w:rsid w:val="00123131"/>
    <w:rsid w:val="00123202"/>
    <w:rsid w:val="0012561A"/>
    <w:rsid w:val="001262F8"/>
    <w:rsid w:val="00126B72"/>
    <w:rsid w:val="00127EBC"/>
    <w:rsid w:val="00130AD2"/>
    <w:rsid w:val="00136FC7"/>
    <w:rsid w:val="00140494"/>
    <w:rsid w:val="001412CC"/>
    <w:rsid w:val="00141913"/>
    <w:rsid w:val="00141FF9"/>
    <w:rsid w:val="00142592"/>
    <w:rsid w:val="00142A0D"/>
    <w:rsid w:val="00146565"/>
    <w:rsid w:val="00152797"/>
    <w:rsid w:val="0015369D"/>
    <w:rsid w:val="00153797"/>
    <w:rsid w:val="00155DFC"/>
    <w:rsid w:val="00160B0E"/>
    <w:rsid w:val="00162357"/>
    <w:rsid w:val="00164564"/>
    <w:rsid w:val="00166F11"/>
    <w:rsid w:val="00170001"/>
    <w:rsid w:val="00170230"/>
    <w:rsid w:val="00170A64"/>
    <w:rsid w:val="001723C1"/>
    <w:rsid w:val="00173B25"/>
    <w:rsid w:val="0017404B"/>
    <w:rsid w:val="001760F9"/>
    <w:rsid w:val="00176871"/>
    <w:rsid w:val="0017715D"/>
    <w:rsid w:val="00177E57"/>
    <w:rsid w:val="00181779"/>
    <w:rsid w:val="00181C65"/>
    <w:rsid w:val="00182335"/>
    <w:rsid w:val="00182387"/>
    <w:rsid w:val="00183473"/>
    <w:rsid w:val="00185341"/>
    <w:rsid w:val="00186E0A"/>
    <w:rsid w:val="00190646"/>
    <w:rsid w:val="001933F4"/>
    <w:rsid w:val="00193DA5"/>
    <w:rsid w:val="0019470A"/>
    <w:rsid w:val="0019517F"/>
    <w:rsid w:val="00195465"/>
    <w:rsid w:val="00195B30"/>
    <w:rsid w:val="001970DC"/>
    <w:rsid w:val="001A23B5"/>
    <w:rsid w:val="001A2655"/>
    <w:rsid w:val="001A26A5"/>
    <w:rsid w:val="001A2FFC"/>
    <w:rsid w:val="001A479B"/>
    <w:rsid w:val="001A5EFC"/>
    <w:rsid w:val="001A6400"/>
    <w:rsid w:val="001A665B"/>
    <w:rsid w:val="001A7374"/>
    <w:rsid w:val="001B144A"/>
    <w:rsid w:val="001C16EB"/>
    <w:rsid w:val="001C22C1"/>
    <w:rsid w:val="001C2C2A"/>
    <w:rsid w:val="001C3F4B"/>
    <w:rsid w:val="001C4383"/>
    <w:rsid w:val="001C46F1"/>
    <w:rsid w:val="001C7A56"/>
    <w:rsid w:val="001C7E01"/>
    <w:rsid w:val="001D0AA9"/>
    <w:rsid w:val="001D280A"/>
    <w:rsid w:val="001D2AAD"/>
    <w:rsid w:val="001D6158"/>
    <w:rsid w:val="001D6B22"/>
    <w:rsid w:val="001D7596"/>
    <w:rsid w:val="001F083C"/>
    <w:rsid w:val="001F2841"/>
    <w:rsid w:val="001F36AA"/>
    <w:rsid w:val="001F3957"/>
    <w:rsid w:val="001F4283"/>
    <w:rsid w:val="001F55A4"/>
    <w:rsid w:val="001F577E"/>
    <w:rsid w:val="00201030"/>
    <w:rsid w:val="00204893"/>
    <w:rsid w:val="002057EB"/>
    <w:rsid w:val="00206516"/>
    <w:rsid w:val="002113D9"/>
    <w:rsid w:val="002127C4"/>
    <w:rsid w:val="002148A1"/>
    <w:rsid w:val="00216F6F"/>
    <w:rsid w:val="00217A90"/>
    <w:rsid w:val="00220645"/>
    <w:rsid w:val="00220F4D"/>
    <w:rsid w:val="00221288"/>
    <w:rsid w:val="00223C27"/>
    <w:rsid w:val="0022450A"/>
    <w:rsid w:val="00226DA1"/>
    <w:rsid w:val="002311E4"/>
    <w:rsid w:val="00232598"/>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1D51"/>
    <w:rsid w:val="00253FF5"/>
    <w:rsid w:val="002550C5"/>
    <w:rsid w:val="00255F64"/>
    <w:rsid w:val="002613E4"/>
    <w:rsid w:val="00261A1A"/>
    <w:rsid w:val="002625A5"/>
    <w:rsid w:val="00263176"/>
    <w:rsid w:val="002653B3"/>
    <w:rsid w:val="002658BF"/>
    <w:rsid w:val="00270EF5"/>
    <w:rsid w:val="002714F6"/>
    <w:rsid w:val="002737F1"/>
    <w:rsid w:val="00274A61"/>
    <w:rsid w:val="0027696A"/>
    <w:rsid w:val="0027724D"/>
    <w:rsid w:val="00281197"/>
    <w:rsid w:val="002822A4"/>
    <w:rsid w:val="00282903"/>
    <w:rsid w:val="002833AC"/>
    <w:rsid w:val="00283EC4"/>
    <w:rsid w:val="002855CC"/>
    <w:rsid w:val="00292A0A"/>
    <w:rsid w:val="00292C42"/>
    <w:rsid w:val="0029322C"/>
    <w:rsid w:val="00295127"/>
    <w:rsid w:val="002A072E"/>
    <w:rsid w:val="002A400F"/>
    <w:rsid w:val="002A50FF"/>
    <w:rsid w:val="002A5522"/>
    <w:rsid w:val="002A6530"/>
    <w:rsid w:val="002A7F4B"/>
    <w:rsid w:val="002B0A5D"/>
    <w:rsid w:val="002B2B5C"/>
    <w:rsid w:val="002B2DEE"/>
    <w:rsid w:val="002B441E"/>
    <w:rsid w:val="002C37B9"/>
    <w:rsid w:val="002C3D02"/>
    <w:rsid w:val="002D0A8D"/>
    <w:rsid w:val="002D3DFC"/>
    <w:rsid w:val="002D40A1"/>
    <w:rsid w:val="002D6C64"/>
    <w:rsid w:val="002D7375"/>
    <w:rsid w:val="002E0104"/>
    <w:rsid w:val="002E557D"/>
    <w:rsid w:val="002F3649"/>
    <w:rsid w:val="002F3BE6"/>
    <w:rsid w:val="00302A9B"/>
    <w:rsid w:val="00303098"/>
    <w:rsid w:val="00303CD1"/>
    <w:rsid w:val="0030427A"/>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7352"/>
    <w:rsid w:val="003276AE"/>
    <w:rsid w:val="003306E8"/>
    <w:rsid w:val="00331D32"/>
    <w:rsid w:val="003348FF"/>
    <w:rsid w:val="00335168"/>
    <w:rsid w:val="003361B5"/>
    <w:rsid w:val="00342951"/>
    <w:rsid w:val="0034347F"/>
    <w:rsid w:val="0034730E"/>
    <w:rsid w:val="0034739A"/>
    <w:rsid w:val="003549AE"/>
    <w:rsid w:val="00356B36"/>
    <w:rsid w:val="00357001"/>
    <w:rsid w:val="0036609F"/>
    <w:rsid w:val="00367647"/>
    <w:rsid w:val="00370180"/>
    <w:rsid w:val="003704ED"/>
    <w:rsid w:val="00370A67"/>
    <w:rsid w:val="003729BE"/>
    <w:rsid w:val="00374248"/>
    <w:rsid w:val="00382B77"/>
    <w:rsid w:val="00382BF4"/>
    <w:rsid w:val="0038447F"/>
    <w:rsid w:val="0038473F"/>
    <w:rsid w:val="003860A4"/>
    <w:rsid w:val="00390591"/>
    <w:rsid w:val="003925F5"/>
    <w:rsid w:val="003927AC"/>
    <w:rsid w:val="00392EEE"/>
    <w:rsid w:val="00395CE0"/>
    <w:rsid w:val="0039722E"/>
    <w:rsid w:val="00397E87"/>
    <w:rsid w:val="003A0250"/>
    <w:rsid w:val="003A08AF"/>
    <w:rsid w:val="003A25FE"/>
    <w:rsid w:val="003A46A9"/>
    <w:rsid w:val="003A47EB"/>
    <w:rsid w:val="003A5007"/>
    <w:rsid w:val="003B1163"/>
    <w:rsid w:val="003B1707"/>
    <w:rsid w:val="003B2C37"/>
    <w:rsid w:val="003B2F06"/>
    <w:rsid w:val="003B327C"/>
    <w:rsid w:val="003B3A06"/>
    <w:rsid w:val="003C2146"/>
    <w:rsid w:val="003C2F93"/>
    <w:rsid w:val="003C5419"/>
    <w:rsid w:val="003C6C85"/>
    <w:rsid w:val="003D0551"/>
    <w:rsid w:val="003D1468"/>
    <w:rsid w:val="003D3288"/>
    <w:rsid w:val="003D34A9"/>
    <w:rsid w:val="003D5C84"/>
    <w:rsid w:val="003E0064"/>
    <w:rsid w:val="003E06FE"/>
    <w:rsid w:val="003E47F7"/>
    <w:rsid w:val="003E60B9"/>
    <w:rsid w:val="003E63F6"/>
    <w:rsid w:val="003E7AF5"/>
    <w:rsid w:val="003F18A7"/>
    <w:rsid w:val="00400478"/>
    <w:rsid w:val="00400C6E"/>
    <w:rsid w:val="00401572"/>
    <w:rsid w:val="004062FD"/>
    <w:rsid w:val="00412B81"/>
    <w:rsid w:val="00415616"/>
    <w:rsid w:val="00415A98"/>
    <w:rsid w:val="00416290"/>
    <w:rsid w:val="00421337"/>
    <w:rsid w:val="00426398"/>
    <w:rsid w:val="0043025D"/>
    <w:rsid w:val="00431755"/>
    <w:rsid w:val="00433478"/>
    <w:rsid w:val="00434BF4"/>
    <w:rsid w:val="00435261"/>
    <w:rsid w:val="00441817"/>
    <w:rsid w:val="00442A32"/>
    <w:rsid w:val="0044314C"/>
    <w:rsid w:val="0044369B"/>
    <w:rsid w:val="00445722"/>
    <w:rsid w:val="004474CD"/>
    <w:rsid w:val="004475D5"/>
    <w:rsid w:val="00452D0B"/>
    <w:rsid w:val="00454360"/>
    <w:rsid w:val="00454596"/>
    <w:rsid w:val="00454F2C"/>
    <w:rsid w:val="004551C6"/>
    <w:rsid w:val="004617A8"/>
    <w:rsid w:val="004638BA"/>
    <w:rsid w:val="00464510"/>
    <w:rsid w:val="00464BC1"/>
    <w:rsid w:val="0046793A"/>
    <w:rsid w:val="0047021F"/>
    <w:rsid w:val="004716AA"/>
    <w:rsid w:val="004720FF"/>
    <w:rsid w:val="00472695"/>
    <w:rsid w:val="004739AF"/>
    <w:rsid w:val="00476843"/>
    <w:rsid w:val="00476BA1"/>
    <w:rsid w:val="004770AB"/>
    <w:rsid w:val="00477414"/>
    <w:rsid w:val="004774E5"/>
    <w:rsid w:val="004819B5"/>
    <w:rsid w:val="00484EBE"/>
    <w:rsid w:val="00486761"/>
    <w:rsid w:val="004930AE"/>
    <w:rsid w:val="004A0B03"/>
    <w:rsid w:val="004A1B0B"/>
    <w:rsid w:val="004A1B0D"/>
    <w:rsid w:val="004A2EE3"/>
    <w:rsid w:val="004A4ACB"/>
    <w:rsid w:val="004A6723"/>
    <w:rsid w:val="004A7F24"/>
    <w:rsid w:val="004B0364"/>
    <w:rsid w:val="004B2F24"/>
    <w:rsid w:val="004B4D7E"/>
    <w:rsid w:val="004B75A0"/>
    <w:rsid w:val="004B763B"/>
    <w:rsid w:val="004C1B24"/>
    <w:rsid w:val="004C3EA4"/>
    <w:rsid w:val="004C6457"/>
    <w:rsid w:val="004C65E9"/>
    <w:rsid w:val="004C6D8B"/>
    <w:rsid w:val="004C6F20"/>
    <w:rsid w:val="004C762A"/>
    <w:rsid w:val="004C76D2"/>
    <w:rsid w:val="004D4C6F"/>
    <w:rsid w:val="004D5CAF"/>
    <w:rsid w:val="004D5E55"/>
    <w:rsid w:val="004D63BF"/>
    <w:rsid w:val="004D6476"/>
    <w:rsid w:val="004D649F"/>
    <w:rsid w:val="004E182F"/>
    <w:rsid w:val="004E3675"/>
    <w:rsid w:val="004E3A08"/>
    <w:rsid w:val="004F34E1"/>
    <w:rsid w:val="004F3EFF"/>
    <w:rsid w:val="004F775F"/>
    <w:rsid w:val="00500640"/>
    <w:rsid w:val="00501032"/>
    <w:rsid w:val="00501119"/>
    <w:rsid w:val="005067F8"/>
    <w:rsid w:val="00510E6B"/>
    <w:rsid w:val="00511248"/>
    <w:rsid w:val="00511FF6"/>
    <w:rsid w:val="0051356E"/>
    <w:rsid w:val="0051428A"/>
    <w:rsid w:val="0051608E"/>
    <w:rsid w:val="00516287"/>
    <w:rsid w:val="00516948"/>
    <w:rsid w:val="00517754"/>
    <w:rsid w:val="005201E2"/>
    <w:rsid w:val="005206B8"/>
    <w:rsid w:val="00520B6C"/>
    <w:rsid w:val="00522ACC"/>
    <w:rsid w:val="00526115"/>
    <w:rsid w:val="0052647E"/>
    <w:rsid w:val="00527219"/>
    <w:rsid w:val="0052732C"/>
    <w:rsid w:val="00527526"/>
    <w:rsid w:val="00527673"/>
    <w:rsid w:val="00533667"/>
    <w:rsid w:val="0053408A"/>
    <w:rsid w:val="0053451A"/>
    <w:rsid w:val="0053718E"/>
    <w:rsid w:val="005421BA"/>
    <w:rsid w:val="0054304E"/>
    <w:rsid w:val="00543484"/>
    <w:rsid w:val="00545AFF"/>
    <w:rsid w:val="00545D48"/>
    <w:rsid w:val="00547DBE"/>
    <w:rsid w:val="00552CB7"/>
    <w:rsid w:val="005554B5"/>
    <w:rsid w:val="00566B4A"/>
    <w:rsid w:val="0057150E"/>
    <w:rsid w:val="00571622"/>
    <w:rsid w:val="00573A49"/>
    <w:rsid w:val="0057485A"/>
    <w:rsid w:val="005754C9"/>
    <w:rsid w:val="0057686B"/>
    <w:rsid w:val="005805C1"/>
    <w:rsid w:val="00582B34"/>
    <w:rsid w:val="005862B3"/>
    <w:rsid w:val="00590963"/>
    <w:rsid w:val="0059162F"/>
    <w:rsid w:val="00591F30"/>
    <w:rsid w:val="00592B35"/>
    <w:rsid w:val="005933D8"/>
    <w:rsid w:val="005948C1"/>
    <w:rsid w:val="00595438"/>
    <w:rsid w:val="00596F49"/>
    <w:rsid w:val="00597788"/>
    <w:rsid w:val="005A06B8"/>
    <w:rsid w:val="005A15CB"/>
    <w:rsid w:val="005A1905"/>
    <w:rsid w:val="005A1DC6"/>
    <w:rsid w:val="005A27CC"/>
    <w:rsid w:val="005A5650"/>
    <w:rsid w:val="005B31A3"/>
    <w:rsid w:val="005B4C00"/>
    <w:rsid w:val="005B61D8"/>
    <w:rsid w:val="005C13BC"/>
    <w:rsid w:val="005C5517"/>
    <w:rsid w:val="005C6500"/>
    <w:rsid w:val="005C74C9"/>
    <w:rsid w:val="005D331F"/>
    <w:rsid w:val="005D3C6C"/>
    <w:rsid w:val="005D3CEC"/>
    <w:rsid w:val="005E014C"/>
    <w:rsid w:val="005E16C0"/>
    <w:rsid w:val="005E3A1F"/>
    <w:rsid w:val="005E4888"/>
    <w:rsid w:val="005E4D27"/>
    <w:rsid w:val="005F1792"/>
    <w:rsid w:val="005F2AB1"/>
    <w:rsid w:val="005F5D83"/>
    <w:rsid w:val="005F6D2E"/>
    <w:rsid w:val="005F6D40"/>
    <w:rsid w:val="005F7945"/>
    <w:rsid w:val="00600F9A"/>
    <w:rsid w:val="006015CD"/>
    <w:rsid w:val="00601767"/>
    <w:rsid w:val="00606E60"/>
    <w:rsid w:val="0060704D"/>
    <w:rsid w:val="00607634"/>
    <w:rsid w:val="00611D20"/>
    <w:rsid w:val="00612A54"/>
    <w:rsid w:val="00612FDC"/>
    <w:rsid w:val="00613A4F"/>
    <w:rsid w:val="0061492B"/>
    <w:rsid w:val="00614CE2"/>
    <w:rsid w:val="00621F49"/>
    <w:rsid w:val="00623A08"/>
    <w:rsid w:val="00625CE4"/>
    <w:rsid w:val="00627187"/>
    <w:rsid w:val="0062734E"/>
    <w:rsid w:val="0063118B"/>
    <w:rsid w:val="00632D1F"/>
    <w:rsid w:val="00633BA4"/>
    <w:rsid w:val="00634AFD"/>
    <w:rsid w:val="006351C4"/>
    <w:rsid w:val="00635F45"/>
    <w:rsid w:val="0064048F"/>
    <w:rsid w:val="006412D0"/>
    <w:rsid w:val="0064263F"/>
    <w:rsid w:val="0064278A"/>
    <w:rsid w:val="00642AB2"/>
    <w:rsid w:val="00651B07"/>
    <w:rsid w:val="006538B1"/>
    <w:rsid w:val="006556A6"/>
    <w:rsid w:val="006569AD"/>
    <w:rsid w:val="00656CF9"/>
    <w:rsid w:val="006600CE"/>
    <w:rsid w:val="00660A83"/>
    <w:rsid w:val="00663A25"/>
    <w:rsid w:val="00666966"/>
    <w:rsid w:val="00671578"/>
    <w:rsid w:val="00672D8A"/>
    <w:rsid w:val="0067459B"/>
    <w:rsid w:val="00674B69"/>
    <w:rsid w:val="0067628B"/>
    <w:rsid w:val="006805FC"/>
    <w:rsid w:val="006817F5"/>
    <w:rsid w:val="00681EA7"/>
    <w:rsid w:val="00682E43"/>
    <w:rsid w:val="0069093C"/>
    <w:rsid w:val="00691BCB"/>
    <w:rsid w:val="00697162"/>
    <w:rsid w:val="006979A5"/>
    <w:rsid w:val="00697D83"/>
    <w:rsid w:val="00697E45"/>
    <w:rsid w:val="006A0892"/>
    <w:rsid w:val="006A08D9"/>
    <w:rsid w:val="006A0D0E"/>
    <w:rsid w:val="006A1762"/>
    <w:rsid w:val="006A360C"/>
    <w:rsid w:val="006A36EC"/>
    <w:rsid w:val="006A3A58"/>
    <w:rsid w:val="006A5815"/>
    <w:rsid w:val="006A7025"/>
    <w:rsid w:val="006A7A30"/>
    <w:rsid w:val="006B0AEA"/>
    <w:rsid w:val="006B1AFA"/>
    <w:rsid w:val="006B1FEC"/>
    <w:rsid w:val="006B267E"/>
    <w:rsid w:val="006C29FF"/>
    <w:rsid w:val="006C2C9D"/>
    <w:rsid w:val="006C3BC5"/>
    <w:rsid w:val="006C4213"/>
    <w:rsid w:val="006C45D4"/>
    <w:rsid w:val="006C6AA3"/>
    <w:rsid w:val="006C711D"/>
    <w:rsid w:val="006D5306"/>
    <w:rsid w:val="006E3D11"/>
    <w:rsid w:val="006E4B7C"/>
    <w:rsid w:val="006E525C"/>
    <w:rsid w:val="006F218A"/>
    <w:rsid w:val="006F222A"/>
    <w:rsid w:val="006F2D5B"/>
    <w:rsid w:val="006F4C94"/>
    <w:rsid w:val="006F62B7"/>
    <w:rsid w:val="006F7A83"/>
    <w:rsid w:val="006F7C14"/>
    <w:rsid w:val="00702886"/>
    <w:rsid w:val="00703821"/>
    <w:rsid w:val="00704E72"/>
    <w:rsid w:val="00707F88"/>
    <w:rsid w:val="007156C9"/>
    <w:rsid w:val="0071698F"/>
    <w:rsid w:val="00716ACF"/>
    <w:rsid w:val="00716AF3"/>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471B2"/>
    <w:rsid w:val="00752950"/>
    <w:rsid w:val="00754415"/>
    <w:rsid w:val="00756BD9"/>
    <w:rsid w:val="00757C26"/>
    <w:rsid w:val="007614FE"/>
    <w:rsid w:val="007617D4"/>
    <w:rsid w:val="00761EFA"/>
    <w:rsid w:val="0076200E"/>
    <w:rsid w:val="00762527"/>
    <w:rsid w:val="00765130"/>
    <w:rsid w:val="007656EA"/>
    <w:rsid w:val="00765C30"/>
    <w:rsid w:val="007702D0"/>
    <w:rsid w:val="00771112"/>
    <w:rsid w:val="00774643"/>
    <w:rsid w:val="007755E7"/>
    <w:rsid w:val="00775B80"/>
    <w:rsid w:val="0077692E"/>
    <w:rsid w:val="00776BAA"/>
    <w:rsid w:val="0077756C"/>
    <w:rsid w:val="00783C36"/>
    <w:rsid w:val="00785E4A"/>
    <w:rsid w:val="007862CA"/>
    <w:rsid w:val="007920AE"/>
    <w:rsid w:val="00794E80"/>
    <w:rsid w:val="00795B23"/>
    <w:rsid w:val="00795F6A"/>
    <w:rsid w:val="00797FCF"/>
    <w:rsid w:val="007A06EF"/>
    <w:rsid w:val="007A1E41"/>
    <w:rsid w:val="007A3169"/>
    <w:rsid w:val="007A45B2"/>
    <w:rsid w:val="007A75E3"/>
    <w:rsid w:val="007A7E47"/>
    <w:rsid w:val="007B00CB"/>
    <w:rsid w:val="007B262E"/>
    <w:rsid w:val="007C001D"/>
    <w:rsid w:val="007C0426"/>
    <w:rsid w:val="007C2600"/>
    <w:rsid w:val="007C38D4"/>
    <w:rsid w:val="007C5631"/>
    <w:rsid w:val="007D06AC"/>
    <w:rsid w:val="007D27F0"/>
    <w:rsid w:val="007D2A0E"/>
    <w:rsid w:val="007D6C07"/>
    <w:rsid w:val="007E0067"/>
    <w:rsid w:val="007E1108"/>
    <w:rsid w:val="007E21B1"/>
    <w:rsid w:val="007E2EDF"/>
    <w:rsid w:val="007E313B"/>
    <w:rsid w:val="007E31C1"/>
    <w:rsid w:val="007F0320"/>
    <w:rsid w:val="007F0C30"/>
    <w:rsid w:val="007F313A"/>
    <w:rsid w:val="007F50C6"/>
    <w:rsid w:val="007F570E"/>
    <w:rsid w:val="0080056A"/>
    <w:rsid w:val="00800F0D"/>
    <w:rsid w:val="00801C5E"/>
    <w:rsid w:val="008021A0"/>
    <w:rsid w:val="00802278"/>
    <w:rsid w:val="00802C75"/>
    <w:rsid w:val="00804AF8"/>
    <w:rsid w:val="00805EE2"/>
    <w:rsid w:val="00807225"/>
    <w:rsid w:val="00810B85"/>
    <w:rsid w:val="00812713"/>
    <w:rsid w:val="00812C36"/>
    <w:rsid w:val="00814DB6"/>
    <w:rsid w:val="00816621"/>
    <w:rsid w:val="0082296A"/>
    <w:rsid w:val="00824A28"/>
    <w:rsid w:val="0082657E"/>
    <w:rsid w:val="008303A3"/>
    <w:rsid w:val="008311E0"/>
    <w:rsid w:val="00834B60"/>
    <w:rsid w:val="00835421"/>
    <w:rsid w:val="00836CB9"/>
    <w:rsid w:val="00837155"/>
    <w:rsid w:val="0083770F"/>
    <w:rsid w:val="00840B53"/>
    <w:rsid w:val="008418A7"/>
    <w:rsid w:val="00846AAA"/>
    <w:rsid w:val="00851042"/>
    <w:rsid w:val="00851B45"/>
    <w:rsid w:val="0085210D"/>
    <w:rsid w:val="00852164"/>
    <w:rsid w:val="00854295"/>
    <w:rsid w:val="00856A24"/>
    <w:rsid w:val="00857089"/>
    <w:rsid w:val="00863CE5"/>
    <w:rsid w:val="00865EC5"/>
    <w:rsid w:val="0087667B"/>
    <w:rsid w:val="00877C6B"/>
    <w:rsid w:val="00880097"/>
    <w:rsid w:val="0088246B"/>
    <w:rsid w:val="008835FE"/>
    <w:rsid w:val="00884325"/>
    <w:rsid w:val="0088497C"/>
    <w:rsid w:val="00884A76"/>
    <w:rsid w:val="00884DB7"/>
    <w:rsid w:val="00887901"/>
    <w:rsid w:val="00887FC5"/>
    <w:rsid w:val="00890D0F"/>
    <w:rsid w:val="008915D0"/>
    <w:rsid w:val="00891B0A"/>
    <w:rsid w:val="008A0C58"/>
    <w:rsid w:val="008A1452"/>
    <w:rsid w:val="008A14B2"/>
    <w:rsid w:val="008A4A19"/>
    <w:rsid w:val="008B4CA1"/>
    <w:rsid w:val="008B5ED4"/>
    <w:rsid w:val="008C128B"/>
    <w:rsid w:val="008C38D2"/>
    <w:rsid w:val="008C5066"/>
    <w:rsid w:val="008C55EB"/>
    <w:rsid w:val="008C5664"/>
    <w:rsid w:val="008D1FE0"/>
    <w:rsid w:val="008D7A1C"/>
    <w:rsid w:val="008E023B"/>
    <w:rsid w:val="008E12BD"/>
    <w:rsid w:val="008E12C2"/>
    <w:rsid w:val="008E1EEC"/>
    <w:rsid w:val="008E62D1"/>
    <w:rsid w:val="008F0F18"/>
    <w:rsid w:val="008F10E8"/>
    <w:rsid w:val="008F1513"/>
    <w:rsid w:val="008F4D0E"/>
    <w:rsid w:val="008F5011"/>
    <w:rsid w:val="008F5029"/>
    <w:rsid w:val="008F5F9C"/>
    <w:rsid w:val="009027E5"/>
    <w:rsid w:val="0090440E"/>
    <w:rsid w:val="00910052"/>
    <w:rsid w:val="00910A3C"/>
    <w:rsid w:val="009115A8"/>
    <w:rsid w:val="009140B1"/>
    <w:rsid w:val="009155CE"/>
    <w:rsid w:val="009161C4"/>
    <w:rsid w:val="00921659"/>
    <w:rsid w:val="0092199E"/>
    <w:rsid w:val="00922B98"/>
    <w:rsid w:val="009309C2"/>
    <w:rsid w:val="00934106"/>
    <w:rsid w:val="0093544C"/>
    <w:rsid w:val="00935A39"/>
    <w:rsid w:val="009420BB"/>
    <w:rsid w:val="009459C8"/>
    <w:rsid w:val="00945F75"/>
    <w:rsid w:val="00950BB2"/>
    <w:rsid w:val="00950CE9"/>
    <w:rsid w:val="00951E17"/>
    <w:rsid w:val="00952600"/>
    <w:rsid w:val="00953F1B"/>
    <w:rsid w:val="00954363"/>
    <w:rsid w:val="009552D2"/>
    <w:rsid w:val="00957180"/>
    <w:rsid w:val="00960014"/>
    <w:rsid w:val="00961402"/>
    <w:rsid w:val="009635BC"/>
    <w:rsid w:val="0096557C"/>
    <w:rsid w:val="00966E3B"/>
    <w:rsid w:val="009725B3"/>
    <w:rsid w:val="00972E16"/>
    <w:rsid w:val="00973351"/>
    <w:rsid w:val="00974831"/>
    <w:rsid w:val="00974AE5"/>
    <w:rsid w:val="00975EB4"/>
    <w:rsid w:val="00975EFA"/>
    <w:rsid w:val="00976C7B"/>
    <w:rsid w:val="00977C88"/>
    <w:rsid w:val="0098108E"/>
    <w:rsid w:val="00984584"/>
    <w:rsid w:val="0098463F"/>
    <w:rsid w:val="00984FA3"/>
    <w:rsid w:val="009850FE"/>
    <w:rsid w:val="00985CBC"/>
    <w:rsid w:val="00990315"/>
    <w:rsid w:val="009934F0"/>
    <w:rsid w:val="00993CD8"/>
    <w:rsid w:val="00993E6F"/>
    <w:rsid w:val="00995384"/>
    <w:rsid w:val="009968D0"/>
    <w:rsid w:val="009974DA"/>
    <w:rsid w:val="009A104D"/>
    <w:rsid w:val="009A1E1C"/>
    <w:rsid w:val="009A2261"/>
    <w:rsid w:val="009A4534"/>
    <w:rsid w:val="009A4935"/>
    <w:rsid w:val="009A4BAA"/>
    <w:rsid w:val="009A6358"/>
    <w:rsid w:val="009A74FE"/>
    <w:rsid w:val="009B1789"/>
    <w:rsid w:val="009B1B27"/>
    <w:rsid w:val="009B4E30"/>
    <w:rsid w:val="009B6CD2"/>
    <w:rsid w:val="009B7706"/>
    <w:rsid w:val="009C0E62"/>
    <w:rsid w:val="009C2110"/>
    <w:rsid w:val="009C3261"/>
    <w:rsid w:val="009C37D0"/>
    <w:rsid w:val="009C3879"/>
    <w:rsid w:val="009C4237"/>
    <w:rsid w:val="009D3C8F"/>
    <w:rsid w:val="009D4B8B"/>
    <w:rsid w:val="009D577A"/>
    <w:rsid w:val="009D5FA8"/>
    <w:rsid w:val="009E56EF"/>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2E53"/>
    <w:rsid w:val="00A23B49"/>
    <w:rsid w:val="00A3129A"/>
    <w:rsid w:val="00A316B7"/>
    <w:rsid w:val="00A32989"/>
    <w:rsid w:val="00A32D88"/>
    <w:rsid w:val="00A34C30"/>
    <w:rsid w:val="00A34DE5"/>
    <w:rsid w:val="00A355E8"/>
    <w:rsid w:val="00A37245"/>
    <w:rsid w:val="00A401AD"/>
    <w:rsid w:val="00A4206E"/>
    <w:rsid w:val="00A42F7A"/>
    <w:rsid w:val="00A43E6A"/>
    <w:rsid w:val="00A450CC"/>
    <w:rsid w:val="00A460C9"/>
    <w:rsid w:val="00A528AE"/>
    <w:rsid w:val="00A53003"/>
    <w:rsid w:val="00A54F1D"/>
    <w:rsid w:val="00A5542F"/>
    <w:rsid w:val="00A574E8"/>
    <w:rsid w:val="00A60192"/>
    <w:rsid w:val="00A6045C"/>
    <w:rsid w:val="00A60F13"/>
    <w:rsid w:val="00A640AD"/>
    <w:rsid w:val="00A64151"/>
    <w:rsid w:val="00A64B60"/>
    <w:rsid w:val="00A67A3C"/>
    <w:rsid w:val="00A7092C"/>
    <w:rsid w:val="00A72992"/>
    <w:rsid w:val="00A76713"/>
    <w:rsid w:val="00A76B00"/>
    <w:rsid w:val="00A77077"/>
    <w:rsid w:val="00A777CB"/>
    <w:rsid w:val="00A77E83"/>
    <w:rsid w:val="00A80AE0"/>
    <w:rsid w:val="00A820EC"/>
    <w:rsid w:val="00A82896"/>
    <w:rsid w:val="00A8485F"/>
    <w:rsid w:val="00A85111"/>
    <w:rsid w:val="00A861A5"/>
    <w:rsid w:val="00A871FD"/>
    <w:rsid w:val="00A904A7"/>
    <w:rsid w:val="00A9380A"/>
    <w:rsid w:val="00A966CC"/>
    <w:rsid w:val="00AA297F"/>
    <w:rsid w:val="00AA2A77"/>
    <w:rsid w:val="00AB0E03"/>
    <w:rsid w:val="00AB11EB"/>
    <w:rsid w:val="00AB3F2A"/>
    <w:rsid w:val="00AB70D8"/>
    <w:rsid w:val="00AB73FD"/>
    <w:rsid w:val="00AB789E"/>
    <w:rsid w:val="00AC27E9"/>
    <w:rsid w:val="00AC38E7"/>
    <w:rsid w:val="00AC66CF"/>
    <w:rsid w:val="00AD0194"/>
    <w:rsid w:val="00AD06D0"/>
    <w:rsid w:val="00AD0EA0"/>
    <w:rsid w:val="00AE2B20"/>
    <w:rsid w:val="00AE37F0"/>
    <w:rsid w:val="00AE391B"/>
    <w:rsid w:val="00AE66A3"/>
    <w:rsid w:val="00AF050C"/>
    <w:rsid w:val="00AF22DB"/>
    <w:rsid w:val="00AF33E8"/>
    <w:rsid w:val="00AF39C2"/>
    <w:rsid w:val="00AF3FDE"/>
    <w:rsid w:val="00AF73F0"/>
    <w:rsid w:val="00B0032A"/>
    <w:rsid w:val="00B01545"/>
    <w:rsid w:val="00B01AC9"/>
    <w:rsid w:val="00B06D20"/>
    <w:rsid w:val="00B07DE9"/>
    <w:rsid w:val="00B11B86"/>
    <w:rsid w:val="00B129C4"/>
    <w:rsid w:val="00B163DE"/>
    <w:rsid w:val="00B1710F"/>
    <w:rsid w:val="00B173BD"/>
    <w:rsid w:val="00B20493"/>
    <w:rsid w:val="00B24408"/>
    <w:rsid w:val="00B31D30"/>
    <w:rsid w:val="00B36CE0"/>
    <w:rsid w:val="00B3770C"/>
    <w:rsid w:val="00B37BC3"/>
    <w:rsid w:val="00B439E4"/>
    <w:rsid w:val="00B502E2"/>
    <w:rsid w:val="00B5095F"/>
    <w:rsid w:val="00B529D4"/>
    <w:rsid w:val="00B52D6F"/>
    <w:rsid w:val="00B53928"/>
    <w:rsid w:val="00B55500"/>
    <w:rsid w:val="00B55829"/>
    <w:rsid w:val="00B633D5"/>
    <w:rsid w:val="00B6414B"/>
    <w:rsid w:val="00B647D9"/>
    <w:rsid w:val="00B67B8E"/>
    <w:rsid w:val="00B70833"/>
    <w:rsid w:val="00B70941"/>
    <w:rsid w:val="00B75E4A"/>
    <w:rsid w:val="00B834E5"/>
    <w:rsid w:val="00B835DF"/>
    <w:rsid w:val="00B842C7"/>
    <w:rsid w:val="00B90616"/>
    <w:rsid w:val="00B91B2F"/>
    <w:rsid w:val="00B94C27"/>
    <w:rsid w:val="00B9588E"/>
    <w:rsid w:val="00B969CF"/>
    <w:rsid w:val="00B97E3B"/>
    <w:rsid w:val="00BA3002"/>
    <w:rsid w:val="00BA36E3"/>
    <w:rsid w:val="00BA46BC"/>
    <w:rsid w:val="00BA53AC"/>
    <w:rsid w:val="00BA6099"/>
    <w:rsid w:val="00BA6696"/>
    <w:rsid w:val="00BB0AEF"/>
    <w:rsid w:val="00BB1206"/>
    <w:rsid w:val="00BB62E7"/>
    <w:rsid w:val="00BB6F95"/>
    <w:rsid w:val="00BB7DC2"/>
    <w:rsid w:val="00BC1715"/>
    <w:rsid w:val="00BC4556"/>
    <w:rsid w:val="00BD097E"/>
    <w:rsid w:val="00BD0EEA"/>
    <w:rsid w:val="00BD401B"/>
    <w:rsid w:val="00BD4CDA"/>
    <w:rsid w:val="00BE3C4B"/>
    <w:rsid w:val="00BE7EB4"/>
    <w:rsid w:val="00BF217C"/>
    <w:rsid w:val="00BF4361"/>
    <w:rsid w:val="00BF476C"/>
    <w:rsid w:val="00C02309"/>
    <w:rsid w:val="00C070D9"/>
    <w:rsid w:val="00C07493"/>
    <w:rsid w:val="00C111CC"/>
    <w:rsid w:val="00C1319B"/>
    <w:rsid w:val="00C13766"/>
    <w:rsid w:val="00C148FD"/>
    <w:rsid w:val="00C1636B"/>
    <w:rsid w:val="00C17004"/>
    <w:rsid w:val="00C228D3"/>
    <w:rsid w:val="00C22FD6"/>
    <w:rsid w:val="00C241BC"/>
    <w:rsid w:val="00C27EF8"/>
    <w:rsid w:val="00C30519"/>
    <w:rsid w:val="00C30677"/>
    <w:rsid w:val="00C35AD4"/>
    <w:rsid w:val="00C36B54"/>
    <w:rsid w:val="00C40703"/>
    <w:rsid w:val="00C416D6"/>
    <w:rsid w:val="00C421F3"/>
    <w:rsid w:val="00C4491A"/>
    <w:rsid w:val="00C449D3"/>
    <w:rsid w:val="00C4549C"/>
    <w:rsid w:val="00C45B6E"/>
    <w:rsid w:val="00C46027"/>
    <w:rsid w:val="00C47156"/>
    <w:rsid w:val="00C5108B"/>
    <w:rsid w:val="00C5139B"/>
    <w:rsid w:val="00C526A5"/>
    <w:rsid w:val="00C5309E"/>
    <w:rsid w:val="00C53DB5"/>
    <w:rsid w:val="00C53FED"/>
    <w:rsid w:val="00C63A60"/>
    <w:rsid w:val="00C63F81"/>
    <w:rsid w:val="00C64A9A"/>
    <w:rsid w:val="00C668FC"/>
    <w:rsid w:val="00C6696E"/>
    <w:rsid w:val="00C67005"/>
    <w:rsid w:val="00C6755E"/>
    <w:rsid w:val="00C70F69"/>
    <w:rsid w:val="00C72230"/>
    <w:rsid w:val="00C74611"/>
    <w:rsid w:val="00C74849"/>
    <w:rsid w:val="00C7707C"/>
    <w:rsid w:val="00C77597"/>
    <w:rsid w:val="00C77CFC"/>
    <w:rsid w:val="00C8568A"/>
    <w:rsid w:val="00C85F3B"/>
    <w:rsid w:val="00C90C03"/>
    <w:rsid w:val="00C93F38"/>
    <w:rsid w:val="00C942CE"/>
    <w:rsid w:val="00C94A54"/>
    <w:rsid w:val="00C94DEA"/>
    <w:rsid w:val="00C96302"/>
    <w:rsid w:val="00CA0F99"/>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2C26"/>
    <w:rsid w:val="00CD353A"/>
    <w:rsid w:val="00CD4676"/>
    <w:rsid w:val="00CD575C"/>
    <w:rsid w:val="00CD5E18"/>
    <w:rsid w:val="00CE197B"/>
    <w:rsid w:val="00CE45BD"/>
    <w:rsid w:val="00CE5258"/>
    <w:rsid w:val="00CE7181"/>
    <w:rsid w:val="00CF1635"/>
    <w:rsid w:val="00CF2E9B"/>
    <w:rsid w:val="00CF48DC"/>
    <w:rsid w:val="00CF6D23"/>
    <w:rsid w:val="00D03BD5"/>
    <w:rsid w:val="00D046D2"/>
    <w:rsid w:val="00D04BC6"/>
    <w:rsid w:val="00D07BF1"/>
    <w:rsid w:val="00D118F0"/>
    <w:rsid w:val="00D128A9"/>
    <w:rsid w:val="00D12A88"/>
    <w:rsid w:val="00D146C3"/>
    <w:rsid w:val="00D17CC9"/>
    <w:rsid w:val="00D234F4"/>
    <w:rsid w:val="00D24196"/>
    <w:rsid w:val="00D252E1"/>
    <w:rsid w:val="00D326E9"/>
    <w:rsid w:val="00D33C90"/>
    <w:rsid w:val="00D368D0"/>
    <w:rsid w:val="00D36A74"/>
    <w:rsid w:val="00D36E51"/>
    <w:rsid w:val="00D426FD"/>
    <w:rsid w:val="00D43C86"/>
    <w:rsid w:val="00D44665"/>
    <w:rsid w:val="00D46A98"/>
    <w:rsid w:val="00D46F3C"/>
    <w:rsid w:val="00D505F4"/>
    <w:rsid w:val="00D55087"/>
    <w:rsid w:val="00D557AD"/>
    <w:rsid w:val="00D6008C"/>
    <w:rsid w:val="00D60103"/>
    <w:rsid w:val="00D64860"/>
    <w:rsid w:val="00D64945"/>
    <w:rsid w:val="00D64946"/>
    <w:rsid w:val="00D67162"/>
    <w:rsid w:val="00D676D7"/>
    <w:rsid w:val="00D71A99"/>
    <w:rsid w:val="00D7224A"/>
    <w:rsid w:val="00D7255C"/>
    <w:rsid w:val="00D74050"/>
    <w:rsid w:val="00D7541A"/>
    <w:rsid w:val="00D7571B"/>
    <w:rsid w:val="00D77FE4"/>
    <w:rsid w:val="00D800F9"/>
    <w:rsid w:val="00D80A32"/>
    <w:rsid w:val="00D81ED8"/>
    <w:rsid w:val="00D8303F"/>
    <w:rsid w:val="00D84046"/>
    <w:rsid w:val="00D8582D"/>
    <w:rsid w:val="00D86A69"/>
    <w:rsid w:val="00D9275F"/>
    <w:rsid w:val="00D94CB6"/>
    <w:rsid w:val="00D95025"/>
    <w:rsid w:val="00DA0105"/>
    <w:rsid w:val="00DA2C44"/>
    <w:rsid w:val="00DA378B"/>
    <w:rsid w:val="00DA4C17"/>
    <w:rsid w:val="00DA5414"/>
    <w:rsid w:val="00DB09AE"/>
    <w:rsid w:val="00DB0F80"/>
    <w:rsid w:val="00DB6F29"/>
    <w:rsid w:val="00DC1AD1"/>
    <w:rsid w:val="00DC2FC1"/>
    <w:rsid w:val="00DC30A8"/>
    <w:rsid w:val="00DC383D"/>
    <w:rsid w:val="00DC5C49"/>
    <w:rsid w:val="00DC6B43"/>
    <w:rsid w:val="00DC75F3"/>
    <w:rsid w:val="00DD0B33"/>
    <w:rsid w:val="00DD399B"/>
    <w:rsid w:val="00DD44D0"/>
    <w:rsid w:val="00DD6128"/>
    <w:rsid w:val="00DD7DF1"/>
    <w:rsid w:val="00DE0D34"/>
    <w:rsid w:val="00DE3213"/>
    <w:rsid w:val="00DE6414"/>
    <w:rsid w:val="00DE70E6"/>
    <w:rsid w:val="00DE7FAC"/>
    <w:rsid w:val="00DF1E0A"/>
    <w:rsid w:val="00DF2BB2"/>
    <w:rsid w:val="00DF39C0"/>
    <w:rsid w:val="00E0212B"/>
    <w:rsid w:val="00E0326B"/>
    <w:rsid w:val="00E054FE"/>
    <w:rsid w:val="00E06DF3"/>
    <w:rsid w:val="00E07464"/>
    <w:rsid w:val="00E116E1"/>
    <w:rsid w:val="00E130B7"/>
    <w:rsid w:val="00E13A98"/>
    <w:rsid w:val="00E16BE4"/>
    <w:rsid w:val="00E229E6"/>
    <w:rsid w:val="00E2348D"/>
    <w:rsid w:val="00E23B6F"/>
    <w:rsid w:val="00E26B6A"/>
    <w:rsid w:val="00E30DD0"/>
    <w:rsid w:val="00E33524"/>
    <w:rsid w:val="00E33CF8"/>
    <w:rsid w:val="00E36206"/>
    <w:rsid w:val="00E4074E"/>
    <w:rsid w:val="00E409B8"/>
    <w:rsid w:val="00E43EC2"/>
    <w:rsid w:val="00E46185"/>
    <w:rsid w:val="00E46B0E"/>
    <w:rsid w:val="00E47A09"/>
    <w:rsid w:val="00E50039"/>
    <w:rsid w:val="00E50DF7"/>
    <w:rsid w:val="00E52845"/>
    <w:rsid w:val="00E5757C"/>
    <w:rsid w:val="00E605A2"/>
    <w:rsid w:val="00E62AB2"/>
    <w:rsid w:val="00E62FC7"/>
    <w:rsid w:val="00E63A50"/>
    <w:rsid w:val="00E64304"/>
    <w:rsid w:val="00E65B4B"/>
    <w:rsid w:val="00E663A8"/>
    <w:rsid w:val="00E72E92"/>
    <w:rsid w:val="00E75DAB"/>
    <w:rsid w:val="00E80695"/>
    <w:rsid w:val="00E808C8"/>
    <w:rsid w:val="00E85220"/>
    <w:rsid w:val="00E86C6E"/>
    <w:rsid w:val="00E87984"/>
    <w:rsid w:val="00E91A93"/>
    <w:rsid w:val="00E94FED"/>
    <w:rsid w:val="00E95B4C"/>
    <w:rsid w:val="00E96218"/>
    <w:rsid w:val="00E96929"/>
    <w:rsid w:val="00E96C85"/>
    <w:rsid w:val="00E96D1D"/>
    <w:rsid w:val="00E9799D"/>
    <w:rsid w:val="00EA1393"/>
    <w:rsid w:val="00EA1874"/>
    <w:rsid w:val="00EA21CF"/>
    <w:rsid w:val="00EA2DF6"/>
    <w:rsid w:val="00EA4931"/>
    <w:rsid w:val="00EA5546"/>
    <w:rsid w:val="00EA5DFF"/>
    <w:rsid w:val="00EA6F8A"/>
    <w:rsid w:val="00EB24B0"/>
    <w:rsid w:val="00EB24D3"/>
    <w:rsid w:val="00EB2A6C"/>
    <w:rsid w:val="00EB4696"/>
    <w:rsid w:val="00EB5263"/>
    <w:rsid w:val="00EC2808"/>
    <w:rsid w:val="00EC42B9"/>
    <w:rsid w:val="00EC4E20"/>
    <w:rsid w:val="00EC600E"/>
    <w:rsid w:val="00EC6FBD"/>
    <w:rsid w:val="00EC7E6A"/>
    <w:rsid w:val="00ED1443"/>
    <w:rsid w:val="00ED1A89"/>
    <w:rsid w:val="00ED2D93"/>
    <w:rsid w:val="00ED2F8F"/>
    <w:rsid w:val="00ED36FD"/>
    <w:rsid w:val="00ED5AD9"/>
    <w:rsid w:val="00EE03AB"/>
    <w:rsid w:val="00EE21B3"/>
    <w:rsid w:val="00EE221B"/>
    <w:rsid w:val="00EE2A8A"/>
    <w:rsid w:val="00EE45B8"/>
    <w:rsid w:val="00EE6D7D"/>
    <w:rsid w:val="00EF3140"/>
    <w:rsid w:val="00EF55AD"/>
    <w:rsid w:val="00EF631A"/>
    <w:rsid w:val="00EF6E44"/>
    <w:rsid w:val="00EF730E"/>
    <w:rsid w:val="00F00D4C"/>
    <w:rsid w:val="00F01360"/>
    <w:rsid w:val="00F0301B"/>
    <w:rsid w:val="00F074A5"/>
    <w:rsid w:val="00F106F7"/>
    <w:rsid w:val="00F158FC"/>
    <w:rsid w:val="00F2431A"/>
    <w:rsid w:val="00F2494F"/>
    <w:rsid w:val="00F250A9"/>
    <w:rsid w:val="00F26097"/>
    <w:rsid w:val="00F26215"/>
    <w:rsid w:val="00F27BB2"/>
    <w:rsid w:val="00F31376"/>
    <w:rsid w:val="00F31F7F"/>
    <w:rsid w:val="00F32599"/>
    <w:rsid w:val="00F33A7C"/>
    <w:rsid w:val="00F36093"/>
    <w:rsid w:val="00F37AEA"/>
    <w:rsid w:val="00F40025"/>
    <w:rsid w:val="00F41963"/>
    <w:rsid w:val="00F4279C"/>
    <w:rsid w:val="00F455CF"/>
    <w:rsid w:val="00F474A4"/>
    <w:rsid w:val="00F47BD4"/>
    <w:rsid w:val="00F50216"/>
    <w:rsid w:val="00F5054D"/>
    <w:rsid w:val="00F522F2"/>
    <w:rsid w:val="00F52304"/>
    <w:rsid w:val="00F52473"/>
    <w:rsid w:val="00F52861"/>
    <w:rsid w:val="00F5316D"/>
    <w:rsid w:val="00F54070"/>
    <w:rsid w:val="00F563ED"/>
    <w:rsid w:val="00F60928"/>
    <w:rsid w:val="00F62219"/>
    <w:rsid w:val="00F63790"/>
    <w:rsid w:val="00F64D90"/>
    <w:rsid w:val="00F64FEB"/>
    <w:rsid w:val="00F73E0E"/>
    <w:rsid w:val="00F7425E"/>
    <w:rsid w:val="00F74B8D"/>
    <w:rsid w:val="00F81B46"/>
    <w:rsid w:val="00F81C40"/>
    <w:rsid w:val="00F83049"/>
    <w:rsid w:val="00F832D1"/>
    <w:rsid w:val="00F83881"/>
    <w:rsid w:val="00F83BB1"/>
    <w:rsid w:val="00F8538E"/>
    <w:rsid w:val="00F858FA"/>
    <w:rsid w:val="00F914B4"/>
    <w:rsid w:val="00F94519"/>
    <w:rsid w:val="00F94FDB"/>
    <w:rsid w:val="00F97E00"/>
    <w:rsid w:val="00FA3759"/>
    <w:rsid w:val="00FA4C48"/>
    <w:rsid w:val="00FB023C"/>
    <w:rsid w:val="00FB2BC4"/>
    <w:rsid w:val="00FB4816"/>
    <w:rsid w:val="00FB51CA"/>
    <w:rsid w:val="00FB55C7"/>
    <w:rsid w:val="00FB62F7"/>
    <w:rsid w:val="00FB6C72"/>
    <w:rsid w:val="00FC0978"/>
    <w:rsid w:val="00FC0B44"/>
    <w:rsid w:val="00FC2F46"/>
    <w:rsid w:val="00FC489B"/>
    <w:rsid w:val="00FD0F94"/>
    <w:rsid w:val="00FD136F"/>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0DB15"/>
  <w15:docId w15:val="{0EF4E735-FBF6-48F8-B36B-F528824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0A4"/>
  </w:style>
  <w:style w:type="paragraph" w:styleId="Nagwek1">
    <w:name w:val="heading 1"/>
    <w:basedOn w:val="Normalny"/>
    <w:next w:val="Normalny"/>
    <w:link w:val="Nagwek1Znak"/>
    <w:qFormat/>
    <w:rsid w:val="00A9380A"/>
    <w:pPr>
      <w:keepNext/>
      <w:jc w:val="right"/>
      <w:outlineLvl w:val="0"/>
    </w:pPr>
    <w:rPr>
      <w:sz w:val="24"/>
      <w:szCs w:val="24"/>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b/>
      <w:bCs/>
      <w:sz w:val="32"/>
      <w:szCs w:val="32"/>
      <w:u w:val="single"/>
    </w:rPr>
  </w:style>
  <w:style w:type="paragraph" w:styleId="Nagwek4">
    <w:name w:val="heading 4"/>
    <w:basedOn w:val="Normalny"/>
    <w:next w:val="Normalny"/>
    <w:link w:val="Nagwek4Znak"/>
    <w:qFormat/>
    <w:rsid w:val="00A9380A"/>
    <w:pPr>
      <w:keepNext/>
      <w:jc w:val="center"/>
      <w:outlineLvl w:val="3"/>
    </w:pPr>
    <w:rPr>
      <w:b/>
      <w:bCs/>
      <w:sz w:val="24"/>
      <w:szCs w:val="24"/>
      <w:u w:val="single"/>
    </w:rPr>
  </w:style>
  <w:style w:type="paragraph" w:styleId="Nagwek5">
    <w:name w:val="heading 5"/>
    <w:basedOn w:val="Normalny"/>
    <w:next w:val="Normalny"/>
    <w:link w:val="Nagwek5Znak"/>
    <w:qFormat/>
    <w:rsid w:val="00A9380A"/>
    <w:pPr>
      <w:keepNext/>
      <w:ind w:left="60"/>
      <w:outlineLvl w:val="4"/>
    </w:pPr>
    <w:rPr>
      <w:b/>
      <w:bCs/>
      <w:sz w:val="28"/>
      <w:szCs w:val="28"/>
      <w:u w:val="single"/>
    </w:rPr>
  </w:style>
  <w:style w:type="paragraph" w:styleId="Nagwek6">
    <w:name w:val="heading 6"/>
    <w:basedOn w:val="Normalny"/>
    <w:next w:val="Normalny"/>
    <w:link w:val="Nagwek6Znak"/>
    <w:qFormat/>
    <w:rsid w:val="00A9380A"/>
    <w:pPr>
      <w:keepNext/>
      <w:jc w:val="both"/>
      <w:outlineLvl w:val="5"/>
    </w:pPr>
    <w:rPr>
      <w:b/>
      <w:bCs/>
      <w:sz w:val="24"/>
      <w:szCs w:val="24"/>
      <w:u w:val="single"/>
    </w:rPr>
  </w:style>
  <w:style w:type="paragraph" w:styleId="Nagwek7">
    <w:name w:val="heading 7"/>
    <w:basedOn w:val="Normalny"/>
    <w:next w:val="Normalny"/>
    <w:link w:val="Nagwek7Znak"/>
    <w:qFormat/>
    <w:rsid w:val="00A9380A"/>
    <w:pPr>
      <w:keepNext/>
      <w:outlineLvl w:val="6"/>
    </w:pPr>
    <w:rPr>
      <w:b/>
      <w:bCs/>
      <w:sz w:val="28"/>
      <w:szCs w:val="28"/>
    </w:rPr>
  </w:style>
  <w:style w:type="paragraph" w:styleId="Nagwek8">
    <w:name w:val="heading 8"/>
    <w:basedOn w:val="Normalny"/>
    <w:next w:val="Normalny"/>
    <w:link w:val="Nagwek8Znak"/>
    <w:qFormat/>
    <w:rsid w:val="00A9380A"/>
    <w:pPr>
      <w:keepNext/>
      <w:jc w:val="both"/>
      <w:outlineLvl w:val="7"/>
    </w:pPr>
    <w:rPr>
      <w:b/>
      <w:bCs/>
      <w:sz w:val="24"/>
      <w:szCs w:val="24"/>
    </w:rPr>
  </w:style>
  <w:style w:type="paragraph" w:styleId="Nagwek9">
    <w:name w:val="heading 9"/>
    <w:basedOn w:val="Normalny"/>
    <w:next w:val="Normalny"/>
    <w:link w:val="Nagwek9Znak"/>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5AD0"/>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rsid w:val="00835AD0"/>
    <w:rPr>
      <w:rFonts w:ascii="Cambria" w:eastAsia="Times New Roman" w:hAnsi="Cambria" w:cs="Times New Roman"/>
      <w:b/>
      <w:bCs/>
      <w:sz w:val="26"/>
      <w:szCs w:val="26"/>
    </w:rPr>
  </w:style>
  <w:style w:type="character" w:customStyle="1" w:styleId="Nagwek4Znak">
    <w:name w:val="Nagłówek 4 Znak"/>
    <w:link w:val="Nagwek4"/>
    <w:uiPriority w:val="99"/>
    <w:semiHidden/>
    <w:rsid w:val="00835AD0"/>
    <w:rPr>
      <w:rFonts w:ascii="Calibri" w:eastAsia="Times New Roman" w:hAnsi="Calibri" w:cs="Times New Roman"/>
      <w:b/>
      <w:bCs/>
      <w:sz w:val="28"/>
      <w:szCs w:val="28"/>
    </w:rPr>
  </w:style>
  <w:style w:type="character" w:customStyle="1" w:styleId="Nagwek5Znak">
    <w:name w:val="Nagłówek 5 Znak"/>
    <w:link w:val="Nagwek5"/>
    <w:uiPriority w:val="99"/>
    <w:semiHidden/>
    <w:rsid w:val="00835AD0"/>
    <w:rPr>
      <w:rFonts w:ascii="Calibri" w:eastAsia="Times New Roman" w:hAnsi="Calibri" w:cs="Times New Roman"/>
      <w:b/>
      <w:bCs/>
      <w:i/>
      <w:iCs/>
      <w:sz w:val="26"/>
      <w:szCs w:val="26"/>
    </w:rPr>
  </w:style>
  <w:style w:type="character" w:customStyle="1" w:styleId="Nagwek6Znak">
    <w:name w:val="Nagłówek 6 Znak"/>
    <w:link w:val="Nagwek6"/>
    <w:uiPriority w:val="99"/>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rsid w:val="00A9380A"/>
    <w:pPr>
      <w:tabs>
        <w:tab w:val="center" w:pos="4536"/>
        <w:tab w:val="right" w:pos="9072"/>
      </w:tabs>
    </w:pPr>
  </w:style>
  <w:style w:type="character" w:customStyle="1" w:styleId="StopkaZnak">
    <w:name w:val="Stopka Znak"/>
    <w:basedOn w:val="Domylnaczcionkaakapitu"/>
    <w:link w:val="Stopka"/>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rsid w:val="00130AD2"/>
  </w:style>
  <w:style w:type="paragraph" w:customStyle="1" w:styleId="Akapitzlist10">
    <w:name w:val="Akapit z listą1"/>
    <w:basedOn w:val="Normalny"/>
    <w:uiPriority w:val="99"/>
    <w:rsid w:val="00130AD2"/>
    <w:pPr>
      <w:ind w:left="708"/>
    </w:pPr>
  </w:style>
  <w:style w:type="paragraph" w:customStyle="1" w:styleId="Tekstpodstawowy21">
    <w:name w:val="Tekst podstawowy 21"/>
    <w:basedOn w:val="Normalny"/>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rsid w:val="00130AD2"/>
    <w:rPr>
      <w:b/>
      <w:bCs/>
    </w:rPr>
  </w:style>
  <w:style w:type="character" w:customStyle="1" w:styleId="TematkomentarzaZnak">
    <w:name w:val="Temat komentarza Znak"/>
    <w:basedOn w:val="TekstkomentarzaZnak"/>
    <w:link w:val="Tematkomentarza"/>
    <w:rsid w:val="00130AD2"/>
    <w:rPr>
      <w:b/>
      <w:bCs/>
    </w:rPr>
  </w:style>
  <w:style w:type="paragraph" w:customStyle="1" w:styleId="Akapitzlist2">
    <w:name w:val="Akapit z listą2"/>
    <w:basedOn w:val="Normalny"/>
    <w:uiPriority w:val="99"/>
    <w:rsid w:val="001412C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19374773">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3267</Words>
  <Characters>19604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Czułowski Łukasz</cp:lastModifiedBy>
  <cp:revision>6</cp:revision>
  <cp:lastPrinted>2020-07-24T09:04:00Z</cp:lastPrinted>
  <dcterms:created xsi:type="dcterms:W3CDTF">2024-05-16T07:58:00Z</dcterms:created>
  <dcterms:modified xsi:type="dcterms:W3CDTF">2024-06-03T07:18:00Z</dcterms:modified>
</cp:coreProperties>
</file>