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FD4054" w14:textId="44E83FA5" w:rsidR="00756A7B" w:rsidRPr="00B03F23" w:rsidRDefault="00C82E5A" w:rsidP="00B03F23">
      <w:pPr>
        <w:pStyle w:val="Style6"/>
        <w:widowControl/>
        <w:spacing w:before="200" w:after="200" w:line="250" w:lineRule="exact"/>
        <w:ind w:left="331" w:firstLine="0"/>
        <w:rPr>
          <w:rFonts w:asciiTheme="minorHAnsi" w:hAnsiTheme="minorHAnsi" w:cstheme="minorHAnsi"/>
          <w:b/>
          <w:szCs w:val="22"/>
        </w:rPr>
      </w:pPr>
      <w:r w:rsidRPr="00C82E5A">
        <w:rPr>
          <w:rFonts w:asciiTheme="minorHAnsi" w:hAnsiTheme="minorHAnsi" w:cstheme="minorHAnsi"/>
          <w:b/>
          <w:szCs w:val="22"/>
        </w:rPr>
        <w:t xml:space="preserve">Modernizacja Szkoły Podstawowej w Debrznie - Przebudowa części parteru budynku </w:t>
      </w:r>
      <w:r w:rsidR="00126AC9">
        <w:rPr>
          <w:rFonts w:asciiTheme="minorHAnsi" w:hAnsiTheme="minorHAnsi" w:cstheme="minorHAnsi"/>
          <w:b/>
          <w:szCs w:val="22"/>
        </w:rPr>
        <w:t>Szkoły Podstawowej</w:t>
      </w:r>
      <w:r w:rsidRPr="00C82E5A">
        <w:rPr>
          <w:rFonts w:asciiTheme="minorHAnsi" w:hAnsiTheme="minorHAnsi" w:cstheme="minorHAnsi"/>
          <w:b/>
          <w:szCs w:val="22"/>
        </w:rPr>
        <w:t xml:space="preserve"> w Debrznie (adaptacja sal lekcyjnych) na bibliotekę przy ul. Królewskiej 8</w:t>
      </w:r>
    </w:p>
    <w:p w14:paraId="4499A916" w14:textId="62F79AF5"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w:t>
      </w:r>
      <w:r w:rsidR="00C82E5A">
        <w:rPr>
          <w:rStyle w:val="FontStyle14"/>
          <w:rFonts w:asciiTheme="minorHAnsi" w:hAnsiTheme="minorHAnsi" w:cstheme="minorHAnsi"/>
          <w:sz w:val="22"/>
          <w:szCs w:val="22"/>
        </w:rPr>
        <w:t>Inwestycji Lokalnych</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81451BA" w14:textId="12DAC87C"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49E5CE" w14:textId="240208D9"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455C070D" w14:textId="768769FE"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43FA212C" w14:textId="6DD75E09"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663A46BB" w:rsidR="00A86B59" w:rsidRPr="00C82E5A" w:rsidRDefault="00A86B59" w:rsidP="00C82E5A">
      <w:pPr>
        <w:pStyle w:val="Style7"/>
        <w:numPr>
          <w:ilvl w:val="0"/>
          <w:numId w:val="7"/>
        </w:numPr>
        <w:tabs>
          <w:tab w:val="left" w:pos="706"/>
        </w:tabs>
        <w:spacing w:line="250" w:lineRule="exact"/>
        <w:ind w:left="706" w:hanging="346"/>
        <w:rPr>
          <w:rStyle w:val="FontStyle14"/>
          <w:rFonts w:asciiTheme="minorHAnsi" w:hAnsiTheme="minorHAnsi" w:cstheme="minorHAnsi"/>
          <w:b/>
          <w:bCs/>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t>
      </w:r>
      <w:r w:rsidRPr="00C82E5A">
        <w:rPr>
          <w:rStyle w:val="FontStyle14"/>
          <w:rFonts w:asciiTheme="minorHAnsi" w:hAnsiTheme="minorHAnsi" w:cstheme="minorHAnsi"/>
          <w:sz w:val="22"/>
          <w:szCs w:val="22"/>
        </w:rPr>
        <w:t xml:space="preserve">Wykonawcę lub Podwykonawcę osób wykonujących czynności w trakcie realizacji zamówienia: </w:t>
      </w:r>
      <w:r w:rsidR="00C82E5A" w:rsidRPr="00C82E5A">
        <w:rPr>
          <w:rFonts w:asciiTheme="minorHAnsi" w:hAnsiTheme="minorHAnsi" w:cstheme="minorHAnsi"/>
          <w:b/>
          <w:bCs/>
          <w:color w:val="000000"/>
          <w:sz w:val="22"/>
          <w:szCs w:val="22"/>
        </w:rPr>
        <w:t>osób wykonujących podstawowe prace  budowlane  w trakcie realizacji zamówienia kwalifikowanych jako pracownicy fizyczni.</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t>
      </w:r>
      <w:r w:rsidRPr="00D4645E">
        <w:rPr>
          <w:rStyle w:val="FontStyle14"/>
          <w:rFonts w:asciiTheme="minorHAnsi" w:hAnsiTheme="minorHAnsi" w:cstheme="minorHAnsi"/>
          <w:sz w:val="22"/>
          <w:szCs w:val="22"/>
        </w:rPr>
        <w:lastRenderedPageBreak/>
        <w:t>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246A802F"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00874C2D">
        <w:rPr>
          <w:rStyle w:val="FontStyle14"/>
          <w:rFonts w:asciiTheme="minorHAnsi" w:hAnsiTheme="minorHAnsi" w:cstheme="minorHAnsi"/>
          <w:b/>
          <w:sz w:val="22"/>
          <w:szCs w:val="22"/>
        </w:rPr>
        <w:t xml:space="preserve">do </w:t>
      </w:r>
      <w:r w:rsidR="00853312">
        <w:rPr>
          <w:rStyle w:val="FontStyle14"/>
          <w:rFonts w:asciiTheme="minorHAnsi" w:hAnsiTheme="minorHAnsi" w:cstheme="minorHAnsi"/>
          <w:b/>
          <w:sz w:val="22"/>
          <w:szCs w:val="22"/>
        </w:rPr>
        <w:t>80 dni</w:t>
      </w:r>
      <w:r w:rsidRPr="00D15106">
        <w:rPr>
          <w:rStyle w:val="FontStyle14"/>
          <w:rFonts w:asciiTheme="minorHAnsi" w:hAnsiTheme="minorHAnsi" w:cstheme="minorHAnsi"/>
          <w:b/>
          <w:sz w:val="22"/>
          <w:szCs w:val="22"/>
        </w:rPr>
        <w:t xml:space="preserve">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w:t>
      </w:r>
      <w:r>
        <w:rPr>
          <w:rStyle w:val="FontStyle14"/>
          <w:rFonts w:asciiTheme="minorHAnsi" w:hAnsiTheme="minorHAnsi" w:cstheme="minorHAnsi"/>
          <w:sz w:val="22"/>
          <w:szCs w:val="22"/>
        </w:rPr>
        <w:lastRenderedPageBreak/>
        <w:t xml:space="preserve">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lastRenderedPageBreak/>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 xml:space="preserve">określonych w art. 15r ustawy z dnia 2 marca 2020 r. o szczególnych rozwiązaniach związanych z zapobieganiem, przeciwdziałaniem i zwalczaniem COVID-19, innych chorób zakaźnych oraz </w:t>
      </w:r>
      <w:r w:rsidRPr="00E648F2">
        <w:rPr>
          <w:bCs/>
          <w:lang w:eastAsia="ar-SA"/>
        </w:rPr>
        <w:lastRenderedPageBreak/>
        <w:t>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w:t>
      </w:r>
      <w:r w:rsidRPr="00F82A92">
        <w:rPr>
          <w:bCs/>
        </w:rPr>
        <w:lastRenderedPageBreak/>
        <w:t>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lastRenderedPageBreak/>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lastRenderedPageBreak/>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77777777" w:rsidR="006604BC" w:rsidRDefault="006604BC" w:rsidP="00E04AF7">
      <w:pPr>
        <w:pStyle w:val="Akapitzlist"/>
        <w:numPr>
          <w:ilvl w:val="0"/>
          <w:numId w:val="64"/>
        </w:numPr>
        <w:spacing w:line="250" w:lineRule="exact"/>
        <w:jc w:val="both"/>
        <w:rPr>
          <w:rFonts w:cstheme="minorHAnsi"/>
        </w:rPr>
      </w:pPr>
      <w:r w:rsidRPr="006604BC">
        <w:rPr>
          <w:rFonts w:cstheme="minorHAnsi"/>
        </w:rPr>
        <w:t>29.3.</w:t>
      </w:r>
      <w:r w:rsidRPr="006604BC">
        <w:rPr>
          <w:rFonts w:cstheme="minorHAnsi"/>
        </w:rPr>
        <w:tab/>
        <w:t>Funkcję Inspektora Ochrony Danych pełni Pani  Bernadeta Kopeć  tel.  59 83 35 351 wew. 51.</w:t>
      </w:r>
    </w:p>
    <w:p w14:paraId="710229D7" w14:textId="36180634"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C82E5A" w:rsidRPr="00C82E5A">
        <w:rPr>
          <w:rFonts w:cstheme="minorHAnsi"/>
          <w:b/>
        </w:rPr>
        <w:t xml:space="preserve">Modernizacja Szkoły Podstawowej w Debrznie - Przebudowa części parteru budynku </w:t>
      </w:r>
      <w:r w:rsidR="00126AC9">
        <w:rPr>
          <w:rFonts w:cstheme="minorHAnsi"/>
          <w:b/>
        </w:rPr>
        <w:t>Szkoły Podstawowej</w:t>
      </w:r>
      <w:r w:rsidR="00C82E5A" w:rsidRPr="00C82E5A">
        <w:rPr>
          <w:rFonts w:cstheme="minorHAnsi"/>
          <w:b/>
        </w:rPr>
        <w:t xml:space="preserve"> w Debrznie (adaptacja sal lekcyjnych) na bibliotekę przy ul. Królewskiej 8</w:t>
      </w:r>
      <w:r w:rsidR="00C82E5A">
        <w:rPr>
          <w:rFonts w:cstheme="minorHAnsi"/>
          <w:b/>
        </w:rPr>
        <w:t xml:space="preserve"> </w:t>
      </w:r>
      <w:r w:rsidRPr="00D15106">
        <w:rPr>
          <w:rFonts w:cstheme="minorHAnsi"/>
        </w:rPr>
        <w:t xml:space="preserve"> 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7FEF9" w14:textId="77777777" w:rsidR="00E67ECF" w:rsidRDefault="00E67ECF" w:rsidP="00E7336E">
      <w:pPr>
        <w:spacing w:after="0" w:line="240" w:lineRule="auto"/>
      </w:pPr>
      <w:r>
        <w:separator/>
      </w:r>
    </w:p>
  </w:endnote>
  <w:endnote w:type="continuationSeparator" w:id="0">
    <w:p w14:paraId="42BBA0E2" w14:textId="77777777" w:rsidR="00E67ECF" w:rsidRDefault="00E67ECF"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2C16" w14:textId="77777777" w:rsidR="00E67ECF" w:rsidRDefault="00E67ECF" w:rsidP="00E7336E">
      <w:pPr>
        <w:spacing w:after="0" w:line="240" w:lineRule="auto"/>
      </w:pPr>
      <w:r>
        <w:separator/>
      </w:r>
    </w:p>
  </w:footnote>
  <w:footnote w:type="continuationSeparator" w:id="0">
    <w:p w14:paraId="7FFBEBB5" w14:textId="77777777" w:rsidR="00E67ECF" w:rsidRDefault="00E67ECF"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765" w:hanging="623"/>
      </w:pPr>
      <w:rPr>
        <w:rFonts w:ascii="Arial" w:hAnsi="Arial" w:cs="Arial" w:hint="default"/>
        <w:b/>
        <w:i w:val="0"/>
        <w:strike w:val="0"/>
        <w:sz w:val="20"/>
        <w:szCs w:val="20"/>
      </w:rPr>
    </w:lvl>
    <w:lvl w:ilvl="2">
      <w:start w:val="1"/>
      <w:numFmt w:val="decimal"/>
      <w:lvlText w:val="%1.%2.%3."/>
      <w:lvlJc w:val="left"/>
      <w:pPr>
        <w:ind w:left="1072"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2"/>
  </w:num>
  <w:num w:numId="12">
    <w:abstractNumId w:val="57"/>
  </w:num>
  <w:num w:numId="13">
    <w:abstractNumId w:val="6"/>
  </w:num>
  <w:num w:numId="14">
    <w:abstractNumId w:val="52"/>
  </w:num>
  <w:num w:numId="15">
    <w:abstractNumId w:val="27"/>
  </w:num>
  <w:num w:numId="16">
    <w:abstractNumId w:val="21"/>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3"/>
  </w:num>
  <w:num w:numId="28">
    <w:abstractNumId w:val="9"/>
  </w:num>
  <w:num w:numId="29">
    <w:abstractNumId w:val="18"/>
  </w:num>
  <w:num w:numId="30">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4"/>
  </w:num>
  <w:num w:numId="44">
    <w:abstractNumId w:val="3"/>
  </w:num>
  <w:num w:numId="45">
    <w:abstractNumId w:val="41"/>
  </w:num>
  <w:num w:numId="46">
    <w:abstractNumId w:val="33"/>
  </w:num>
  <w:num w:numId="47">
    <w:abstractNumId w:val="26"/>
  </w:num>
  <w:num w:numId="48">
    <w:abstractNumId w:val="49"/>
  </w:num>
  <w:num w:numId="49">
    <w:abstractNumId w:val="47"/>
  </w:num>
  <w:num w:numId="50">
    <w:abstractNumId w:val="19"/>
  </w:num>
  <w:num w:numId="51">
    <w:abstractNumId w:val="55"/>
  </w:num>
  <w:num w:numId="52">
    <w:abstractNumId w:val="61"/>
  </w:num>
  <w:num w:numId="53">
    <w:abstractNumId w:val="54"/>
  </w:num>
  <w:num w:numId="54">
    <w:abstractNumId w:val="50"/>
  </w:num>
  <w:num w:numId="55">
    <w:abstractNumId w:val="32"/>
  </w:num>
  <w:num w:numId="56">
    <w:abstractNumId w:val="25"/>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20"/>
  </w:num>
  <w:num w:numId="65">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3006A"/>
    <w:rsid w:val="00054F78"/>
    <w:rsid w:val="000608EC"/>
    <w:rsid w:val="00066984"/>
    <w:rsid w:val="00074192"/>
    <w:rsid w:val="00077013"/>
    <w:rsid w:val="0007708B"/>
    <w:rsid w:val="00091355"/>
    <w:rsid w:val="000A067A"/>
    <w:rsid w:val="000C62C1"/>
    <w:rsid w:val="000D10F5"/>
    <w:rsid w:val="000E71D9"/>
    <w:rsid w:val="00124885"/>
    <w:rsid w:val="00126AC9"/>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1B94"/>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364AD"/>
    <w:rsid w:val="00843FFC"/>
    <w:rsid w:val="00853312"/>
    <w:rsid w:val="0085355A"/>
    <w:rsid w:val="008575C1"/>
    <w:rsid w:val="00861842"/>
    <w:rsid w:val="00874C2D"/>
    <w:rsid w:val="008840B9"/>
    <w:rsid w:val="008A16DB"/>
    <w:rsid w:val="008A5323"/>
    <w:rsid w:val="008B23C0"/>
    <w:rsid w:val="008E597F"/>
    <w:rsid w:val="00912A52"/>
    <w:rsid w:val="00913A67"/>
    <w:rsid w:val="00930D58"/>
    <w:rsid w:val="009318E6"/>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E4D4F"/>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07D0"/>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25A"/>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2E5A"/>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271BB"/>
    <w:rsid w:val="00D30168"/>
    <w:rsid w:val="00D35E12"/>
    <w:rsid w:val="00D4645E"/>
    <w:rsid w:val="00D55D06"/>
    <w:rsid w:val="00D74AA4"/>
    <w:rsid w:val="00D77980"/>
    <w:rsid w:val="00DA0288"/>
    <w:rsid w:val="00DC227F"/>
    <w:rsid w:val="00DC498F"/>
    <w:rsid w:val="00DD3609"/>
    <w:rsid w:val="00DD7B02"/>
    <w:rsid w:val="00DE4B77"/>
    <w:rsid w:val="00DE643C"/>
    <w:rsid w:val="00DF0440"/>
    <w:rsid w:val="00DF1D14"/>
    <w:rsid w:val="00E04AF7"/>
    <w:rsid w:val="00E2105C"/>
    <w:rsid w:val="00E21131"/>
    <w:rsid w:val="00E27692"/>
    <w:rsid w:val="00E35BC7"/>
    <w:rsid w:val="00E648F2"/>
    <w:rsid w:val="00E67ECF"/>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31E7B"/>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20</Pages>
  <Words>9875</Words>
  <Characters>59254</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11</cp:revision>
  <cp:lastPrinted>2021-06-28T10:38:00Z</cp:lastPrinted>
  <dcterms:created xsi:type="dcterms:W3CDTF">2021-05-21T06:57:00Z</dcterms:created>
  <dcterms:modified xsi:type="dcterms:W3CDTF">2021-09-15T06:42:00Z</dcterms:modified>
</cp:coreProperties>
</file>