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7BB1" w:rsidRDefault="00707951">
      <w:pPr>
        <w:pageBreakBefore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4 do SWZ - Opis przedmiotu zamówienia</w:t>
      </w:r>
    </w:p>
    <w:p w:rsidR="006F7BB1" w:rsidRDefault="006F7BB1">
      <w:pPr>
        <w:jc w:val="both"/>
        <w:rPr>
          <w:rFonts w:ascii="Times New Roman" w:hAnsi="Times New Roman" w:cs="Times New Roman"/>
        </w:rPr>
      </w:pPr>
    </w:p>
    <w:p w:rsidR="006F7BB1" w:rsidRDefault="00707951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>PRZEDMIOT ZAMÓWIENIA</w:t>
      </w:r>
    </w:p>
    <w:p w:rsidR="006F7BB1" w:rsidRDefault="006F7BB1">
      <w:pPr>
        <w:ind w:left="720"/>
        <w:jc w:val="both"/>
        <w:rPr>
          <w:rFonts w:ascii="Times New Roman" w:hAnsi="Times New Roman" w:cs="Times New Roman"/>
        </w:rPr>
      </w:pP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</w:rPr>
        <w:tab/>
      </w:r>
      <w:r>
        <w:rPr>
          <w:rStyle w:val="Domylnaczcionkaakapitu1"/>
          <w:rFonts w:ascii="Times New Roman" w:hAnsi="Times New Roman" w:cs="Times New Roman"/>
          <w:color w:val="000000"/>
        </w:rPr>
        <w:t>Przedmiotem zamówienia jest usługa wykonania</w:t>
      </w:r>
      <w:r>
        <w:rPr>
          <w:rStyle w:val="Domylnaczcionkaakapitu1"/>
          <w:rFonts w:ascii="Times New Roman" w:eastAsia="Times New Roman" w:hAnsi="Times New Roman" w:cs="Times New Roman"/>
          <w:color w:val="000000"/>
          <w:lang w:bidi="ar-SA"/>
        </w:rPr>
        <w:t xml:space="preserve"> przeglądów technicznych oraz konserwacji sprzętu i aparatury medycznej w ilości i asortymencie określonym w formularzu asortymentowo-cenowym, będącej na wyposażeniu szpitala SPZOZ MSWiA we Wrocławiu, przy ul. </w:t>
      </w:r>
      <w:proofErr w:type="spellStart"/>
      <w:r>
        <w:rPr>
          <w:rStyle w:val="Domylnaczcionkaakapitu1"/>
          <w:rFonts w:ascii="Times New Roman" w:eastAsia="Times New Roman" w:hAnsi="Times New Roman" w:cs="Times New Roman"/>
          <w:color w:val="000000"/>
          <w:lang w:bidi="ar-SA"/>
        </w:rPr>
        <w:t>Ołbińskiej</w:t>
      </w:r>
      <w:proofErr w:type="spellEnd"/>
      <w:r>
        <w:rPr>
          <w:rStyle w:val="Domylnaczcionkaakapitu1"/>
          <w:rFonts w:ascii="Times New Roman" w:eastAsia="Times New Roman" w:hAnsi="Times New Roman" w:cs="Times New Roman"/>
          <w:color w:val="000000"/>
          <w:lang w:bidi="ar-SA"/>
        </w:rPr>
        <w:t xml:space="preserve"> 32, przychodni SPZOZ MSWiA we Wrocławiu, przy ul. Grabiszyńskiej 35-39 oraz w przychodni SPZOZ MSWiA w Jeleniej Górze, przy ul. Nowowiejskiej 43.</w:t>
      </w:r>
    </w:p>
    <w:p w:rsidR="006F7BB1" w:rsidRDefault="006F7BB1">
      <w:pPr>
        <w:jc w:val="both"/>
        <w:rPr>
          <w:rFonts w:ascii="Times New Roman" w:hAnsi="Times New Roman" w:cs="Times New Roman"/>
        </w:rPr>
      </w:pP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Przedmiotem umowy należy wykonać zgodnie z wytycznymi producenta, instrukcjami serwisowymi i dokumentacją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– Ruchową okresowych przeglądów technicznych i konserwacji aparatury oraz sprzętu medycznego (wyszczególnione w załączniku nr 3) zgodnie z </w:t>
      </w:r>
      <w:r>
        <w:rPr>
          <w:rStyle w:val="Domylnaczcionkaakapitu1"/>
          <w:rFonts w:ascii="Times New Roman" w:hAnsi="Times New Roman" w:cs="Times New Roman"/>
        </w:rPr>
        <w:t xml:space="preserve">Ustawą o Wyrobach Medycznych </w:t>
      </w:r>
      <w:r>
        <w:rPr>
          <w:rFonts w:ascii="Times New Roman" w:hAnsi="Times New Roman" w:cs="Times New Roman"/>
        </w:rPr>
        <w:t xml:space="preserve">Dz. U. 2020 r., poz. 186, </w:t>
      </w:r>
      <w:r>
        <w:rPr>
          <w:rStyle w:val="Domylnaczcionkaakapitu1"/>
          <w:rFonts w:ascii="Times New Roman" w:hAnsi="Times New Roman" w:cs="Times New Roman"/>
        </w:rPr>
        <w:t>oraz wytycznymi serwisowymi producenta urządzeń</w:t>
      </w:r>
      <w:r>
        <w:rPr>
          <w:rFonts w:ascii="Times New Roman" w:hAnsi="Times New Roman" w:cs="Times New Roman"/>
        </w:rPr>
        <w:t xml:space="preserve"> 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Przegląd i konserwacja sprzętu medycznego dokonana zostanie w celu uzyskania potwierdzenia jego sprawności technicznej i braku przeciwwskazań do dalszej eksploatacji.</w:t>
      </w:r>
    </w:p>
    <w:p w:rsidR="006F7BB1" w:rsidRDefault="00707951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Harmonogramy przeglądów zostaną uzgodnione z zamawiającym w terminie 3 dni od </w:t>
      </w:r>
      <w:r>
        <w:rPr>
          <w:rFonts w:ascii="Times New Roman" w:hAnsi="Times New Roman" w:cs="Times New Roman"/>
        </w:rPr>
        <w:t xml:space="preserve">zawarcia umowy. Wykonawca prześle e- mailem na adres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</w:rPr>
          <w:t>rplywaczyk@spzozmswia.wroclaw.pl</w:t>
        </w:r>
      </w:hyperlink>
      <w:r>
        <w:rPr>
          <w:rFonts w:ascii="Times New Roman" w:hAnsi="Times New Roman" w:cs="Times New Roman"/>
        </w:rPr>
        <w:t xml:space="preserve"> oraz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</w:rPr>
          <w:t>mfiec@spzozmswia.wroclaw.pl</w:t>
        </w:r>
      </w:hyperlink>
      <w:r>
        <w:rPr>
          <w:rFonts w:ascii="Times New Roman" w:hAnsi="Times New Roman" w:cs="Times New Roman"/>
        </w:rPr>
        <w:t xml:space="preserve">  Zamawiającego do zaakceptowania  harmonogram przeglądów. Zamawiający w terminie 5 dni odeśle Wykonawcy zaakceptowany/poprawiony harmonogram, który będzie obowiązywał przez cały czas obowiązywania umowy, chyba że za zgodą obydwu stron nastąpi korekta harmonogramu. Korekta musi nastąpić pisemnie.</w:t>
      </w:r>
    </w:p>
    <w:p w:rsidR="006F7BB1" w:rsidRDefault="00707951">
      <w:pPr>
        <w:numPr>
          <w:ilvl w:val="0"/>
          <w:numId w:val="3"/>
        </w:num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lang w:bidi="ar-SA"/>
        </w:rPr>
        <w:t xml:space="preserve">Zamawiający preferuje wykonanie przeglądów w jego siedzibie. Dopuszczalne jest wykonanie  usługi w siedzibie Wykonawcy po wcześniejszym ustaleniu. </w:t>
      </w:r>
    </w:p>
    <w:p w:rsidR="006F7BB1" w:rsidRDefault="00707951">
      <w:pPr>
        <w:numPr>
          <w:ilvl w:val="0"/>
          <w:numId w:val="3"/>
        </w:num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lang w:bidi="ar-SA"/>
        </w:rPr>
        <w:t xml:space="preserve">W przypadku wykonania przeglądu w siedzibie Wykonawcy winien on na własny koszt odebrać i dostarczyć przedmiot zamówienia do Zamawiającego. </w:t>
      </w:r>
    </w:p>
    <w:p w:rsidR="006F7BB1" w:rsidRDefault="00707951">
      <w:pPr>
        <w:numPr>
          <w:ilvl w:val="0"/>
          <w:numId w:val="3"/>
        </w:numPr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>Podczas wykonywania przeglądu technicznego pracownik serwisu sprawdzi kompletność dokumentacji urządzenia oraz uzupełni ewentualne braki.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Przez konserwacje aparatury i sprzętu medycznego należy rozumieć wykonanie czynności o charakterze prewencyjnym w formie obsługi okresowej mającej na celu podtrzymanie w stałej gotowości eksploatacyjnej urządzenia oraz wymianę elementów zużywalnych takich jak uszczelki, smary, żarówki, lampy sygnalizacyjne itp. </w:t>
      </w:r>
      <w:r>
        <w:rPr>
          <w:rStyle w:val="Domylnaczcionkaakapitu1"/>
          <w:rFonts w:ascii="Times New Roman" w:hAnsi="Times New Roman" w:cs="Times New Roman"/>
          <w:bCs/>
        </w:rPr>
        <w:t>oraz materiałów eksploatacyjnych określonych przez wytwórcę wyrobu j</w:t>
      </w:r>
      <w:r>
        <w:rPr>
          <w:rStyle w:val="Domylnaczcionkaakapitu1"/>
          <w:rFonts w:ascii="Times New Roman" w:hAnsi="Times New Roman" w:cs="Times New Roman"/>
          <w:bCs/>
          <w:color w:val="000000"/>
        </w:rPr>
        <w:t>ako niezbędny pakiet serwisowy wymagany dla danego cyklu przeglądu (jeżeli dotyczy)</w:t>
      </w:r>
      <w:r>
        <w:rPr>
          <w:rStyle w:val="Domylnaczcionkaakapitu1"/>
          <w:rFonts w:ascii="Times New Roman" w:hAnsi="Times New Roman" w:cs="Times New Roman"/>
          <w:bCs/>
        </w:rPr>
        <w:t>.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Przegląd i konserwacja obejmują w szczególności czynności: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a) wymianę materiałów eksploatacyjnych i części zużywalnych takich jak: uszczelki, rolki filtry, żarówki, smary itp.;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b) sprawdzanie i czyszczenie elementów aparatury oraz dróg chłodzenia, wentylacji;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c) sprawdzanie instalacji (w tym elektrycznych, zasilania itp.);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d) kontrola sprawności zaworów oraz przycisków i pokręteł;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e) regulacja (prawidłowe nastawy) wymaganych przez producenta parametrów;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f) kalibracje czujników / mierników;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>
        <w:rPr>
          <w:rFonts w:ascii="Times New Roman" w:hAnsi="Times New Roman" w:cs="Times New Roman"/>
        </w:rPr>
        <w:t>upgrade</w:t>
      </w:r>
      <w:proofErr w:type="spellEnd"/>
      <w:r>
        <w:rPr>
          <w:rFonts w:ascii="Times New Roman" w:hAnsi="Times New Roman" w:cs="Times New Roman"/>
        </w:rPr>
        <w:t xml:space="preserve"> i/lub update oprogramowania;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h) legalizację/walidację (jeżeli dotyczy) i przedstawienie odpowiednich świadectw i certyfikatów.  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Każdorazowy przegląd i/lub konserwacja zostaną udokumentowane stosownym wpisem w dokumentacji eksploatacyjnej aparatu (paszport techniczny) oraz sporządzeniem raportu serwisowego </w:t>
      </w:r>
      <w:r>
        <w:rPr>
          <w:rFonts w:ascii="Times New Roman" w:hAnsi="Times New Roman" w:cs="Times New Roman"/>
        </w:rPr>
        <w:t>stanowiącego podstawę do wystawienia faktury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zawierającego co najmniej następujące informacje: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- datę rozpoczęcia oraz zakończenia przeglądu technicznego </w:t>
      </w:r>
      <w:r>
        <w:rPr>
          <w:rFonts w:ascii="Times New Roman" w:hAnsi="Times New Roman" w:cs="Times New Roman"/>
          <w:color w:val="111111"/>
        </w:rPr>
        <w:t>i/lub konserwacji;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111111"/>
        </w:rPr>
        <w:t>- nazwę aparatu, model, producent, numer seryjny oraz miejsce użytkowania;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>- dostrzeżone usterki oraz ich przyczynę (jeżeli jest to możliwe do ustalenia);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rodzaj wykonanych czynności, wykaz wymienionych podczas przeglądu materiałów zużywalnych;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stan urządzenia po wykonaniu przeglądu i/lub konserwacji, opisu ze wskazaniem czy sprawdzany aparat jest sprawny/niesprawny i dopuszczony do dalszej eksploatacji, zalecenia w przypadku niesprawności;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datę następnego przeglądu;</w:t>
      </w:r>
    </w:p>
    <w:p w:rsidR="006F7BB1" w:rsidRDefault="0070795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podpis i pieczątka osoby wykonującej przegląd techniczny.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Wykonawca każdorazowo, gdy stwierdzi w trakcie przeglądu konieczność naprawy urządzenia</w:t>
      </w:r>
      <w:r>
        <w:rPr>
          <w:rFonts w:ascii="Times New Roman" w:hAnsi="Times New Roman" w:cs="Times New Roman"/>
        </w:rPr>
        <w:t>, wymiany części zamiennych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zgłosi  ten fakt w formie pisemnej lub e-mailem Zamawiającemu oraz przedstawi wycenę naprawy wraz z cennikiem niezbędnych części i kalkulacja roboczogodzin. Wykonanie naprawy, wymiana części zamiennych nastąpi wyłącznie po akceptacji pisemnej Zamawiającego.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bCs/>
        </w:rPr>
        <w:t>W ramach przeglądu Zamawiający oczekuje również, niezwłocznego usuwania możliwych do usunięcia usterek i awarii, niewymagających wymiany części / podzespołów, wszelkich możliwych do wykonania regulacji i kalibracji urządzeń, przywracając im sprawność, bez dodatkowych kosztów dla Zamawiającego, sprawdzania bezpieczeństwa mechanicznego i elektrycznego, oczyszczania dróg chłodzenia i odprowadzania ciepła, k</w:t>
      </w:r>
      <w:r>
        <w:rPr>
          <w:rStyle w:val="Domylnaczcionkaakapitu1"/>
          <w:rFonts w:ascii="Times New Roman" w:hAnsi="Times New Roman" w:cs="Times New Roman"/>
        </w:rPr>
        <w:t>asowania</w:t>
      </w:r>
      <w:r>
        <w:rPr>
          <w:rStyle w:val="Domylnaczcionkaakapitu1"/>
          <w:rFonts w:ascii="Times New Roman" w:hAnsi="Times New Roman" w:cs="Times New Roman"/>
          <w:bCs/>
        </w:rPr>
        <w:t xml:space="preserve"> elektronicznych i programowych liczników czasu pracy informujących o konieczności wykonania przeglądu, bez dodatkowych kosztów dla Zamawiającego.</w:t>
      </w:r>
    </w:p>
    <w:p w:rsidR="006F7BB1" w:rsidRDefault="00707951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auto"/>
        </w:rPr>
        <w:t>Usługa powinna być wykonana fachowo zgodnie z instrukcją serwisową urządzenia i zakończona testem bezpieczeństwa.</w:t>
      </w:r>
    </w:p>
    <w:p w:rsidR="006F7BB1" w:rsidRDefault="00707951">
      <w:pPr>
        <w:numPr>
          <w:ilvl w:val="0"/>
          <w:numId w:val="3"/>
        </w:numPr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bCs/>
        </w:rPr>
        <w:t>Zamawianą usługę może wykonać jedynie serwis, który posiada stosowne uprawnienia do wykonywania przeglądów danej aparatury.</w:t>
      </w:r>
    </w:p>
    <w:p w:rsidR="006F7BB1" w:rsidRDefault="00707951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oświadcza, że dysponuje miernikami służącymi do wykonywania pomiarów bezpieczeństwa elektrycznego, parametrów pracy urządzeń i aparatury objętej zakresem umowy, a używane przez Wykonawcę urządzenia pomiarowe i testowe posiadają aktualne świadectwa homologacji i legalizacji.</w:t>
      </w:r>
    </w:p>
    <w:p w:rsidR="006F7BB1" w:rsidRDefault="0070795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Miejsce wykonania usług: </w:t>
      </w:r>
      <w:r>
        <w:rPr>
          <w:rStyle w:val="Domylnaczcionkaakapitu1"/>
          <w:rFonts w:ascii="Times New Roman" w:hAnsi="Times New Roman" w:cs="Times New Roman"/>
        </w:rPr>
        <w:t xml:space="preserve">Szpital SPZOZ MSWiA we Wrocławiu, przy ul. </w:t>
      </w:r>
      <w:proofErr w:type="spellStart"/>
      <w:r>
        <w:rPr>
          <w:rStyle w:val="Domylnaczcionkaakapitu1"/>
          <w:rFonts w:ascii="Times New Roman" w:hAnsi="Times New Roman" w:cs="Times New Roman"/>
        </w:rPr>
        <w:t>Ołbińskiej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32, Przychodnia SPZOZ MSWiA we Wrocławiu, przy ul. Grabiszyńskiej 35-39 oraz w Przychodnia SPZOZ MSWiA w Jeleniej Górze, przy ul. Nowowiejskiej 43.</w:t>
      </w:r>
    </w:p>
    <w:p w:rsidR="006F7BB1" w:rsidRDefault="006F7BB1">
      <w:pPr>
        <w:ind w:left="720"/>
        <w:jc w:val="both"/>
        <w:rPr>
          <w:rFonts w:hint="eastAsia"/>
        </w:rPr>
      </w:pPr>
    </w:p>
    <w:p w:rsidR="006F7BB1" w:rsidRDefault="006F7BB1">
      <w:pPr>
        <w:jc w:val="both"/>
        <w:rPr>
          <w:rFonts w:ascii="Times New Roman" w:hAnsi="Times New Roman" w:cs="Times New Roman"/>
        </w:rPr>
      </w:pPr>
    </w:p>
    <w:p w:rsidR="006F7BB1" w:rsidRDefault="006F7BB1">
      <w:pPr>
        <w:jc w:val="both"/>
        <w:rPr>
          <w:rFonts w:ascii="Times New Roman" w:hAnsi="Times New Roman" w:cs="Times New Roman"/>
        </w:rPr>
      </w:pPr>
    </w:p>
    <w:p w:rsidR="006F7BB1" w:rsidRDefault="00707951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b/>
          <w:bCs/>
          <w:u w:val="single"/>
          <w:lang w:bidi="ar-SA"/>
        </w:rPr>
        <w:t>ZAMÓWIENIE OBEJMUJE 35 PAKIETÓW</w:t>
      </w:r>
    </w:p>
    <w:p w:rsidR="006F7BB1" w:rsidRDefault="006F7BB1">
      <w:pPr>
        <w:jc w:val="both"/>
        <w:rPr>
          <w:rFonts w:ascii="Times New Roman" w:hAnsi="Times New Roman" w:cs="Times New Roman"/>
        </w:rPr>
      </w:pPr>
    </w:p>
    <w:p w:rsidR="006F7BB1" w:rsidRDefault="006F7BB1">
      <w:pPr>
        <w:jc w:val="both"/>
        <w:rPr>
          <w:rFonts w:ascii="Times New Roman" w:hAnsi="Times New Roman" w:cs="Times New Roman"/>
        </w:rPr>
      </w:pP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1 - APARATY RTG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2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GASTROSKOPY I ENDOSKOPY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3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RESPIRATORY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4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RESPIRATORY TRANSPORTOWE 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5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SKANERY RTG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6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MYJNIE / DEZYNFEKATORY DO ENDOSKOPÓW ELASTYCZNYCH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7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MACERATORY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8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HOLTER EKG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9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DIATERMIE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0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</w:t>
      </w:r>
      <w:r w:rsidR="001242EA">
        <w:rPr>
          <w:rStyle w:val="Domylnaczcionkaakapitu1"/>
          <w:rFonts w:ascii="Times New Roman" w:eastAsia="Times New Roman" w:hAnsi="Times New Roman" w:cs="Times New Roman"/>
          <w:lang w:bidi="ar-SA"/>
        </w:rPr>
        <w:t>–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APARATY</w:t>
      </w:r>
      <w:r w:rsidR="001242EA"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>USG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1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APARATY EEG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2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PANELE NADŁÓŻKOWE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3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POMPY INFUZYJNE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4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POMPY DO ŻYWIENIA DOJELITOWEGO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5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KARDIOMONITORY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6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ŁÓŻKA SZPITALNE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lastRenderedPageBreak/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7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LAMPY ZABIEGOWE /  BEZCIENIOWE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1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8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LAMPY BAKTERIOBÓJCZE / PRZEPŁYWOWE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19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ELEKTROKARDIOGRAFY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0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DEFIBRYLATORY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1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SSAKI 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2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KAPNOGRAFY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3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NEGATOSKOPY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4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URZĄDZENIA DO PRÓB WYSIŁKOWYCH - GRABISZYŃSKA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5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URZĄDZENIE DO DEZYNFEKCJI METODĄ ZAMGŁAWIANIA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6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LABORATORIUM - OŁBIŃSKA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7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URZĄDZENIA OKULISTYCZNE - GRABISZYŃSKA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2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8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MYJNIA - DEZYNFEKATOR DO KACZEK I BASENÓW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29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MIKROSKOPY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3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0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PRZYCHODNIA GRABISZYŃSKA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3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1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MSWiA JELENIA GÓRA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3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2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URZĄDZENIA STOMATOLOGICZNE - GRABISZYNSKA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3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3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REHABILITACJA - OŁBIŃSKA</w:t>
      </w:r>
    </w:p>
    <w:p w:rsidR="006F7BB1" w:rsidRDefault="00707951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>Pakiet 3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4</w:t>
      </w: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ZRÓDŁA I PUNKTY POBORU GAZÓW MEDYCZNYCH</w:t>
      </w:r>
    </w:p>
    <w:p w:rsidR="001242EA" w:rsidRDefault="001242EA" w:rsidP="001242EA">
      <w:pPr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Pakiet </w:t>
      </w:r>
      <w:r w:rsidR="00D44195">
        <w:rPr>
          <w:rStyle w:val="Domylnaczcionkaakapitu1"/>
          <w:rFonts w:ascii="Times New Roman" w:eastAsia="Times New Roman" w:hAnsi="Times New Roman" w:cs="Times New Roman"/>
          <w:lang w:bidi="ar-SA"/>
        </w:rPr>
        <w:t>35</w:t>
      </w:r>
      <w:bookmarkStart w:id="0" w:name="_GoBack"/>
      <w:bookmarkEnd w:id="0"/>
      <w:r>
        <w:rPr>
          <w:rStyle w:val="Domylnaczcionkaakapitu1"/>
          <w:rFonts w:ascii="Times New Roman" w:eastAsia="Times New Roman" w:hAnsi="Times New Roman" w:cs="Times New Roman"/>
          <w:lang w:bidi="ar-SA"/>
        </w:rPr>
        <w:t xml:space="preserve"> - KOLUMNY MEDYCZNE</w:t>
      </w:r>
    </w:p>
    <w:p w:rsidR="00A330D6" w:rsidRDefault="00A330D6">
      <w:pPr>
        <w:jc w:val="both"/>
        <w:rPr>
          <w:rFonts w:ascii="Times New Roman" w:hAnsi="Times New Roman" w:cs="Times New Roman"/>
          <w:strike/>
        </w:rPr>
      </w:pPr>
    </w:p>
    <w:sectPr w:rsidR="00A330D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yellow"/>
        <w:em w:val="none"/>
        <w:lang w:val="pl-PL" w:eastAsia="zh-CN" w:bidi="ar-SA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NSimSu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6"/>
    <w:rsid w:val="001242EA"/>
    <w:rsid w:val="006F7BB1"/>
    <w:rsid w:val="00707951"/>
    <w:rsid w:val="00A330D6"/>
    <w:rsid w:val="00D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D03405-7118-4AA0-A5E2-3A5F7EB3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firstLine="5940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pl-PL" w:eastAsia="zh-C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sz w:val="24"/>
      <w:szCs w:val="24"/>
      <w:highlight w:val="yellow"/>
      <w:em w:val="none"/>
      <w:lang w:val="pl-PL" w:eastAsia="zh-CN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NSimSu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eastAsia="Times New Roman" w:hint="default"/>
      <w:b/>
      <w:u w:val="singl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auto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ymbol" w:hAnsi="Symbol" w:cs="Symbol"/>
      <w:color w:val="auto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Symbol" w:hAnsi="Symbol" w:cs="Symbol"/>
      <w:color w:val="auto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WCharLFO5LVL1">
    <w:name w:val="WW_CharLFO5LVL1"/>
    <w:rPr>
      <w:rFonts w:ascii="OpenSymbol" w:eastAsia="OpenSymbol" w:hAnsi="OpenSymbol" w:cs="OpenSymbol"/>
    </w:rPr>
  </w:style>
  <w:style w:type="character" w:customStyle="1" w:styleId="WWCharLFO5LVL2">
    <w:name w:val="WW_CharLFO5LVL2"/>
    <w:rPr>
      <w:rFonts w:ascii="OpenSymbol" w:eastAsia="OpenSymbol" w:hAnsi="OpenSymbol" w:cs="OpenSymbol"/>
    </w:rPr>
  </w:style>
  <w:style w:type="character" w:customStyle="1" w:styleId="WWCharLFO5LVL3">
    <w:name w:val="WW_CharLFO5LVL3"/>
    <w:rPr>
      <w:rFonts w:ascii="OpenSymbol" w:eastAsia="OpenSymbol" w:hAnsi="OpenSymbol" w:cs="OpenSymbol"/>
    </w:rPr>
  </w:style>
  <w:style w:type="character" w:customStyle="1" w:styleId="WWCharLFO5LVL4">
    <w:name w:val="WW_CharLFO5LVL4"/>
    <w:rPr>
      <w:rFonts w:ascii="OpenSymbol" w:eastAsia="OpenSymbol" w:hAnsi="OpenSymbol" w:cs="OpenSymbol"/>
    </w:rPr>
  </w:style>
  <w:style w:type="character" w:customStyle="1" w:styleId="WWCharLFO5LVL5">
    <w:name w:val="WW_CharLFO5LVL5"/>
    <w:rPr>
      <w:rFonts w:ascii="OpenSymbol" w:eastAsia="OpenSymbol" w:hAnsi="OpenSymbol" w:cs="OpenSymbol"/>
    </w:rPr>
  </w:style>
  <w:style w:type="character" w:customStyle="1" w:styleId="WWCharLFO5LVL6">
    <w:name w:val="WW_CharLFO5LVL6"/>
    <w:rPr>
      <w:rFonts w:ascii="OpenSymbol" w:eastAsia="OpenSymbol" w:hAnsi="OpenSymbol" w:cs="OpenSymbol"/>
    </w:rPr>
  </w:style>
  <w:style w:type="character" w:customStyle="1" w:styleId="WWCharLFO5LVL7">
    <w:name w:val="WW_CharLFO5LVL7"/>
    <w:rPr>
      <w:rFonts w:ascii="OpenSymbol" w:eastAsia="OpenSymbol" w:hAnsi="OpenSymbol" w:cs="OpenSymbol"/>
    </w:rPr>
  </w:style>
  <w:style w:type="character" w:customStyle="1" w:styleId="WWCharLFO5LVL8">
    <w:name w:val="WW_CharLFO5LVL8"/>
    <w:rPr>
      <w:rFonts w:ascii="OpenSymbol" w:eastAsia="OpenSymbol" w:hAnsi="OpenSymbol" w:cs="OpenSymbol"/>
    </w:rPr>
  </w:style>
  <w:style w:type="character" w:customStyle="1" w:styleId="WWCharLFO5LVL9">
    <w:name w:val="WW_CharLFO5LVL9"/>
    <w:rPr>
      <w:rFonts w:ascii="OpenSymbol" w:eastAsia="OpenSymbol" w:hAnsi="OpenSymbol" w:cs="OpenSymbol"/>
    </w:rPr>
  </w:style>
  <w:style w:type="character" w:customStyle="1" w:styleId="WWCharLFO6LVL1">
    <w:name w:val="WW_CharLFO6LVL1"/>
    <w:rPr>
      <w:rFonts w:ascii="OpenSymbol" w:eastAsia="OpenSymbol" w:hAnsi="OpenSymbol" w:cs="OpenSymbol"/>
    </w:rPr>
  </w:style>
  <w:style w:type="character" w:customStyle="1" w:styleId="WWCharLFO6LVL2">
    <w:name w:val="WW_CharLFO6LVL2"/>
    <w:rPr>
      <w:rFonts w:ascii="OpenSymbol" w:eastAsia="OpenSymbol" w:hAnsi="OpenSymbol" w:cs="OpenSymbol"/>
    </w:rPr>
  </w:style>
  <w:style w:type="character" w:customStyle="1" w:styleId="WWCharLFO6LVL3">
    <w:name w:val="WW_CharLFO6LVL3"/>
    <w:rPr>
      <w:rFonts w:ascii="OpenSymbol" w:eastAsia="OpenSymbol" w:hAnsi="OpenSymbol" w:cs="OpenSymbol"/>
    </w:rPr>
  </w:style>
  <w:style w:type="character" w:customStyle="1" w:styleId="WWCharLFO6LVL4">
    <w:name w:val="WW_CharLFO6LVL4"/>
    <w:rPr>
      <w:rFonts w:ascii="OpenSymbol" w:eastAsia="OpenSymbol" w:hAnsi="OpenSymbol" w:cs="OpenSymbol"/>
    </w:rPr>
  </w:style>
  <w:style w:type="character" w:customStyle="1" w:styleId="WWCharLFO6LVL5">
    <w:name w:val="WW_CharLFO6LVL5"/>
    <w:rPr>
      <w:rFonts w:ascii="OpenSymbol" w:eastAsia="OpenSymbol" w:hAnsi="OpenSymbol" w:cs="OpenSymbol"/>
    </w:rPr>
  </w:style>
  <w:style w:type="character" w:customStyle="1" w:styleId="WWCharLFO6LVL6">
    <w:name w:val="WW_CharLFO6LVL6"/>
    <w:rPr>
      <w:rFonts w:ascii="OpenSymbol" w:eastAsia="OpenSymbol" w:hAnsi="OpenSymbol" w:cs="OpenSymbol"/>
    </w:rPr>
  </w:style>
  <w:style w:type="character" w:customStyle="1" w:styleId="WWCharLFO6LVL7">
    <w:name w:val="WW_CharLFO6LVL7"/>
    <w:rPr>
      <w:rFonts w:ascii="OpenSymbol" w:eastAsia="OpenSymbol" w:hAnsi="OpenSymbol" w:cs="OpenSymbol"/>
    </w:rPr>
  </w:style>
  <w:style w:type="character" w:customStyle="1" w:styleId="WWCharLFO6LVL8">
    <w:name w:val="WW_CharLFO6LVL8"/>
    <w:rPr>
      <w:rFonts w:ascii="OpenSymbol" w:eastAsia="OpenSymbol" w:hAnsi="OpenSymbol" w:cs="OpenSymbol"/>
    </w:rPr>
  </w:style>
  <w:style w:type="character" w:customStyle="1" w:styleId="WWCharLFO6LVL9">
    <w:name w:val="WW_CharLFO6LVL9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0">
    <w:name w:val="font0"/>
    <w:basedOn w:val="Normalny1"/>
    <w:pPr>
      <w:suppressAutoHyphens w:val="0"/>
      <w:spacing w:before="100" w:after="100"/>
      <w:textAlignment w:val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nt5">
    <w:name w:val="font5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font6">
    <w:name w:val="font6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font7">
    <w:name w:val="font7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font8">
    <w:name w:val="font8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font9">
    <w:name w:val="font9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font10">
    <w:name w:val="font10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b/>
      <w:bCs/>
      <w:color w:val="FF0000"/>
      <w:sz w:val="22"/>
      <w:szCs w:val="22"/>
      <w:lang w:bidi="ar-SA"/>
    </w:rPr>
  </w:style>
  <w:style w:type="paragraph" w:customStyle="1" w:styleId="font11">
    <w:name w:val="font11"/>
    <w:basedOn w:val="Normalny1"/>
    <w:pPr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font12">
    <w:name w:val="font12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font13">
    <w:name w:val="font13"/>
    <w:basedOn w:val="Normalny1"/>
    <w:pPr>
      <w:suppressAutoHyphens w:val="0"/>
      <w:spacing w:before="100" w:after="100"/>
      <w:textAlignment w:val="auto"/>
    </w:pPr>
    <w:rPr>
      <w:rFonts w:ascii="Calibri" w:eastAsia="Times New Roman" w:hAnsi="Calibri" w:cs="Times New Roman"/>
      <w:color w:val="000000"/>
      <w:lang w:bidi="ar-SA"/>
    </w:rPr>
  </w:style>
  <w:style w:type="paragraph" w:customStyle="1" w:styleId="font14">
    <w:name w:val="font14"/>
    <w:basedOn w:val="Normalny1"/>
    <w:pPr>
      <w:suppressAutoHyphens w:val="0"/>
      <w:spacing w:before="100" w:after="100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font15">
    <w:name w:val="font15"/>
    <w:basedOn w:val="Normalny1"/>
    <w:pPr>
      <w:suppressAutoHyphens w:val="0"/>
      <w:spacing w:before="100" w:after="100"/>
      <w:textAlignment w:val="auto"/>
    </w:pPr>
    <w:rPr>
      <w:rFonts w:ascii="Calibri" w:eastAsia="Times New Roman" w:hAnsi="Calibri" w:cs="Times New Roman"/>
      <w:color w:val="111111"/>
      <w:sz w:val="22"/>
      <w:szCs w:val="22"/>
      <w:lang w:bidi="ar-SA"/>
    </w:rPr>
  </w:style>
  <w:style w:type="paragraph" w:customStyle="1" w:styleId="font16">
    <w:name w:val="font16"/>
    <w:basedOn w:val="Normalny1"/>
    <w:pPr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font17">
    <w:name w:val="font17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65">
    <w:name w:val="xl65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66">
    <w:name w:val="xl66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67">
    <w:name w:val="xl67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8">
    <w:name w:val="xl68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69">
    <w:name w:val="xl69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70">
    <w:name w:val="xl70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1">
    <w:name w:val="xl71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00"/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2">
    <w:name w:val="xl72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3">
    <w:name w:val="xl73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xl74">
    <w:name w:val="xl74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5">
    <w:name w:val="xl75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6">
    <w:name w:val="xl76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77">
    <w:name w:val="xl77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color w:val="000040"/>
      <w:sz w:val="22"/>
      <w:szCs w:val="22"/>
      <w:lang w:bidi="ar-SA"/>
    </w:rPr>
  </w:style>
  <w:style w:type="paragraph" w:customStyle="1" w:styleId="xl78">
    <w:name w:val="xl78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79">
    <w:name w:val="xl79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80">
    <w:name w:val="xl80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1">
    <w:name w:val="xl81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2">
    <w:name w:val="xl82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3">
    <w:name w:val="xl83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4">
    <w:name w:val="xl84"/>
    <w:basedOn w:val="Normalny1"/>
    <w:pP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5">
    <w:name w:val="xl85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6">
    <w:name w:val="xl86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7">
    <w:name w:val="xl87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8">
    <w:name w:val="xl88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89">
    <w:name w:val="xl89"/>
    <w:basedOn w:val="Normalny1"/>
    <w:pPr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90">
    <w:name w:val="xl90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1">
    <w:name w:val="xl91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92">
    <w:name w:val="xl92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3">
    <w:name w:val="xl93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94">
    <w:name w:val="xl94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95">
    <w:name w:val="xl95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96">
    <w:name w:val="xl96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7">
    <w:name w:val="xl97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98">
    <w:name w:val="xl98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99">
    <w:name w:val="xl99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xl100">
    <w:name w:val="xl100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xl101">
    <w:name w:val="xl101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xl102">
    <w:name w:val="xl102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Times New Roman"/>
      <w:color w:val="111111"/>
      <w:sz w:val="22"/>
      <w:szCs w:val="22"/>
      <w:lang w:bidi="ar-SA"/>
    </w:rPr>
  </w:style>
  <w:style w:type="paragraph" w:customStyle="1" w:styleId="xl103">
    <w:name w:val="xl103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xl104">
    <w:name w:val="xl104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xl105">
    <w:name w:val="xl105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106">
    <w:name w:val="xl106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107">
    <w:name w:val="xl107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8">
    <w:name w:val="xl108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9">
    <w:name w:val="xl109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110">
    <w:name w:val="xl110"/>
    <w:basedOn w:val="Normalny1"/>
    <w:pP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111">
    <w:name w:val="xl111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xl112">
    <w:name w:val="xl112"/>
    <w:basedOn w:val="Normalny1"/>
    <w:pP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13">
    <w:name w:val="xl113"/>
    <w:basedOn w:val="Normalny1"/>
    <w:pP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114">
    <w:name w:val="xl114"/>
    <w:basedOn w:val="Normalny1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xl115">
    <w:name w:val="xl115"/>
    <w:basedOn w:val="Normalny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NSimSun" w:hAnsi="Arial" w:cs="Lucida Sans"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ec@spzozmswia.wroclaw.pl" TargetMode="External"/><Relationship Id="rId5" Type="http://schemas.openxmlformats.org/officeDocument/2006/relationships/hyperlink" Target="mailto:rplywaczyk@spzozmswia.wroclaw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ZP\AppData\Local\Microsoft\Windows\INetCache\Content.Outlook\Y5Y0DD9Z\Za&#322;&#261;cznik%20nr%202_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2_2021</Template>
  <TotalTime>15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KZP</dc:creator>
  <cp:keywords/>
  <cp:lastModifiedBy>KZP</cp:lastModifiedBy>
  <cp:revision>4</cp:revision>
  <cp:lastPrinted>1995-11-21T15:41:00Z</cp:lastPrinted>
  <dcterms:created xsi:type="dcterms:W3CDTF">2021-08-26T06:11:00Z</dcterms:created>
  <dcterms:modified xsi:type="dcterms:W3CDTF">2021-09-01T07:16:00Z</dcterms:modified>
</cp:coreProperties>
</file>