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3</w:t>
      </w:r>
      <w:r>
        <w:rPr>
          <w:rStyle w:val="Strong"/>
          <w:b/>
          <w:sz w:val="22"/>
          <w:szCs w:val="22"/>
        </w:rPr>
        <w:t>8</w:t>
      </w:r>
      <w:r>
        <w:rPr>
          <w:rStyle w:val="Strong"/>
          <w:b/>
          <w:sz w:val="22"/>
          <w:szCs w:val="22"/>
        </w:rPr>
        <w:t>.202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sz w:val="22"/>
          <w:szCs w:val="22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Przebudowa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nawierzchni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jezdni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drogi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wewnętrznej łączącej ulicę Husarską oraz ulicę Siwińskiego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3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4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1</Pages>
  <Words>199</Words>
  <Characters>1342</Characters>
  <CharactersWithSpaces>1528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2023-09-27T10:18:36Z</dcterms:created>
  <dc:creator/>
  <dc:description/>
  <dc:language>pl-PL</dc:language>
  <cp:lastModifiedBy/>
  <dcterms:modified xsi:type="dcterms:W3CDTF">2023-09-27T10:24:53Z</dcterms:modified>
  <cp:revision>2</cp:revision>
  <dc:subject/>
  <dc:title>Oświadczenie podmiotu, na którego zasoby Wykonawca się powołujeskładane na podstawie art. 125 ust. 1 ustawy Pzp</dc:title>
</cp:coreProperties>
</file>