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613C" w14:textId="4BA07985" w:rsidR="00EF3408" w:rsidRPr="00AF5681" w:rsidRDefault="00EF3408" w:rsidP="00EF3408">
      <w:pPr>
        <w:autoSpaceDE w:val="0"/>
        <w:autoSpaceDN w:val="0"/>
        <w:adjustRightInd w:val="0"/>
        <w:spacing w:after="0" w:line="276" w:lineRule="auto"/>
        <w:jc w:val="right"/>
        <w:textAlignment w:val="center"/>
        <w:rPr>
          <w:rFonts w:eastAsia="Calibri" w:cs="Roboto Lt"/>
          <w:color w:val="auto"/>
          <w:spacing w:val="0"/>
          <w:szCs w:val="20"/>
          <w:lang w:eastAsia="pl-PL"/>
        </w:rPr>
      </w:pPr>
      <w:r w:rsidRPr="00AF5681">
        <w:rPr>
          <w:rFonts w:eastAsia="Calibri" w:cs="Roboto Lt"/>
          <w:color w:val="auto"/>
          <w:spacing w:val="0"/>
          <w:szCs w:val="20"/>
          <w:lang w:eastAsia="pl-PL"/>
        </w:rPr>
        <w:t>Załącznik nr 2</w:t>
      </w:r>
      <w:r w:rsidR="00AF5681">
        <w:rPr>
          <w:rFonts w:eastAsia="Calibri" w:cs="Roboto Lt"/>
          <w:color w:val="auto"/>
          <w:spacing w:val="0"/>
          <w:szCs w:val="20"/>
          <w:lang w:eastAsia="pl-PL"/>
        </w:rPr>
        <w:t>.4.</w:t>
      </w:r>
      <w:r w:rsidRPr="00AF5681">
        <w:rPr>
          <w:rFonts w:eastAsia="Calibri" w:cs="Roboto Lt"/>
          <w:color w:val="auto"/>
          <w:spacing w:val="0"/>
          <w:szCs w:val="20"/>
          <w:lang w:eastAsia="pl-PL"/>
        </w:rPr>
        <w:t xml:space="preserve"> do SWZ</w:t>
      </w:r>
    </w:p>
    <w:p w14:paraId="724A008D" w14:textId="1E296C7A" w:rsidR="00EF3408" w:rsidRPr="00AF5681" w:rsidRDefault="00EF3408" w:rsidP="00AF5681">
      <w:pPr>
        <w:spacing w:after="0" w:line="259" w:lineRule="auto"/>
        <w:ind w:left="4395"/>
        <w:jc w:val="right"/>
        <w:rPr>
          <w:rFonts w:eastAsia="Calibri" w:cs="Tahoma"/>
          <w:b/>
          <w:color w:val="auto"/>
          <w:spacing w:val="0"/>
          <w:szCs w:val="20"/>
        </w:rPr>
      </w:pPr>
      <w:r w:rsidRPr="00AF5681">
        <w:rPr>
          <w:rFonts w:eastAsia="Calibri" w:cs="Arial"/>
          <w:color w:val="auto"/>
          <w:spacing w:val="0"/>
          <w:szCs w:val="20"/>
        </w:rPr>
        <w:t xml:space="preserve"> Nr sprawy:</w:t>
      </w:r>
      <w:r w:rsidRPr="00AF5681">
        <w:rPr>
          <w:rFonts w:eastAsia="Calibri" w:cs="Tahoma"/>
          <w:b/>
          <w:color w:val="auto"/>
          <w:spacing w:val="0"/>
          <w:szCs w:val="20"/>
        </w:rPr>
        <w:t xml:space="preserve"> </w:t>
      </w:r>
      <w:r w:rsidR="00AF5681">
        <w:rPr>
          <w:rFonts w:eastAsia="Calibri" w:cs="Tahoma"/>
          <w:b/>
          <w:color w:val="auto"/>
          <w:spacing w:val="0"/>
          <w:szCs w:val="20"/>
        </w:rPr>
        <w:t>PO.271.27.2021</w:t>
      </w:r>
    </w:p>
    <w:p w14:paraId="25CAD24F" w14:textId="77777777" w:rsidR="00B716A8" w:rsidRPr="00AF5681" w:rsidRDefault="00B716A8" w:rsidP="00B716A8">
      <w:pPr>
        <w:autoSpaceDE w:val="0"/>
        <w:autoSpaceDN w:val="0"/>
        <w:adjustRightInd w:val="0"/>
        <w:spacing w:after="0" w:line="276" w:lineRule="auto"/>
        <w:jc w:val="center"/>
        <w:textAlignment w:val="center"/>
        <w:rPr>
          <w:rFonts w:eastAsia="Calibri" w:cs="Roboto Lt"/>
          <w:b/>
          <w:color w:val="auto"/>
          <w:spacing w:val="0"/>
          <w:szCs w:val="20"/>
          <w:u w:val="single"/>
          <w:lang w:eastAsia="pl-PL"/>
        </w:rPr>
      </w:pPr>
    </w:p>
    <w:p w14:paraId="70F2EBDA" w14:textId="77777777" w:rsidR="00B716A8" w:rsidRPr="00AF5681" w:rsidRDefault="00B716A8" w:rsidP="00B716A8">
      <w:pPr>
        <w:autoSpaceDE w:val="0"/>
        <w:autoSpaceDN w:val="0"/>
        <w:adjustRightInd w:val="0"/>
        <w:spacing w:after="0" w:line="276" w:lineRule="auto"/>
        <w:jc w:val="center"/>
        <w:textAlignment w:val="center"/>
        <w:rPr>
          <w:rFonts w:eastAsia="Calibri" w:cs="Roboto Lt"/>
          <w:b/>
          <w:color w:val="auto"/>
          <w:spacing w:val="0"/>
          <w:szCs w:val="20"/>
          <w:u w:val="single"/>
          <w:lang w:eastAsia="pl-PL"/>
        </w:rPr>
      </w:pPr>
    </w:p>
    <w:p w14:paraId="545595E6" w14:textId="324EEB27" w:rsidR="00B716A8" w:rsidRPr="00AF5681" w:rsidRDefault="00B716A8" w:rsidP="00AF5681">
      <w:pPr>
        <w:autoSpaceDE w:val="0"/>
        <w:autoSpaceDN w:val="0"/>
        <w:adjustRightInd w:val="0"/>
        <w:spacing w:after="0" w:line="276" w:lineRule="auto"/>
        <w:jc w:val="center"/>
        <w:textAlignment w:val="center"/>
        <w:rPr>
          <w:rFonts w:eastAsia="Calibri" w:cs="Roboto Lt"/>
          <w:b/>
          <w:color w:val="auto"/>
          <w:spacing w:val="0"/>
          <w:szCs w:val="20"/>
          <w:u w:val="single"/>
          <w:lang w:eastAsia="pl-PL"/>
        </w:rPr>
      </w:pPr>
      <w:r w:rsidRPr="00AF5681">
        <w:rPr>
          <w:rFonts w:eastAsia="Calibri" w:cs="Roboto Lt"/>
          <w:b/>
          <w:color w:val="auto"/>
          <w:spacing w:val="0"/>
          <w:szCs w:val="20"/>
          <w:u w:val="single"/>
          <w:lang w:eastAsia="pl-PL"/>
        </w:rPr>
        <w:t>Opis przedmiotu zamówienia (OPZ)</w:t>
      </w:r>
    </w:p>
    <w:p w14:paraId="67695DC6" w14:textId="77777777" w:rsidR="00EF3408" w:rsidRPr="00AF5681" w:rsidRDefault="00EF3408" w:rsidP="00AF5681">
      <w:pPr>
        <w:autoSpaceDE w:val="0"/>
        <w:autoSpaceDN w:val="0"/>
        <w:adjustRightInd w:val="0"/>
        <w:spacing w:after="0" w:line="276" w:lineRule="auto"/>
        <w:jc w:val="center"/>
        <w:textAlignment w:val="center"/>
        <w:rPr>
          <w:rFonts w:eastAsia="Calibri" w:cs="Roboto Lt"/>
          <w:color w:val="auto"/>
          <w:spacing w:val="0"/>
          <w:szCs w:val="20"/>
          <w:u w:val="single"/>
          <w:lang w:eastAsia="pl-PL"/>
        </w:rPr>
      </w:pPr>
    </w:p>
    <w:p w14:paraId="72647C6E" w14:textId="77777777" w:rsidR="00B716A8" w:rsidRPr="00AF5681" w:rsidRDefault="00B716A8" w:rsidP="00AF5681">
      <w:pPr>
        <w:numPr>
          <w:ilvl w:val="0"/>
          <w:numId w:val="11"/>
        </w:numPr>
        <w:autoSpaceDE w:val="0"/>
        <w:autoSpaceDN w:val="0"/>
        <w:adjustRightInd w:val="0"/>
        <w:spacing w:after="200" w:line="276" w:lineRule="auto"/>
        <w:ind w:left="0" w:firstLine="0"/>
        <w:jc w:val="left"/>
        <w:textAlignment w:val="center"/>
        <w:rPr>
          <w:rFonts w:eastAsia="Calibri" w:cs="Roboto Lt"/>
          <w:b/>
          <w:color w:val="auto"/>
          <w:spacing w:val="0"/>
          <w:szCs w:val="20"/>
          <w:lang w:eastAsia="pl-PL"/>
        </w:rPr>
      </w:pPr>
      <w:r w:rsidRPr="00AF5681">
        <w:rPr>
          <w:rFonts w:eastAsia="Calibri" w:cs="Roboto Lt"/>
          <w:b/>
          <w:color w:val="auto"/>
          <w:spacing w:val="0"/>
          <w:szCs w:val="20"/>
          <w:lang w:eastAsia="pl-PL"/>
        </w:rPr>
        <w:t>Przedmiot zamówienia</w:t>
      </w:r>
    </w:p>
    <w:p w14:paraId="78F78805" w14:textId="28C8E465" w:rsidR="00B716A8" w:rsidRPr="00AF5681" w:rsidRDefault="00AF5681" w:rsidP="00AF5681">
      <w:pPr>
        <w:autoSpaceDE w:val="0"/>
        <w:autoSpaceDN w:val="0"/>
        <w:adjustRightInd w:val="0"/>
        <w:spacing w:after="200" w:line="276" w:lineRule="auto"/>
        <w:textAlignment w:val="center"/>
        <w:rPr>
          <w:rFonts w:eastAsia="Calibri" w:cs="Roboto Lt"/>
          <w:color w:val="auto"/>
          <w:spacing w:val="0"/>
          <w:szCs w:val="20"/>
          <w:lang w:eastAsia="pl-PL"/>
        </w:rPr>
      </w:pPr>
      <w:r>
        <w:rPr>
          <w:rFonts w:eastAsia="Calibri" w:cs="Roboto Lt"/>
          <w:color w:val="auto"/>
          <w:spacing w:val="0"/>
          <w:szCs w:val="20"/>
          <w:lang w:eastAsia="pl-PL"/>
        </w:rPr>
        <w:t xml:space="preserve">Część 4 : </w:t>
      </w:r>
      <w:r w:rsidR="00B716A8" w:rsidRPr="00AF5681">
        <w:rPr>
          <w:rFonts w:eastAsia="Calibri" w:cs="Roboto Lt"/>
          <w:color w:val="auto"/>
          <w:spacing w:val="0"/>
          <w:szCs w:val="20"/>
          <w:lang w:eastAsia="pl-PL"/>
        </w:rPr>
        <w:t>Katodo</w:t>
      </w:r>
      <w:r>
        <w:rPr>
          <w:rFonts w:eastAsia="Calibri" w:cs="Roboto Lt"/>
          <w:color w:val="auto"/>
          <w:spacing w:val="0"/>
          <w:szCs w:val="20"/>
          <w:lang w:eastAsia="pl-PL"/>
        </w:rPr>
        <w:t>-</w:t>
      </w:r>
      <w:r w:rsidR="00B716A8" w:rsidRPr="00AF5681">
        <w:rPr>
          <w:rFonts w:eastAsia="Calibri" w:cs="Roboto Lt"/>
          <w:color w:val="auto"/>
          <w:spacing w:val="0"/>
          <w:szCs w:val="20"/>
          <w:lang w:eastAsia="pl-PL"/>
        </w:rPr>
        <w:t>luminescencyjna przystawka do skaningowego mikroskopu elektronowego</w:t>
      </w:r>
    </w:p>
    <w:p w14:paraId="757AE50A" w14:textId="4B2A1AFB" w:rsidR="00B716A8" w:rsidRPr="00AF5681" w:rsidRDefault="00B716A8" w:rsidP="00AF5681">
      <w:pPr>
        <w:autoSpaceDE w:val="0"/>
        <w:autoSpaceDN w:val="0"/>
        <w:adjustRightInd w:val="0"/>
        <w:spacing w:after="200" w:line="276" w:lineRule="auto"/>
        <w:textAlignment w:val="center"/>
        <w:rPr>
          <w:rFonts w:eastAsia="Calibri" w:cs="Roboto Lt"/>
          <w:color w:val="auto"/>
          <w:spacing w:val="0"/>
          <w:szCs w:val="20"/>
          <w:lang w:eastAsia="pl-PL"/>
        </w:rPr>
      </w:pPr>
      <w:r w:rsidRPr="00AF5681">
        <w:rPr>
          <w:rFonts w:eastAsia="Calibri" w:cs="Roboto Lt"/>
          <w:color w:val="auto"/>
          <w:spacing w:val="0"/>
          <w:szCs w:val="20"/>
          <w:lang w:eastAsia="pl-PL"/>
        </w:rPr>
        <w:t>Przedmiotem zamówienia jest system do zaawansowanego pomiaru katodoluminescencji (CL) w wielu trybach pracy w elektronowym mikroskopie skaningowym (SEM) wraz z wymaganym do tego osprzętem oraz oprogramowaniem sterującym i analitycznym</w:t>
      </w:r>
    </w:p>
    <w:p w14:paraId="14068D09" w14:textId="77777777" w:rsidR="00B716A8" w:rsidRPr="00AF5681" w:rsidRDefault="00B716A8" w:rsidP="00AF5681">
      <w:pPr>
        <w:numPr>
          <w:ilvl w:val="0"/>
          <w:numId w:val="11"/>
        </w:numPr>
        <w:spacing w:after="200" w:line="276" w:lineRule="auto"/>
        <w:ind w:left="0" w:firstLine="0"/>
        <w:contextualSpacing/>
        <w:jc w:val="left"/>
        <w:rPr>
          <w:rFonts w:eastAsia="Verdana" w:cs="Times New Roman"/>
          <w:b/>
          <w:color w:val="auto"/>
          <w:spacing w:val="0"/>
          <w:szCs w:val="20"/>
        </w:rPr>
      </w:pPr>
      <w:r w:rsidRPr="00AF5681">
        <w:rPr>
          <w:rFonts w:eastAsia="Verdana" w:cs="Times New Roman"/>
          <w:b/>
          <w:color w:val="auto"/>
          <w:spacing w:val="0"/>
          <w:szCs w:val="20"/>
        </w:rPr>
        <w:t>Główne funkcje urządzenia</w:t>
      </w:r>
    </w:p>
    <w:p w14:paraId="16162184" w14:textId="77777777" w:rsidR="00B716A8" w:rsidRPr="00AF5681" w:rsidRDefault="00B716A8" w:rsidP="00AF5681">
      <w:pPr>
        <w:autoSpaceDE w:val="0"/>
        <w:autoSpaceDN w:val="0"/>
        <w:adjustRightInd w:val="0"/>
        <w:spacing w:after="0" w:line="240" w:lineRule="auto"/>
        <w:rPr>
          <w:rFonts w:cs="DejaVuSerifCondensed"/>
          <w:szCs w:val="20"/>
        </w:rPr>
      </w:pPr>
      <w:r w:rsidRPr="00AF5681">
        <w:rPr>
          <w:rFonts w:cs="DejaVuSerifCondensed"/>
          <w:szCs w:val="20"/>
        </w:rPr>
        <w:t>Wymagania minimalne:</w:t>
      </w:r>
    </w:p>
    <w:p w14:paraId="6A107761" w14:textId="77777777" w:rsidR="00B716A8" w:rsidRPr="00AF5681" w:rsidRDefault="00B716A8" w:rsidP="00AF5681">
      <w:pPr>
        <w:autoSpaceDE w:val="0"/>
        <w:autoSpaceDN w:val="0"/>
        <w:adjustRightInd w:val="0"/>
        <w:spacing w:after="0" w:line="240" w:lineRule="auto"/>
        <w:rPr>
          <w:rFonts w:cs="DejaVuSerifCondensed"/>
          <w:szCs w:val="20"/>
        </w:rPr>
      </w:pPr>
    </w:p>
    <w:p w14:paraId="14C0A772" w14:textId="16CFC79C"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System CL musi być fabrycznie nowy i kompletny, tj. obejmować: tor zbierania sygnału ze zwierciadłem, tor detekcji ze spektrometrem, detektorami (CCD i PMT) i filtrami optycznymi, komputer, oprogramowanie do akwizycji i analizy danych, generatory skanu. </w:t>
      </w:r>
      <w:r w:rsidR="00AF5681">
        <w:rPr>
          <w:rFonts w:cs="DejaVuSerifCondensed"/>
          <w:sz w:val="20"/>
          <w:szCs w:val="20"/>
          <w:lang w:val="pl-PL"/>
        </w:rPr>
        <w:t>Wykonawca</w:t>
      </w:r>
      <w:r w:rsidR="00AF5681" w:rsidRPr="00AF5681">
        <w:rPr>
          <w:rFonts w:cs="DejaVuSerifCondensed"/>
          <w:sz w:val="20"/>
          <w:szCs w:val="20"/>
          <w:lang w:val="pl-PL"/>
        </w:rPr>
        <w:t xml:space="preserve"> </w:t>
      </w:r>
      <w:r w:rsidRPr="00AF5681">
        <w:rPr>
          <w:rFonts w:cs="DejaVuSerifCondensed"/>
          <w:sz w:val="20"/>
          <w:szCs w:val="20"/>
          <w:lang w:val="pl-PL"/>
        </w:rPr>
        <w:t>wykona również instalację systemu w mikroskopie Quanta 650F i zapewni wszystkie wymagane do instalacji kable, przełączniki i inne elementy.</w:t>
      </w:r>
    </w:p>
    <w:p w14:paraId="3DE486C6" w14:textId="2AEA9392"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Kompatybilność systemu CL z mikroskopem </w:t>
      </w:r>
      <w:bookmarkStart w:id="0" w:name="_Hlk78195485"/>
      <w:r w:rsidRPr="00AF5681">
        <w:rPr>
          <w:rFonts w:cs="DejaVuSerifCondensed"/>
          <w:sz w:val="20"/>
          <w:szCs w:val="20"/>
          <w:lang w:val="pl-PL"/>
        </w:rPr>
        <w:t xml:space="preserve">SEM Quanta 650F </w:t>
      </w:r>
      <w:bookmarkEnd w:id="0"/>
      <w:r w:rsidRPr="00AF5681">
        <w:rPr>
          <w:rFonts w:cs="DejaVuSerifCondensed"/>
          <w:sz w:val="20"/>
          <w:szCs w:val="20"/>
          <w:lang w:val="pl-PL"/>
        </w:rPr>
        <w:t>zainstalowanym w </w:t>
      </w:r>
      <w:r w:rsidR="00AF5681">
        <w:rPr>
          <w:rFonts w:cs="DejaVuSerifCondensed"/>
          <w:sz w:val="20"/>
          <w:szCs w:val="20"/>
          <w:lang w:val="pl-PL"/>
        </w:rPr>
        <w:t xml:space="preserve">Łukasiewicz - </w:t>
      </w:r>
      <w:r w:rsidRPr="00AF5681">
        <w:rPr>
          <w:rFonts w:cs="DejaVuSerifCondensed"/>
          <w:sz w:val="20"/>
          <w:szCs w:val="20"/>
          <w:lang w:val="pl-PL"/>
        </w:rPr>
        <w:t>PORT.</w:t>
      </w:r>
    </w:p>
    <w:p w14:paraId="031322EA" w14:textId="0FBED47A"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Ze względu na bieżącą konfigurację mikroskopu Quanta 650F w </w:t>
      </w:r>
      <w:r w:rsidR="00AF5681">
        <w:rPr>
          <w:rFonts w:cs="DejaVuSerifCondensed"/>
          <w:sz w:val="20"/>
          <w:szCs w:val="20"/>
          <w:lang w:val="pl-PL"/>
        </w:rPr>
        <w:t xml:space="preserve">Łukasiewicz- </w:t>
      </w:r>
      <w:r w:rsidRPr="00AF5681">
        <w:rPr>
          <w:rFonts w:cs="DejaVuSerifCondensed"/>
          <w:sz w:val="20"/>
          <w:szCs w:val="20"/>
          <w:lang w:val="pl-PL"/>
        </w:rPr>
        <w:t xml:space="preserve">PORT cały system CL musi zostać zainstalowany tylko </w:t>
      </w:r>
      <w:r w:rsidRPr="00AF5681">
        <w:rPr>
          <w:rFonts w:cs="DejaVuSerifCondensed"/>
          <w:sz w:val="20"/>
          <w:szCs w:val="20"/>
          <w:u w:val="single"/>
          <w:lang w:val="pl-PL"/>
        </w:rPr>
        <w:t>w jednym</w:t>
      </w:r>
      <w:r w:rsidRPr="00AF5681">
        <w:rPr>
          <w:rFonts w:cs="DejaVuSerifCondensed"/>
          <w:sz w:val="20"/>
          <w:szCs w:val="20"/>
          <w:lang w:val="pl-PL"/>
        </w:rPr>
        <w:t xml:space="preserve"> porcie (dostępny jest duży port boczny) i w takiej konfiguracji zapewnić pełną funkcjonalność. Nie ma możliwości relokacji innych detektorów/elementów tego </w:t>
      </w:r>
      <w:proofErr w:type="spellStart"/>
      <w:r w:rsidRPr="00AF5681">
        <w:rPr>
          <w:rFonts w:cs="DejaVuSerifCondensed"/>
          <w:sz w:val="20"/>
          <w:szCs w:val="20"/>
          <w:lang w:val="pl-PL"/>
        </w:rPr>
        <w:t>mikrkoskopu</w:t>
      </w:r>
      <w:proofErr w:type="spellEnd"/>
      <w:r w:rsidRPr="00AF5681">
        <w:rPr>
          <w:rFonts w:cs="DejaVuSerifCondensed"/>
          <w:sz w:val="20"/>
          <w:szCs w:val="20"/>
          <w:lang w:val="pl-PL"/>
        </w:rPr>
        <w:t>.</w:t>
      </w:r>
    </w:p>
    <w:p w14:paraId="102F1B57"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System CL musi pracować w następujących trybach pracy:</w:t>
      </w:r>
    </w:p>
    <w:p w14:paraId="7A389226" w14:textId="77777777" w:rsidR="00B716A8" w:rsidRPr="00AF5681" w:rsidRDefault="00B716A8" w:rsidP="00B716A8">
      <w:pPr>
        <w:pStyle w:val="Akapitzlist"/>
        <w:numPr>
          <w:ilvl w:val="0"/>
          <w:numId w:val="13"/>
        </w:numPr>
        <w:autoSpaceDE w:val="0"/>
        <w:autoSpaceDN w:val="0"/>
        <w:adjustRightInd w:val="0"/>
        <w:spacing w:after="0" w:line="240" w:lineRule="auto"/>
        <w:jc w:val="both"/>
        <w:rPr>
          <w:rFonts w:cs="DejaVuSerifCondensed"/>
          <w:sz w:val="20"/>
          <w:szCs w:val="20"/>
          <w:lang w:val="pl-PL"/>
        </w:rPr>
      </w:pPr>
      <w:bookmarkStart w:id="1" w:name="_Hlk78192528"/>
      <w:r w:rsidRPr="00AF5681">
        <w:rPr>
          <w:rFonts w:cs="DejaVuSerifCondensed"/>
          <w:sz w:val="20"/>
          <w:szCs w:val="20"/>
          <w:lang w:val="pl-PL"/>
        </w:rPr>
        <w:t>obrazowanie CL panchromatyczne (tj. bez filtracji długości fali),</w:t>
      </w:r>
    </w:p>
    <w:p w14:paraId="674BBFD4" w14:textId="77777777" w:rsidR="00B716A8" w:rsidRPr="00AF5681" w:rsidRDefault="00B716A8" w:rsidP="00B716A8">
      <w:pPr>
        <w:pStyle w:val="Akapitzlist"/>
        <w:numPr>
          <w:ilvl w:val="0"/>
          <w:numId w:val="13"/>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obrazowanie CL z filtrami optycznymi (tj. obrazowanie RGB),</w:t>
      </w:r>
    </w:p>
    <w:p w14:paraId="600B03F3" w14:textId="77777777" w:rsidR="00B716A8" w:rsidRPr="00AF5681" w:rsidRDefault="00B716A8" w:rsidP="00B716A8">
      <w:pPr>
        <w:pStyle w:val="Akapitzlist"/>
        <w:numPr>
          <w:ilvl w:val="0"/>
          <w:numId w:val="13"/>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spektroskopia CL (tj. akwizycja pełnych widm CL),</w:t>
      </w:r>
    </w:p>
    <w:bookmarkEnd w:id="1"/>
    <w:p w14:paraId="21A37C9D" w14:textId="77777777" w:rsidR="00B716A8" w:rsidRPr="00AF5681" w:rsidRDefault="00B716A8" w:rsidP="00B716A8">
      <w:pPr>
        <w:pStyle w:val="Akapitzlist"/>
        <w:numPr>
          <w:ilvl w:val="0"/>
          <w:numId w:val="13"/>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szybkie obrazowanie spektralne CL realizowane przez matrycę CCD (tj. spectrum </w:t>
      </w:r>
      <w:proofErr w:type="spellStart"/>
      <w:r w:rsidRPr="00AF5681">
        <w:rPr>
          <w:rFonts w:cs="DejaVuSerifCondensed"/>
          <w:sz w:val="20"/>
          <w:szCs w:val="20"/>
          <w:lang w:val="pl-PL"/>
        </w:rPr>
        <w:t>imaging</w:t>
      </w:r>
      <w:proofErr w:type="spellEnd"/>
      <w:r w:rsidRPr="00AF5681">
        <w:rPr>
          <w:rFonts w:cs="DejaVuSerifCondensed"/>
          <w:sz w:val="20"/>
          <w:szCs w:val="20"/>
          <w:lang w:val="pl-PL"/>
        </w:rPr>
        <w:t xml:space="preserve"> czyli akwizycja pełnego widma w każdym pikselu),</w:t>
      </w:r>
    </w:p>
    <w:p w14:paraId="17F045C4" w14:textId="77777777" w:rsidR="00B716A8" w:rsidRPr="00AF5681" w:rsidRDefault="00B716A8" w:rsidP="00B716A8">
      <w:pPr>
        <w:pStyle w:val="Akapitzlist"/>
        <w:numPr>
          <w:ilvl w:val="0"/>
          <w:numId w:val="13"/>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możliwość użycia trybów c i d z filtrami optycznymi.</w:t>
      </w:r>
    </w:p>
    <w:p w14:paraId="77B1228D"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System CL musi zawierać generatory skanu:</w:t>
      </w:r>
    </w:p>
    <w:p w14:paraId="61877DD2"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generator kompatybilny z mikroskopem SEM Quanta 650F umożliwiający realizację wszystkich trybów pracy (punkt 4) wraz z jednoczesną akwizycją obrazu SEM z co najmniej jednego detektora obrazowego SEM,</w:t>
      </w:r>
    </w:p>
    <w:p w14:paraId="25F2D235"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 xml:space="preserve">dodatkowy generator kompatybilny z mikroskopem (S)TEM </w:t>
      </w:r>
      <w:proofErr w:type="spellStart"/>
      <w:r w:rsidRPr="00AF5681">
        <w:rPr>
          <w:rFonts w:cs="DejaVuSerifCondensed"/>
          <w:sz w:val="20"/>
          <w:szCs w:val="20"/>
          <w:lang w:val="pl-PL"/>
        </w:rPr>
        <w:t>Titan</w:t>
      </w:r>
      <w:proofErr w:type="spellEnd"/>
      <w:r w:rsidRPr="00AF5681">
        <w:rPr>
          <w:rFonts w:cs="DejaVuSerifCondensed"/>
          <w:sz w:val="20"/>
          <w:szCs w:val="20"/>
          <w:lang w:val="pl-PL"/>
        </w:rPr>
        <w:t xml:space="preserve"> firmy </w:t>
      </w:r>
      <w:proofErr w:type="spellStart"/>
      <w:r w:rsidRPr="00AF5681">
        <w:rPr>
          <w:rFonts w:cs="DejaVuSerifCondensed"/>
          <w:sz w:val="20"/>
          <w:szCs w:val="20"/>
          <w:lang w:val="pl-PL"/>
        </w:rPr>
        <w:t>Thermo</w:t>
      </w:r>
      <w:proofErr w:type="spellEnd"/>
      <w:r w:rsidRPr="00AF5681">
        <w:rPr>
          <w:rFonts w:cs="DejaVuSerifCondensed"/>
          <w:sz w:val="20"/>
          <w:szCs w:val="20"/>
          <w:lang w:val="pl-PL"/>
        </w:rPr>
        <w:t xml:space="preserve"> Fisher i spektrometrem EELS Continuum S firmy </w:t>
      </w:r>
      <w:proofErr w:type="spellStart"/>
      <w:r w:rsidRPr="00AF5681">
        <w:rPr>
          <w:rFonts w:cs="DejaVuSerifCondensed"/>
          <w:sz w:val="20"/>
          <w:szCs w:val="20"/>
          <w:lang w:val="pl-PL"/>
        </w:rPr>
        <w:t>Gatan</w:t>
      </w:r>
      <w:proofErr w:type="spellEnd"/>
      <w:r w:rsidRPr="00AF5681">
        <w:rPr>
          <w:rFonts w:cs="DejaVuSerifCondensed"/>
          <w:sz w:val="20"/>
          <w:szCs w:val="20"/>
          <w:lang w:val="pl-PL"/>
        </w:rPr>
        <w:t xml:space="preserve"> Inc., </w:t>
      </w:r>
      <w:r w:rsidRPr="00AF5681">
        <w:rPr>
          <w:rFonts w:cs="DejaVuSerifCondensed"/>
          <w:sz w:val="20"/>
          <w:szCs w:val="20"/>
          <w:lang w:val="pl-PL"/>
        </w:rPr>
        <w:lastRenderedPageBreak/>
        <w:t xml:space="preserve">pozwalający na przyszłą implementację CL w TEM. Generator ten musi być niezależny od natywnego generatora skanu tego mikroskopu i musi posiadać wejścia sygnałowe dla detektorów STEM (BF, DF, HAADF) oraz sygnału CL z </w:t>
      </w:r>
      <w:proofErr w:type="spellStart"/>
      <w:r w:rsidRPr="00AF5681">
        <w:rPr>
          <w:rFonts w:cs="DejaVuSerifCondensed"/>
          <w:sz w:val="20"/>
          <w:szCs w:val="20"/>
          <w:lang w:val="pl-PL"/>
        </w:rPr>
        <w:t>holdera</w:t>
      </w:r>
      <w:proofErr w:type="spellEnd"/>
      <w:r w:rsidRPr="00AF5681">
        <w:rPr>
          <w:rFonts w:cs="DejaVuSerifCondensed"/>
          <w:sz w:val="20"/>
          <w:szCs w:val="20"/>
          <w:lang w:val="pl-PL"/>
        </w:rPr>
        <w:t xml:space="preserve"> CL, zapewniając możliwość obrazowania spektralnego (Spectrum </w:t>
      </w:r>
      <w:proofErr w:type="spellStart"/>
      <w:r w:rsidRPr="00AF5681">
        <w:rPr>
          <w:rFonts w:cs="DejaVuSerifCondensed"/>
          <w:sz w:val="20"/>
          <w:szCs w:val="20"/>
          <w:lang w:val="pl-PL"/>
        </w:rPr>
        <w:t>Imaging</w:t>
      </w:r>
      <w:proofErr w:type="spellEnd"/>
      <w:r w:rsidRPr="00AF5681">
        <w:rPr>
          <w:rFonts w:cs="DejaVuSerifCondensed"/>
          <w:sz w:val="20"/>
          <w:szCs w:val="20"/>
          <w:lang w:val="pl-PL"/>
        </w:rPr>
        <w:t>) CL/EELS.</w:t>
      </w:r>
    </w:p>
    <w:p w14:paraId="6F770AD3"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Tor zbierania i wyprowadzania sygnału CL z komory mikroskopu poprzez zwierciadło paraboliczne dedykowane do odbijania sygnału CL.</w:t>
      </w:r>
    </w:p>
    <w:p w14:paraId="44E73D1C"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Parametry zwierciadła parabolicznego: </w:t>
      </w:r>
    </w:p>
    <w:p w14:paraId="762029C5"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wydajność zbierania sygnału CL z próbki: &gt;80%,</w:t>
      </w:r>
    </w:p>
    <w:p w14:paraId="4AEF5929"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ramię umożliwiające wprowadzanie i wyprowadzanie zwierciadła w próżni,</w:t>
      </w:r>
    </w:p>
    <w:p w14:paraId="5B3C57A1"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możliwość wyprowadzenia zwierciadła (np. na czas nieużywania CL) do pozycji, w której natywne zakresy ruchu stolika mikroskopowego nie są ograniczone, bez konieczności demontażu zwierciadła i wyjmowania go z komory SEM,</w:t>
      </w:r>
    </w:p>
    <w:p w14:paraId="34FA9E3F"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konstrukcja lustra umożliwiająca pochył próbki do minimum 15º przynajmniej wzdłuż jednej osi przy wprowadzonym lustrze,</w:t>
      </w:r>
    </w:p>
    <w:p w14:paraId="0D9599CD"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brak elementów światłowodowych sprzęgających wyprowadzany sygnał z torem detekcji celem ograniczenia strat sygnału,</w:t>
      </w:r>
    </w:p>
    <w:p w14:paraId="3F3A08D1"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bookmarkStart w:id="2" w:name="_Hlk78207555"/>
      <w:r w:rsidRPr="00AF5681">
        <w:rPr>
          <w:rFonts w:cs="DejaVuSerifCondensed"/>
          <w:sz w:val="20"/>
          <w:szCs w:val="20"/>
          <w:lang w:val="pl-PL"/>
        </w:rPr>
        <w:t>brak konieczność justowania pozycji lustra po jego wprowadzeniu niezależnie od napięcia przyspieszającego SEM.</w:t>
      </w:r>
    </w:p>
    <w:bookmarkEnd w:id="2"/>
    <w:p w14:paraId="30710E5F"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Zakres widmowy:</w:t>
      </w:r>
    </w:p>
    <w:p w14:paraId="7C41212F"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 xml:space="preserve">matryca CCD: minimum 200-1100 </w:t>
      </w:r>
      <w:proofErr w:type="spellStart"/>
      <w:r w:rsidRPr="00AF5681">
        <w:rPr>
          <w:rFonts w:cs="DejaVuSerifCondensed"/>
          <w:sz w:val="20"/>
          <w:szCs w:val="20"/>
          <w:lang w:val="pl-PL"/>
        </w:rPr>
        <w:t>nm</w:t>
      </w:r>
      <w:proofErr w:type="spellEnd"/>
      <w:r w:rsidRPr="00AF5681">
        <w:rPr>
          <w:rFonts w:cs="DejaVuSerifCondensed"/>
          <w:sz w:val="20"/>
          <w:szCs w:val="20"/>
          <w:lang w:val="pl-PL"/>
        </w:rPr>
        <w:t>,</w:t>
      </w:r>
    </w:p>
    <w:p w14:paraId="69A2FDA2"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 xml:space="preserve">fotopowielacz PMT: minimum 200-980 </w:t>
      </w:r>
      <w:proofErr w:type="spellStart"/>
      <w:r w:rsidRPr="00AF5681">
        <w:rPr>
          <w:rFonts w:cs="DejaVuSerifCondensed"/>
          <w:sz w:val="20"/>
          <w:szCs w:val="20"/>
          <w:lang w:val="pl-PL"/>
        </w:rPr>
        <w:t>nm</w:t>
      </w:r>
      <w:proofErr w:type="spellEnd"/>
      <w:r w:rsidRPr="00AF5681">
        <w:rPr>
          <w:rFonts w:cs="DejaVuSerifCondensed"/>
          <w:sz w:val="20"/>
          <w:szCs w:val="20"/>
          <w:lang w:val="pl-PL"/>
        </w:rPr>
        <w:t>,</w:t>
      </w:r>
    </w:p>
    <w:p w14:paraId="2CE92FE8" w14:textId="77777777" w:rsidR="00B716A8" w:rsidRPr="00AF5681" w:rsidRDefault="00B716A8" w:rsidP="00B716A8">
      <w:pPr>
        <w:pStyle w:val="Akapitzlist"/>
        <w:numPr>
          <w:ilvl w:val="1"/>
          <w:numId w:val="12"/>
        </w:numPr>
        <w:autoSpaceDE w:val="0"/>
        <w:autoSpaceDN w:val="0"/>
        <w:adjustRightInd w:val="0"/>
        <w:spacing w:after="0" w:line="240" w:lineRule="auto"/>
        <w:ind w:left="709"/>
        <w:jc w:val="both"/>
        <w:rPr>
          <w:rFonts w:cs="DejaVuSerifCondensed"/>
          <w:sz w:val="20"/>
          <w:szCs w:val="20"/>
          <w:lang w:val="pl-PL"/>
        </w:rPr>
      </w:pPr>
      <w:r w:rsidRPr="00AF5681">
        <w:rPr>
          <w:rFonts w:cs="DejaVuSerifCondensed"/>
          <w:sz w:val="20"/>
          <w:szCs w:val="20"/>
          <w:lang w:val="pl-PL"/>
        </w:rPr>
        <w:t>możliwość przyszłej rozbudowy celem zwiększenia górnego zakresu do minimum 2300 </w:t>
      </w:r>
      <w:proofErr w:type="spellStart"/>
      <w:r w:rsidRPr="00AF5681">
        <w:rPr>
          <w:rFonts w:cs="DejaVuSerifCondensed"/>
          <w:sz w:val="20"/>
          <w:szCs w:val="20"/>
          <w:lang w:val="pl-PL"/>
        </w:rPr>
        <w:t>nm</w:t>
      </w:r>
      <w:proofErr w:type="spellEnd"/>
      <w:r w:rsidRPr="00AF5681">
        <w:rPr>
          <w:rFonts w:cs="DejaVuSerifCondensed"/>
          <w:sz w:val="20"/>
          <w:szCs w:val="20"/>
          <w:lang w:val="pl-PL"/>
        </w:rPr>
        <w:t xml:space="preserve"> w oparciu o fotopowielacze PMT dostępne w ofercie producenta lub na rynku. System musi mieć możliwość odczytu danych z tych detektorów w swoim własnym oprogramowaniu.</w:t>
      </w:r>
    </w:p>
    <w:p w14:paraId="08DF9B05"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Matryca CCD i fotopowielacz PMT muszą być zainstalowane w systemie CL jednocześnie. Wybór detektora i trybu pracy musi odbywać się poprzez oprogramowanie, bez konieczności montażu, justowania oraz żadnych dodatkowych czynności. </w:t>
      </w:r>
    </w:p>
    <w:p w14:paraId="054ACA17"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Matryca CCD:</w:t>
      </w:r>
    </w:p>
    <w:p w14:paraId="21377B78"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 xml:space="preserve">wykonana w technologii zapewniającej wydajność kwantową detekcji promieniowania CL: </w:t>
      </w:r>
      <w:bookmarkStart w:id="3" w:name="_Hlk78207431"/>
      <w:r w:rsidRPr="00AF5681">
        <w:rPr>
          <w:rFonts w:cs="DejaVuSerifCondensed"/>
          <w:sz w:val="20"/>
          <w:szCs w:val="20"/>
          <w:lang w:val="pl-PL"/>
        </w:rPr>
        <w:t>≥</w:t>
      </w:r>
      <w:bookmarkEnd w:id="3"/>
      <w:r w:rsidRPr="00AF5681">
        <w:rPr>
          <w:rFonts w:cs="DejaVuSerifCondensed"/>
          <w:sz w:val="20"/>
          <w:szCs w:val="20"/>
          <w:lang w:val="pl-PL"/>
        </w:rPr>
        <w:t xml:space="preserve">30% @ 250 </w:t>
      </w:r>
      <w:proofErr w:type="spellStart"/>
      <w:r w:rsidRPr="00AF5681">
        <w:rPr>
          <w:rFonts w:cs="DejaVuSerifCondensed"/>
          <w:sz w:val="20"/>
          <w:szCs w:val="20"/>
          <w:lang w:val="pl-PL"/>
        </w:rPr>
        <w:t>nm</w:t>
      </w:r>
      <w:proofErr w:type="spellEnd"/>
      <w:r w:rsidRPr="00AF5681">
        <w:rPr>
          <w:rFonts w:cs="DejaVuSerifCondensed"/>
          <w:sz w:val="20"/>
          <w:szCs w:val="20"/>
          <w:lang w:val="pl-PL"/>
        </w:rPr>
        <w:t xml:space="preserve">, ≥30% @ 1000 </w:t>
      </w:r>
      <w:proofErr w:type="spellStart"/>
      <w:r w:rsidRPr="00AF5681">
        <w:rPr>
          <w:rFonts w:cs="DejaVuSerifCondensed"/>
          <w:sz w:val="20"/>
          <w:szCs w:val="20"/>
          <w:lang w:val="pl-PL"/>
        </w:rPr>
        <w:t>nm</w:t>
      </w:r>
      <w:proofErr w:type="spellEnd"/>
      <w:r w:rsidRPr="00AF5681">
        <w:rPr>
          <w:rFonts w:cs="DejaVuSerifCondensed"/>
          <w:sz w:val="20"/>
          <w:szCs w:val="20"/>
          <w:lang w:val="pl-PL"/>
        </w:rPr>
        <w:t>, ≥93% @ 700nm</w:t>
      </w:r>
    </w:p>
    <w:p w14:paraId="68887D63"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szum: ≤ 4 e</w:t>
      </w:r>
      <w:r w:rsidRPr="00AF5681">
        <w:rPr>
          <w:rFonts w:cs="DejaVuSerifCondensed"/>
          <w:sz w:val="20"/>
          <w:szCs w:val="20"/>
          <w:vertAlign w:val="superscript"/>
          <w:lang w:val="pl-PL"/>
        </w:rPr>
        <w:t>-</w:t>
      </w:r>
      <w:r w:rsidRPr="00AF5681">
        <w:rPr>
          <w:rFonts w:cs="DejaVuSerifCondensed"/>
          <w:sz w:val="20"/>
          <w:szCs w:val="20"/>
          <w:lang w:val="pl-PL"/>
        </w:rPr>
        <w:t xml:space="preserve"> (</w:t>
      </w:r>
      <w:proofErr w:type="spellStart"/>
      <w:r w:rsidRPr="00AF5681">
        <w:rPr>
          <w:rFonts w:cs="DejaVuSerifCondensed"/>
          <w:sz w:val="20"/>
          <w:szCs w:val="20"/>
          <w:lang w:val="pl-PL"/>
        </w:rPr>
        <w:t>rms</w:t>
      </w:r>
      <w:proofErr w:type="spellEnd"/>
      <w:r w:rsidRPr="00AF5681">
        <w:rPr>
          <w:rFonts w:cs="DejaVuSerifCondensed"/>
          <w:sz w:val="20"/>
          <w:szCs w:val="20"/>
          <w:lang w:val="pl-PL"/>
        </w:rPr>
        <w:t>) @ 100 kHz,</w:t>
      </w:r>
    </w:p>
    <w:p w14:paraId="573F3427" w14:textId="3C297614"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brak wentylatora celem ograniczenia drgań mechanicznych</w:t>
      </w:r>
      <w:r w:rsidR="00AF5681">
        <w:rPr>
          <w:rFonts w:cs="DejaVuSerifCondensed"/>
          <w:sz w:val="20"/>
          <w:szCs w:val="20"/>
          <w:lang w:val="pl-PL"/>
        </w:rPr>
        <w:t>,</w:t>
      </w:r>
    </w:p>
    <w:p w14:paraId="60772579" w14:textId="7AE73CB1" w:rsidR="006C5EC2" w:rsidRPr="00AF5681" w:rsidRDefault="006C5EC2"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szybkość akwizycji minimum 180 widm/s</w:t>
      </w:r>
      <w:r w:rsidR="00AF5681">
        <w:rPr>
          <w:rFonts w:cs="DejaVuSerifCondensed"/>
          <w:sz w:val="20"/>
          <w:szCs w:val="20"/>
          <w:lang w:val="pl-PL"/>
        </w:rPr>
        <w:t>.</w:t>
      </w:r>
    </w:p>
    <w:p w14:paraId="2EC0994E"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Zmotoryzowany stolik na minimum 5 standardowych filtrów (1 cal) pasmowych wraz z zestawem filtrów obejmującym minimum następujące kolory: niebieski, czerwony, zielony, żółty i </w:t>
      </w:r>
      <w:proofErr w:type="spellStart"/>
      <w:r w:rsidRPr="00AF5681">
        <w:rPr>
          <w:rFonts w:cs="DejaVuSerifCondensed"/>
          <w:sz w:val="20"/>
          <w:szCs w:val="20"/>
          <w:lang w:val="pl-PL"/>
        </w:rPr>
        <w:t>magenta</w:t>
      </w:r>
      <w:proofErr w:type="spellEnd"/>
      <w:r w:rsidRPr="00AF5681">
        <w:rPr>
          <w:rFonts w:cs="DejaVuSerifCondensed"/>
          <w:sz w:val="20"/>
          <w:szCs w:val="20"/>
          <w:lang w:val="pl-PL"/>
        </w:rPr>
        <w:t>.</w:t>
      </w:r>
    </w:p>
    <w:p w14:paraId="2DC616B6"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Spektrometr w konfiguracji Czernego-Turnera dedykowany do oferowanego systemu CL:</w:t>
      </w:r>
    </w:p>
    <w:p w14:paraId="236201A3"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zintegrowany programowa z systemem CL,</w:t>
      </w:r>
    </w:p>
    <w:p w14:paraId="01E58291"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co najmniej dwa wyjścia – do PMT i CCD,</w:t>
      </w:r>
    </w:p>
    <w:p w14:paraId="5CCE9891"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 xml:space="preserve">rozdzielczość widmowa: ≤0.16 </w:t>
      </w:r>
      <w:proofErr w:type="spellStart"/>
      <w:r w:rsidRPr="00AF5681">
        <w:rPr>
          <w:rFonts w:cs="DejaVuSerifCondensed"/>
          <w:sz w:val="20"/>
          <w:szCs w:val="20"/>
          <w:lang w:val="pl-PL"/>
        </w:rPr>
        <w:t>nm</w:t>
      </w:r>
      <w:proofErr w:type="spellEnd"/>
      <w:r w:rsidRPr="00AF5681">
        <w:rPr>
          <w:rFonts w:cs="DejaVuSerifCondensed"/>
          <w:sz w:val="20"/>
          <w:szCs w:val="20"/>
          <w:lang w:val="pl-PL"/>
        </w:rPr>
        <w:t xml:space="preserve"> dla długości fali 435 </w:t>
      </w:r>
      <w:proofErr w:type="spellStart"/>
      <w:r w:rsidRPr="00AF5681">
        <w:rPr>
          <w:rFonts w:cs="DejaVuSerifCondensed"/>
          <w:sz w:val="20"/>
          <w:szCs w:val="20"/>
          <w:lang w:val="pl-PL"/>
        </w:rPr>
        <w:t>nm</w:t>
      </w:r>
      <w:bookmarkStart w:id="4" w:name="_Hlk78205462"/>
      <w:proofErr w:type="spellEnd"/>
      <w:r w:rsidRPr="00AF5681">
        <w:rPr>
          <w:rFonts w:cs="DejaVuSerifCondensed"/>
          <w:sz w:val="20"/>
          <w:szCs w:val="20"/>
          <w:lang w:val="pl-PL"/>
        </w:rPr>
        <w:t xml:space="preserve"> (siatka 1200 linii/mm, 500 </w:t>
      </w:r>
      <w:proofErr w:type="spellStart"/>
      <w:r w:rsidRPr="00AF5681">
        <w:rPr>
          <w:rFonts w:cs="DejaVuSerifCondensed"/>
          <w:sz w:val="20"/>
          <w:szCs w:val="20"/>
          <w:lang w:val="pl-PL"/>
        </w:rPr>
        <w:t>nm</w:t>
      </w:r>
      <w:proofErr w:type="spellEnd"/>
      <w:r w:rsidRPr="00AF5681">
        <w:rPr>
          <w:rFonts w:cs="DejaVuSerifCondensed"/>
          <w:sz w:val="20"/>
          <w:szCs w:val="20"/>
          <w:lang w:val="pl-PL"/>
        </w:rPr>
        <w:t>),</w:t>
      </w:r>
    </w:p>
    <w:bookmarkEnd w:id="4"/>
    <w:p w14:paraId="7CBFCCBD"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proofErr w:type="spellStart"/>
      <w:r w:rsidRPr="00AF5681">
        <w:rPr>
          <w:rFonts w:cs="DejaVuSerifCondensed"/>
          <w:sz w:val="20"/>
          <w:szCs w:val="20"/>
          <w:lang w:val="pl-PL"/>
        </w:rPr>
        <w:lastRenderedPageBreak/>
        <w:t>asygmatyzm</w:t>
      </w:r>
      <w:proofErr w:type="spellEnd"/>
      <w:r w:rsidRPr="00AF5681">
        <w:rPr>
          <w:rFonts w:cs="DejaVuSerifCondensed"/>
          <w:sz w:val="20"/>
          <w:szCs w:val="20"/>
          <w:lang w:val="pl-PL"/>
        </w:rPr>
        <w:t>: ≤100 µm (w płaszczyźnie ogniskowej o szerokości 27 mm),</w:t>
      </w:r>
    </w:p>
    <w:p w14:paraId="651E6C3D"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 xml:space="preserve">korekcja komy: dla 500 </w:t>
      </w:r>
      <w:proofErr w:type="spellStart"/>
      <w:r w:rsidRPr="00AF5681">
        <w:rPr>
          <w:rFonts w:cs="DejaVuSerifCondensed"/>
          <w:sz w:val="20"/>
          <w:szCs w:val="20"/>
          <w:lang w:val="pl-PL"/>
        </w:rPr>
        <w:t>nm</w:t>
      </w:r>
      <w:proofErr w:type="spellEnd"/>
      <w:r w:rsidRPr="00AF5681">
        <w:rPr>
          <w:rFonts w:cs="DejaVuSerifCondensed"/>
          <w:sz w:val="20"/>
          <w:szCs w:val="20"/>
          <w:lang w:val="pl-PL"/>
        </w:rPr>
        <w:t xml:space="preserve"> (siatka 1200 linii/mm, 500 </w:t>
      </w:r>
      <w:proofErr w:type="spellStart"/>
      <w:r w:rsidRPr="00AF5681">
        <w:rPr>
          <w:rFonts w:cs="DejaVuSerifCondensed"/>
          <w:sz w:val="20"/>
          <w:szCs w:val="20"/>
          <w:lang w:val="pl-PL"/>
        </w:rPr>
        <w:t>nm</w:t>
      </w:r>
      <w:proofErr w:type="spellEnd"/>
      <w:r w:rsidRPr="00AF5681">
        <w:rPr>
          <w:rFonts w:cs="DejaVuSerifCondensed"/>
          <w:sz w:val="20"/>
          <w:szCs w:val="20"/>
          <w:lang w:val="pl-PL"/>
        </w:rPr>
        <w:t>),</w:t>
      </w:r>
    </w:p>
    <w:p w14:paraId="5B2B4A7B"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zmotoryzowany zmieniacz (</w:t>
      </w:r>
      <w:proofErr w:type="spellStart"/>
      <w:r w:rsidRPr="00AF5681">
        <w:rPr>
          <w:rFonts w:cs="DejaVuSerifCondensed"/>
          <w:sz w:val="20"/>
          <w:szCs w:val="20"/>
          <w:lang w:val="pl-PL"/>
        </w:rPr>
        <w:t>turret</w:t>
      </w:r>
      <w:proofErr w:type="spellEnd"/>
      <w:r w:rsidRPr="00AF5681">
        <w:rPr>
          <w:rFonts w:cs="DejaVuSerifCondensed"/>
          <w:sz w:val="20"/>
          <w:szCs w:val="20"/>
          <w:lang w:val="pl-PL"/>
        </w:rPr>
        <w:t>) akceptujący trójpozycyjny wymienny uchwyt z siatkami dyfrakcyjnymi; wybór siatki z poziomu oprogramowania systemu CL,</w:t>
      </w:r>
    </w:p>
    <w:p w14:paraId="26D54739"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zmotoryzowane szczeliny wejściowe i wyjściowe o rozstawie sterowanym z poziomu oprogramowania systemu CL,</w:t>
      </w:r>
    </w:p>
    <w:p w14:paraId="5F1A16D1"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achromatyczna optyka ogniskująca przed szczeliną wejściową.</w:t>
      </w:r>
    </w:p>
    <w:p w14:paraId="06EA4A36"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Siatki </w:t>
      </w:r>
      <w:bookmarkStart w:id="5" w:name="_Hlk78203469"/>
      <w:r w:rsidRPr="00AF5681">
        <w:rPr>
          <w:rFonts w:cs="DejaVuSerifCondensed"/>
          <w:sz w:val="20"/>
          <w:szCs w:val="20"/>
          <w:lang w:val="pl-PL"/>
        </w:rPr>
        <w:t>dyfrakcyjne i ich uchwyty:</w:t>
      </w:r>
    </w:p>
    <w:p w14:paraId="652DBDE0"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uchwyt z zestawem trzech siatek dyfrakcyjnych</w:t>
      </w:r>
      <w:bookmarkEnd w:id="5"/>
      <w:r w:rsidRPr="00AF5681">
        <w:rPr>
          <w:rFonts w:cs="DejaVuSerifCondensed"/>
          <w:sz w:val="20"/>
          <w:szCs w:val="20"/>
          <w:lang w:val="pl-PL"/>
        </w:rPr>
        <w:t xml:space="preserve">: </w:t>
      </w:r>
      <w:bookmarkStart w:id="6" w:name="_Hlk78202029"/>
      <w:r w:rsidRPr="00AF5681">
        <w:rPr>
          <w:rFonts w:cs="DejaVuSerifCondensed"/>
          <w:sz w:val="20"/>
          <w:szCs w:val="20"/>
          <w:lang w:val="pl-PL"/>
        </w:rPr>
        <w:t xml:space="preserve">(i) 300 </w:t>
      </w:r>
      <w:bookmarkStart w:id="7" w:name="_Hlk78201795"/>
      <w:r w:rsidRPr="00AF5681">
        <w:rPr>
          <w:rFonts w:cs="DejaVuSerifCondensed"/>
          <w:sz w:val="20"/>
          <w:szCs w:val="20"/>
          <w:lang w:val="pl-PL"/>
        </w:rPr>
        <w:t>linii/mm o maks. wydajności dla 500 </w:t>
      </w:r>
      <w:proofErr w:type="spellStart"/>
      <w:r w:rsidRPr="00AF5681">
        <w:rPr>
          <w:rFonts w:cs="DejaVuSerifCondensed"/>
          <w:sz w:val="20"/>
          <w:szCs w:val="20"/>
          <w:lang w:val="pl-PL"/>
        </w:rPr>
        <w:t>nm</w:t>
      </w:r>
      <w:proofErr w:type="spellEnd"/>
      <w:r w:rsidRPr="00AF5681">
        <w:rPr>
          <w:rFonts w:cs="DejaVuSerifCondensed"/>
          <w:sz w:val="20"/>
          <w:szCs w:val="20"/>
          <w:lang w:val="pl-PL"/>
        </w:rPr>
        <w:t xml:space="preserve">, </w:t>
      </w:r>
      <w:bookmarkEnd w:id="7"/>
      <w:r w:rsidRPr="00AF5681">
        <w:rPr>
          <w:rFonts w:cs="DejaVuSerifCondensed"/>
          <w:sz w:val="20"/>
          <w:szCs w:val="20"/>
          <w:lang w:val="pl-PL"/>
        </w:rPr>
        <w:t>(ii) 1200 linii/mm o maks. wydajności dla 500 </w:t>
      </w:r>
      <w:proofErr w:type="spellStart"/>
      <w:r w:rsidRPr="00AF5681">
        <w:rPr>
          <w:rFonts w:cs="DejaVuSerifCondensed"/>
          <w:sz w:val="20"/>
          <w:szCs w:val="20"/>
          <w:lang w:val="pl-PL"/>
        </w:rPr>
        <w:t>nm</w:t>
      </w:r>
      <w:proofErr w:type="spellEnd"/>
      <w:r w:rsidRPr="00AF5681">
        <w:rPr>
          <w:rFonts w:cs="DejaVuSerifCondensed"/>
          <w:sz w:val="20"/>
          <w:szCs w:val="20"/>
          <w:lang w:val="pl-PL"/>
        </w:rPr>
        <w:t>, (iii) 600 linii/mm o maks. wydajności dla 300 </w:t>
      </w:r>
      <w:proofErr w:type="spellStart"/>
      <w:r w:rsidRPr="00AF5681">
        <w:rPr>
          <w:rFonts w:cs="DejaVuSerifCondensed"/>
          <w:sz w:val="20"/>
          <w:szCs w:val="20"/>
          <w:lang w:val="pl-PL"/>
        </w:rPr>
        <w:t>nm</w:t>
      </w:r>
      <w:proofErr w:type="spellEnd"/>
      <w:r w:rsidRPr="00AF5681">
        <w:rPr>
          <w:rFonts w:cs="DejaVuSerifCondensed"/>
          <w:sz w:val="20"/>
          <w:szCs w:val="20"/>
          <w:lang w:val="pl-PL"/>
        </w:rPr>
        <w:t>,</w:t>
      </w:r>
      <w:bookmarkEnd w:id="6"/>
    </w:p>
    <w:p w14:paraId="26DA266C"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drugi uchwyt z trzema siatkami dyfrakcyjnymi: (i) 300 linii/mm o maks. wydajności dla 1000 </w:t>
      </w:r>
      <w:proofErr w:type="spellStart"/>
      <w:r w:rsidRPr="00AF5681">
        <w:rPr>
          <w:rFonts w:cs="DejaVuSerifCondensed"/>
          <w:sz w:val="20"/>
          <w:szCs w:val="20"/>
          <w:lang w:val="pl-PL"/>
        </w:rPr>
        <w:t>nm</w:t>
      </w:r>
      <w:proofErr w:type="spellEnd"/>
      <w:r w:rsidRPr="00AF5681">
        <w:rPr>
          <w:rFonts w:cs="DejaVuSerifCondensed"/>
          <w:sz w:val="20"/>
          <w:szCs w:val="20"/>
          <w:lang w:val="pl-PL"/>
        </w:rPr>
        <w:t>, (ii) 600 linii/mm o maks. wydajności dla 1600 </w:t>
      </w:r>
      <w:proofErr w:type="spellStart"/>
      <w:r w:rsidRPr="00AF5681">
        <w:rPr>
          <w:rFonts w:cs="DejaVuSerifCondensed"/>
          <w:sz w:val="20"/>
          <w:szCs w:val="20"/>
          <w:lang w:val="pl-PL"/>
        </w:rPr>
        <w:t>nm</w:t>
      </w:r>
      <w:proofErr w:type="spellEnd"/>
      <w:r w:rsidRPr="00AF5681">
        <w:rPr>
          <w:rFonts w:cs="DejaVuSerifCondensed"/>
          <w:sz w:val="20"/>
          <w:szCs w:val="20"/>
          <w:lang w:val="pl-PL"/>
        </w:rPr>
        <w:t>, (iii) 300 linii/mm o maks. wydajności dla 2000 nm.</w:t>
      </w:r>
    </w:p>
    <w:p w14:paraId="1A00D43B"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Oprogramowanie sterujące do akwizycji widm CL i obrazów CL we wszystkich trybach pracy wraz z akwizycją i jednoczesnym wyświetlaniem obrazów SEM. Oprogramowanie musi zawierać wbudowane procedury automatycznego justowania i centrowania systemu.</w:t>
      </w:r>
    </w:p>
    <w:p w14:paraId="2CDA8A7D"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Oprogramowanie analityczne do obróbki danych pomiarowych, w tym:</w:t>
      </w:r>
    </w:p>
    <w:p w14:paraId="56FFB9F2"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automatycznej korekcji sygnałów CL o krzywe odpowiedzi detektorów i charakterystyki siatek dyfrakcyjnych,</w:t>
      </w:r>
    </w:p>
    <w:p w14:paraId="2B8D5F45"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tworzenie obrazów SI po akwizycji w wybranych przez operatora zakresach widmowych i ich wyświetlanie,</w:t>
      </w:r>
    </w:p>
    <w:p w14:paraId="698C922F" w14:textId="77777777" w:rsidR="00B716A8" w:rsidRPr="00AF5681" w:rsidRDefault="00B716A8" w:rsidP="00B716A8">
      <w:pPr>
        <w:pStyle w:val="Akapitzlist"/>
        <w:numPr>
          <w:ilvl w:val="1"/>
          <w:numId w:val="12"/>
        </w:numPr>
        <w:autoSpaceDE w:val="0"/>
        <w:autoSpaceDN w:val="0"/>
        <w:adjustRightInd w:val="0"/>
        <w:spacing w:after="0" w:line="240" w:lineRule="auto"/>
        <w:ind w:left="851"/>
        <w:jc w:val="both"/>
        <w:rPr>
          <w:rFonts w:cs="DejaVuSerifCondensed"/>
          <w:sz w:val="20"/>
          <w:szCs w:val="20"/>
          <w:lang w:val="pl-PL"/>
        </w:rPr>
      </w:pPr>
      <w:r w:rsidRPr="00AF5681">
        <w:rPr>
          <w:rFonts w:cs="DejaVuSerifCondensed"/>
          <w:sz w:val="20"/>
          <w:szCs w:val="20"/>
          <w:lang w:val="pl-PL"/>
        </w:rPr>
        <w:t xml:space="preserve">algorytmy </w:t>
      </w:r>
      <w:proofErr w:type="spellStart"/>
      <w:r w:rsidRPr="00AF5681">
        <w:rPr>
          <w:rFonts w:cs="DejaVuSerifCondensed"/>
          <w:sz w:val="20"/>
          <w:szCs w:val="20"/>
          <w:lang w:val="pl-PL"/>
        </w:rPr>
        <w:t>dekonwolucji</w:t>
      </w:r>
      <w:proofErr w:type="spellEnd"/>
      <w:r w:rsidRPr="00AF5681">
        <w:rPr>
          <w:rFonts w:cs="DejaVuSerifCondensed"/>
          <w:sz w:val="20"/>
          <w:szCs w:val="20"/>
          <w:lang w:val="pl-PL"/>
        </w:rPr>
        <w:t xml:space="preserve"> widm CL.</w:t>
      </w:r>
    </w:p>
    <w:p w14:paraId="50D11726" w14:textId="1DA39EE8"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Ze względu na ingerencję w ustrój mikroskopu Quanta 650F konieczność zapewnienia obecności autoryzowanego serwisu tego mikroskopu na czas instalacji. Koszty serwisu należy wliczyć w </w:t>
      </w:r>
      <w:r w:rsidR="00255B3C">
        <w:rPr>
          <w:rFonts w:cs="DejaVuSerifCondensed"/>
          <w:sz w:val="20"/>
          <w:szCs w:val="20"/>
          <w:lang w:val="pl-PL"/>
        </w:rPr>
        <w:t xml:space="preserve">cenę </w:t>
      </w:r>
      <w:r w:rsidRPr="00AF5681">
        <w:rPr>
          <w:rFonts w:cs="DejaVuSerifCondensed"/>
          <w:sz w:val="20"/>
          <w:szCs w:val="20"/>
          <w:lang w:val="pl-PL"/>
        </w:rPr>
        <w:t>ofert</w:t>
      </w:r>
      <w:r w:rsidR="00255B3C">
        <w:rPr>
          <w:rFonts w:cs="DejaVuSerifCondensed"/>
          <w:sz w:val="20"/>
          <w:szCs w:val="20"/>
          <w:lang w:val="pl-PL"/>
        </w:rPr>
        <w:t>y</w:t>
      </w:r>
      <w:r w:rsidRPr="00AF5681">
        <w:rPr>
          <w:rFonts w:cs="DejaVuSerifCondensed"/>
          <w:sz w:val="20"/>
          <w:szCs w:val="20"/>
          <w:lang w:val="pl-PL"/>
        </w:rPr>
        <w:t>.</w:t>
      </w:r>
    </w:p>
    <w:p w14:paraId="0071F33C"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Szkolenie obsługowe w trakcie instalacji dla minimum 3 operatorów.</w:t>
      </w:r>
    </w:p>
    <w:p w14:paraId="2E8D03E3" w14:textId="77777777"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Minimum dwudniowe szkolenie aplikacyjne w miejscu instalacji dla min. 3 operatorów. Dopuszcza się szkolenie zdalne.</w:t>
      </w:r>
    </w:p>
    <w:p w14:paraId="72DAF30E" w14:textId="2913E241" w:rsidR="00B716A8" w:rsidRPr="00AF5681" w:rsidRDefault="00B716A8" w:rsidP="00B716A8">
      <w:pPr>
        <w:pStyle w:val="Akapitzlist"/>
        <w:numPr>
          <w:ilvl w:val="0"/>
          <w:numId w:val="12"/>
        </w:numPr>
        <w:autoSpaceDE w:val="0"/>
        <w:autoSpaceDN w:val="0"/>
        <w:adjustRightInd w:val="0"/>
        <w:spacing w:after="0" w:line="240" w:lineRule="auto"/>
        <w:jc w:val="both"/>
        <w:rPr>
          <w:rFonts w:cs="DejaVuSerifCondensed"/>
          <w:sz w:val="20"/>
          <w:szCs w:val="20"/>
          <w:lang w:val="pl-PL"/>
        </w:rPr>
      </w:pPr>
      <w:r w:rsidRPr="00AF5681">
        <w:rPr>
          <w:rFonts w:cs="DejaVuSerifCondensed"/>
          <w:sz w:val="20"/>
          <w:szCs w:val="20"/>
          <w:lang w:val="pl-PL"/>
        </w:rPr>
        <w:t xml:space="preserve">Gwarancja </w:t>
      </w:r>
      <w:r w:rsidR="00255B3C">
        <w:rPr>
          <w:rFonts w:cs="DejaVuSerifCondensed"/>
          <w:sz w:val="20"/>
          <w:szCs w:val="20"/>
          <w:lang w:val="pl-PL"/>
        </w:rPr>
        <w:t>min. 12 miesięcy</w:t>
      </w:r>
      <w:r w:rsidRPr="00AF5681">
        <w:rPr>
          <w:rFonts w:cs="DejaVuSerifCondensed"/>
          <w:sz w:val="20"/>
          <w:szCs w:val="20"/>
          <w:lang w:val="pl-PL"/>
        </w:rPr>
        <w:t>.</w:t>
      </w:r>
    </w:p>
    <w:p w14:paraId="54AB5263" w14:textId="77777777" w:rsidR="00B716A8" w:rsidRPr="00AF5681" w:rsidRDefault="00B716A8" w:rsidP="00B716A8">
      <w:pPr>
        <w:autoSpaceDE w:val="0"/>
        <w:autoSpaceDN w:val="0"/>
        <w:adjustRightInd w:val="0"/>
        <w:spacing w:after="0" w:line="240" w:lineRule="auto"/>
        <w:rPr>
          <w:rFonts w:cs="DejaVuSerifCondensed"/>
          <w:szCs w:val="20"/>
        </w:rPr>
      </w:pPr>
    </w:p>
    <w:p w14:paraId="4BE9D8CE" w14:textId="665A5E64" w:rsidR="00B716A8" w:rsidRPr="00AF5681" w:rsidRDefault="00B716A8" w:rsidP="00B716A8">
      <w:pPr>
        <w:numPr>
          <w:ilvl w:val="0"/>
          <w:numId w:val="11"/>
        </w:numPr>
        <w:spacing w:after="0" w:line="276" w:lineRule="auto"/>
        <w:ind w:left="-993" w:firstLine="0"/>
        <w:contextualSpacing/>
        <w:jc w:val="left"/>
        <w:rPr>
          <w:rFonts w:eastAsia="Verdana" w:cs="Times New Roman"/>
          <w:b/>
          <w:bCs/>
          <w:color w:val="auto"/>
          <w:spacing w:val="0"/>
          <w:szCs w:val="20"/>
        </w:rPr>
      </w:pPr>
      <w:r w:rsidRPr="00AF5681">
        <w:rPr>
          <w:rFonts w:eastAsia="Verdana" w:cs="Times New Roman"/>
          <w:b/>
          <w:bCs/>
          <w:color w:val="auto"/>
          <w:spacing w:val="0"/>
          <w:szCs w:val="20"/>
        </w:rPr>
        <w:t xml:space="preserve">Serwis w okresie pogwarancyjnym </w:t>
      </w:r>
    </w:p>
    <w:p w14:paraId="491AFD61" w14:textId="77777777" w:rsidR="00532F28" w:rsidRPr="00AF5681" w:rsidRDefault="00532F28" w:rsidP="00532F28">
      <w:pPr>
        <w:spacing w:after="0" w:line="276" w:lineRule="auto"/>
        <w:ind w:left="-993"/>
        <w:contextualSpacing/>
        <w:jc w:val="left"/>
        <w:rPr>
          <w:rFonts w:eastAsia="Verdana" w:cs="Times New Roman"/>
          <w:b/>
          <w:bCs/>
          <w:color w:val="auto"/>
          <w:spacing w:val="0"/>
          <w:szCs w:val="20"/>
        </w:rPr>
      </w:pPr>
    </w:p>
    <w:p w14:paraId="080DEBD1" w14:textId="77777777" w:rsidR="00940291" w:rsidRDefault="00940291" w:rsidP="00940291">
      <w:pPr>
        <w:pStyle w:val="Adreszwrotnynakopercie"/>
        <w:jc w:val="both"/>
        <w:rPr>
          <w:rFonts w:ascii="Verdana" w:eastAsia="Verdana" w:hAnsi="Verdana" w:cs="Tahoma"/>
          <w:color w:val="000000" w:themeColor="background1"/>
          <w:spacing w:val="4"/>
          <w:sz w:val="20"/>
          <w:lang w:eastAsia="en-US"/>
        </w:rPr>
      </w:pPr>
      <w:r>
        <w:rPr>
          <w:rFonts w:ascii="Verdana" w:eastAsia="Verdana" w:hAnsi="Verdana" w:cs="Tahoma"/>
          <w:color w:val="000000" w:themeColor="background1"/>
          <w:spacing w:val="4"/>
          <w:sz w:val="20"/>
          <w:lang w:eastAsia="en-US"/>
        </w:rPr>
        <w:t>Warunki serwisu pogwarancyjnego:</w:t>
      </w:r>
    </w:p>
    <w:p w14:paraId="191C5AD0" w14:textId="77777777" w:rsidR="00940291" w:rsidRDefault="00940291" w:rsidP="00940291">
      <w:pPr>
        <w:pStyle w:val="Adreszwrotnynakopercie"/>
        <w:jc w:val="both"/>
        <w:rPr>
          <w:rFonts w:ascii="Verdana" w:eastAsia="Verdana" w:hAnsi="Verdana" w:cs="Tahoma"/>
          <w:color w:val="000000" w:themeColor="background1"/>
          <w:spacing w:val="4"/>
          <w:sz w:val="20"/>
          <w:lang w:eastAsia="en-US"/>
        </w:rPr>
      </w:pPr>
      <w:r>
        <w:rPr>
          <w:rFonts w:ascii="Verdana" w:eastAsia="Verdana" w:hAnsi="Verdana" w:cs="Tahoma"/>
          <w:color w:val="000000" w:themeColor="background1"/>
          <w:spacing w:val="4"/>
          <w:sz w:val="20"/>
          <w:lang w:eastAsia="en-US"/>
        </w:rPr>
        <w:t>1. Co najmniej 5 lat od dnia upływu okresu Gwarancji, w tym czasie gwarantowana jest dostępność części zamiennych.</w:t>
      </w:r>
    </w:p>
    <w:p w14:paraId="6FD4A5A4" w14:textId="77777777" w:rsidR="00940291" w:rsidRDefault="00940291" w:rsidP="00940291">
      <w:pPr>
        <w:pStyle w:val="Adreszwrotnynakopercie"/>
        <w:jc w:val="both"/>
        <w:rPr>
          <w:rFonts w:ascii="Verdana" w:eastAsia="Verdana" w:hAnsi="Verdana" w:cs="Tahoma"/>
          <w:color w:val="000000" w:themeColor="background1"/>
          <w:spacing w:val="4"/>
          <w:sz w:val="20"/>
          <w:lang w:eastAsia="en-US"/>
        </w:rPr>
      </w:pPr>
      <w:r>
        <w:rPr>
          <w:rFonts w:ascii="Verdana" w:eastAsia="Verdana" w:hAnsi="Verdana" w:cs="Tahoma"/>
          <w:color w:val="000000" w:themeColor="background1"/>
          <w:spacing w:val="4"/>
          <w:sz w:val="20"/>
          <w:lang w:eastAsia="en-US"/>
        </w:rPr>
        <w:t xml:space="preserve">2. 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48 h.  </w:t>
      </w:r>
    </w:p>
    <w:p w14:paraId="4BE37ABD" w14:textId="77777777" w:rsidR="00940291" w:rsidRDefault="00940291" w:rsidP="00940291">
      <w:pPr>
        <w:pStyle w:val="Adreszwrotnynakopercie"/>
        <w:jc w:val="both"/>
        <w:rPr>
          <w:rFonts w:ascii="Verdana" w:eastAsia="Verdana" w:hAnsi="Verdana" w:cs="Tahoma"/>
          <w:color w:val="000000" w:themeColor="background1"/>
          <w:spacing w:val="4"/>
          <w:sz w:val="20"/>
          <w:lang w:eastAsia="en-US"/>
        </w:rPr>
      </w:pPr>
      <w:r>
        <w:rPr>
          <w:rFonts w:ascii="Verdana" w:eastAsia="Verdana" w:hAnsi="Verdana" w:cs="Tahoma"/>
          <w:color w:val="000000" w:themeColor="background1"/>
          <w:spacing w:val="4"/>
          <w:sz w:val="20"/>
          <w:lang w:eastAsia="en-US"/>
        </w:rPr>
        <w:t>3. Maksymalny Czas Naprawy wynosi 45 dni od momentu oficjalnego momentu potwierdzenia warunków i kosztów naprawy przez PORT.</w:t>
      </w:r>
    </w:p>
    <w:p w14:paraId="6CCE8040" w14:textId="77777777" w:rsidR="00532F28" w:rsidRPr="00AF5681" w:rsidRDefault="00532F28" w:rsidP="00532F28">
      <w:pPr>
        <w:spacing w:after="0" w:line="276" w:lineRule="auto"/>
        <w:ind w:left="-993" w:firstLine="993"/>
        <w:rPr>
          <w:rFonts w:eastAsia="Verdana" w:cs="Times New Roman"/>
          <w:bCs/>
          <w:color w:val="auto"/>
          <w:spacing w:val="0"/>
          <w:szCs w:val="20"/>
        </w:rPr>
      </w:pPr>
    </w:p>
    <w:p w14:paraId="607936DA" w14:textId="6264F06C" w:rsidR="00B716A8" w:rsidRPr="00AF5681" w:rsidRDefault="00B716A8" w:rsidP="00B716A8">
      <w:pPr>
        <w:numPr>
          <w:ilvl w:val="0"/>
          <w:numId w:val="11"/>
        </w:numPr>
        <w:spacing w:after="200" w:line="276" w:lineRule="auto"/>
        <w:ind w:left="-993" w:firstLine="0"/>
        <w:contextualSpacing/>
        <w:jc w:val="left"/>
        <w:rPr>
          <w:rFonts w:eastAsia="Verdana" w:cs="Times New Roman"/>
          <w:color w:val="auto"/>
          <w:spacing w:val="0"/>
          <w:szCs w:val="20"/>
        </w:rPr>
      </w:pPr>
      <w:r w:rsidRPr="00AF5681">
        <w:rPr>
          <w:rFonts w:eastAsia="Verdana" w:cs="Times New Roman"/>
          <w:b/>
          <w:bCs/>
          <w:color w:val="auto"/>
          <w:spacing w:val="0"/>
          <w:szCs w:val="20"/>
        </w:rPr>
        <w:t xml:space="preserve">Serwis w okresie gwarancyjnym ma obejmować: </w:t>
      </w:r>
    </w:p>
    <w:p w14:paraId="37FFD656" w14:textId="77777777" w:rsidR="00532F28" w:rsidRPr="00AF5681" w:rsidRDefault="00532F28" w:rsidP="00532F28">
      <w:pPr>
        <w:spacing w:after="200" w:line="276" w:lineRule="auto"/>
        <w:ind w:left="-993" w:firstLine="993"/>
        <w:contextualSpacing/>
        <w:jc w:val="left"/>
        <w:rPr>
          <w:rFonts w:eastAsia="Verdana" w:cs="Times New Roman"/>
          <w:color w:val="auto"/>
          <w:spacing w:val="0"/>
          <w:szCs w:val="20"/>
        </w:rPr>
      </w:pPr>
    </w:p>
    <w:p w14:paraId="319F8EAF" w14:textId="1D257FC3" w:rsidR="005E65BB" w:rsidRPr="00AF5681" w:rsidRDefault="00532F28" w:rsidP="009E69B4">
      <w:pPr>
        <w:spacing w:after="200" w:line="276" w:lineRule="auto"/>
        <w:contextualSpacing/>
        <w:jc w:val="left"/>
        <w:rPr>
          <w:szCs w:val="20"/>
        </w:rPr>
      </w:pPr>
      <w:r w:rsidRPr="00AF5681">
        <w:rPr>
          <w:rFonts w:eastAsia="Verdana" w:cs="Times New Roman"/>
          <w:color w:val="auto"/>
          <w:spacing w:val="0"/>
          <w:szCs w:val="20"/>
        </w:rPr>
        <w:t>Wszelkie prace zapewniające prawidłowe funkcjonowanie, najwyższą możliwą jakość pomiaru i ciągłość pracy sprzętu.</w:t>
      </w:r>
    </w:p>
    <w:sectPr w:rsidR="005E65BB" w:rsidRPr="00AF5681" w:rsidSect="009E69B4">
      <w:headerReference w:type="default" r:id="rId8"/>
      <w:footerReference w:type="default" r:id="rId9"/>
      <w:footerReference w:type="first" r:id="rId10"/>
      <w:pgSz w:w="11906" w:h="16838" w:code="9"/>
      <w:pgMar w:top="2127"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CB7D" w14:textId="77777777" w:rsidR="0037195C" w:rsidRDefault="0037195C" w:rsidP="006747BD">
      <w:pPr>
        <w:spacing w:after="0" w:line="240" w:lineRule="auto"/>
      </w:pPr>
      <w:r>
        <w:separator/>
      </w:r>
    </w:p>
  </w:endnote>
  <w:endnote w:type="continuationSeparator" w:id="0">
    <w:p w14:paraId="32BECFF4" w14:textId="77777777" w:rsidR="0037195C" w:rsidRDefault="0037195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DejaVuSerifCondense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162B4EC" w14:textId="77777777" w:rsidR="00CF01C2" w:rsidRDefault="00CF01C2">
            <w:pPr>
              <w:pStyle w:val="Stopka"/>
            </w:pPr>
          </w:p>
          <w:p w14:paraId="42C373DD" w14:textId="77777777" w:rsidR="002C5CFA" w:rsidRDefault="00791C1D">
            <w:pPr>
              <w:pStyle w:val="Stopka"/>
            </w:pPr>
            <w:r>
              <w:rPr>
                <w:noProof/>
                <w:lang w:eastAsia="pl-PL"/>
              </w:rPr>
              <w:drawing>
                <wp:inline distT="0" distB="0" distL="0" distR="0" wp14:anchorId="4709B504" wp14:editId="393DCF36">
                  <wp:extent cx="5111506" cy="66387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5F40AC9E" w14:textId="77777777" w:rsidR="002C5CFA" w:rsidRDefault="002C5CFA">
            <w:pPr>
              <w:pStyle w:val="Stopka"/>
            </w:pPr>
          </w:p>
          <w:p w14:paraId="4F2B0BB4"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C5EC2">
              <w:rPr>
                <w:bCs/>
                <w:noProof/>
              </w:rPr>
              <w:t>4</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C5EC2">
              <w:rPr>
                <w:bCs/>
                <w:noProof/>
              </w:rPr>
              <w:t>5</w:t>
            </w:r>
            <w:r>
              <w:rPr>
                <w:b w:val="0"/>
                <w:bCs/>
                <w:sz w:val="24"/>
                <w:szCs w:val="24"/>
              </w:rPr>
              <w:fldChar w:fldCharType="end"/>
            </w:r>
          </w:p>
        </w:sdtContent>
      </w:sdt>
    </w:sdtContent>
  </w:sdt>
  <w:p w14:paraId="416CDE3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C833970" wp14:editId="013F773A">
          <wp:simplePos x="0" y="0"/>
          <wp:positionH relativeFrom="column">
            <wp:posOffset>4589780</wp:posOffset>
          </wp:positionH>
          <wp:positionV relativeFrom="page">
            <wp:posOffset>9825990</wp:posOffset>
          </wp:positionV>
          <wp:extent cx="1231200" cy="8496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ACD9128" wp14:editId="3B46A85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0B5CE54" w14:textId="77777777" w:rsidR="00A4666C" w:rsidRDefault="00A4666C" w:rsidP="00A4666C">
                          <w:pPr>
                            <w:pStyle w:val="LukStopka-adres"/>
                          </w:pPr>
                          <w:r>
                            <w:t>Sieć Badawcza Łukasiewicz – PORT Polski Ośrodek Rozwoju Technologii</w:t>
                          </w:r>
                        </w:p>
                        <w:p w14:paraId="79B93E7C" w14:textId="77777777" w:rsidR="00A4666C" w:rsidRDefault="00A4666C" w:rsidP="00A4666C">
                          <w:pPr>
                            <w:pStyle w:val="LukStopka-adres"/>
                          </w:pPr>
                          <w:r>
                            <w:t>54-066 Wrocław, ul. Stabłowicka 147, Tel: +48 71 734 77 77, Fax: +48 71 720 16 00</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CD912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0B5CE54" w14:textId="77777777" w:rsidR="00A4666C" w:rsidRDefault="00A4666C" w:rsidP="00A4666C">
                    <w:pPr>
                      <w:pStyle w:val="LukStopka-adres"/>
                    </w:pPr>
                    <w:r>
                      <w:t>Sieć Badawcza Łukasiewicz – PORT Polski Ośrodek Rozwoju Technologii</w:t>
                    </w:r>
                  </w:p>
                  <w:p w14:paraId="79B93E7C" w14:textId="77777777" w:rsidR="00A4666C" w:rsidRDefault="00A4666C" w:rsidP="00A4666C">
                    <w:pPr>
                      <w:pStyle w:val="LukStopka-adres"/>
                    </w:pPr>
                    <w:r>
                      <w:t>54-066 Wrocław, ul. Stabłowicka 147, Tel: +48 71 734 77 77, Fax: +48 71 720 16 00</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5AB3"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F306" w14:textId="77777777" w:rsidR="0037195C" w:rsidRDefault="0037195C" w:rsidP="006747BD">
      <w:pPr>
        <w:spacing w:after="0" w:line="240" w:lineRule="auto"/>
      </w:pPr>
      <w:r>
        <w:separator/>
      </w:r>
    </w:p>
  </w:footnote>
  <w:footnote w:type="continuationSeparator" w:id="0">
    <w:p w14:paraId="4BD5C240" w14:textId="77777777" w:rsidR="0037195C" w:rsidRDefault="0037195C"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579"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881BAA7" wp14:editId="23E298B9">
          <wp:simplePos x="0" y="0"/>
          <wp:positionH relativeFrom="column">
            <wp:posOffset>-1080135</wp:posOffset>
          </wp:positionH>
          <wp:positionV relativeFrom="page">
            <wp:posOffset>532765</wp:posOffset>
          </wp:positionV>
          <wp:extent cx="792000" cy="1609200"/>
          <wp:effectExtent l="0" t="0" r="825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F056F3"/>
    <w:multiLevelType w:val="hybridMultilevel"/>
    <w:tmpl w:val="BB2E5FB2"/>
    <w:lvl w:ilvl="0" w:tplc="04150019">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0B096B"/>
    <w:multiLevelType w:val="hybridMultilevel"/>
    <w:tmpl w:val="B0D8DDEE"/>
    <w:lvl w:ilvl="0" w:tplc="B4DA9F0C">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97687"/>
    <w:multiLevelType w:val="hybridMultilevel"/>
    <w:tmpl w:val="8062A288"/>
    <w:lvl w:ilvl="0" w:tplc="5F5247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4C445F"/>
    <w:multiLevelType w:val="hybridMultilevel"/>
    <w:tmpl w:val="76AAC48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70438"/>
    <w:rsid w:val="00077647"/>
    <w:rsid w:val="000D2F0F"/>
    <w:rsid w:val="00134929"/>
    <w:rsid w:val="001A0BD2"/>
    <w:rsid w:val="00231524"/>
    <w:rsid w:val="00255B3C"/>
    <w:rsid w:val="002C20CC"/>
    <w:rsid w:val="002C5CFA"/>
    <w:rsid w:val="002D48BE"/>
    <w:rsid w:val="002F4540"/>
    <w:rsid w:val="003317CA"/>
    <w:rsid w:val="00335F9F"/>
    <w:rsid w:val="00346C00"/>
    <w:rsid w:val="00354A18"/>
    <w:rsid w:val="0037195C"/>
    <w:rsid w:val="003C567B"/>
    <w:rsid w:val="003E17CC"/>
    <w:rsid w:val="003F4BA3"/>
    <w:rsid w:val="004B7072"/>
    <w:rsid w:val="004F5805"/>
    <w:rsid w:val="00526CDD"/>
    <w:rsid w:val="00532F28"/>
    <w:rsid w:val="005B2D5F"/>
    <w:rsid w:val="005D102F"/>
    <w:rsid w:val="005D1495"/>
    <w:rsid w:val="005E65BB"/>
    <w:rsid w:val="006747BD"/>
    <w:rsid w:val="006919BD"/>
    <w:rsid w:val="006C5EC2"/>
    <w:rsid w:val="006D6DE5"/>
    <w:rsid w:val="006E5990"/>
    <w:rsid w:val="006F645A"/>
    <w:rsid w:val="00764305"/>
    <w:rsid w:val="00791C1D"/>
    <w:rsid w:val="00805DF6"/>
    <w:rsid w:val="00821F16"/>
    <w:rsid w:val="008368C0"/>
    <w:rsid w:val="00842BD3"/>
    <w:rsid w:val="0084396A"/>
    <w:rsid w:val="008442CF"/>
    <w:rsid w:val="00854B7B"/>
    <w:rsid w:val="008C1729"/>
    <w:rsid w:val="008C75DD"/>
    <w:rsid w:val="008F027B"/>
    <w:rsid w:val="008F0B16"/>
    <w:rsid w:val="008F209D"/>
    <w:rsid w:val="00931555"/>
    <w:rsid w:val="00940291"/>
    <w:rsid w:val="0099379C"/>
    <w:rsid w:val="009D4C4D"/>
    <w:rsid w:val="009E69B4"/>
    <w:rsid w:val="00A10DD5"/>
    <w:rsid w:val="00A36F46"/>
    <w:rsid w:val="00A4666C"/>
    <w:rsid w:val="00A52C29"/>
    <w:rsid w:val="00AD748E"/>
    <w:rsid w:val="00AF5681"/>
    <w:rsid w:val="00B34FF5"/>
    <w:rsid w:val="00B61F8A"/>
    <w:rsid w:val="00B716A8"/>
    <w:rsid w:val="00C736D5"/>
    <w:rsid w:val="00CF01C2"/>
    <w:rsid w:val="00D005B3"/>
    <w:rsid w:val="00D06D36"/>
    <w:rsid w:val="00D40690"/>
    <w:rsid w:val="00DA52A1"/>
    <w:rsid w:val="00E97902"/>
    <w:rsid w:val="00ED7972"/>
    <w:rsid w:val="00EE493C"/>
    <w:rsid w:val="00EF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15DDA"/>
  <w15:docId w15:val="{A7A4855A-A099-4896-8A01-2B2B8869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B716A8"/>
    <w:pPr>
      <w:spacing w:after="160" w:line="259" w:lineRule="auto"/>
      <w:ind w:left="720"/>
      <w:contextualSpacing/>
      <w:jc w:val="left"/>
    </w:pPr>
    <w:rPr>
      <w:color w:val="auto"/>
      <w:spacing w:val="0"/>
      <w:sz w:val="22"/>
      <w:lang w:val="en-US"/>
    </w:rPr>
  </w:style>
  <w:style w:type="character" w:styleId="Odwoaniedokomentarza">
    <w:name w:val="annotation reference"/>
    <w:basedOn w:val="Domylnaczcionkaakapitu"/>
    <w:uiPriority w:val="99"/>
    <w:semiHidden/>
    <w:unhideWhenUsed/>
    <w:rsid w:val="00255B3C"/>
    <w:rPr>
      <w:sz w:val="16"/>
      <w:szCs w:val="16"/>
    </w:rPr>
  </w:style>
  <w:style w:type="paragraph" w:styleId="Tekstkomentarza">
    <w:name w:val="annotation text"/>
    <w:basedOn w:val="Normalny"/>
    <w:link w:val="TekstkomentarzaZnak"/>
    <w:uiPriority w:val="99"/>
    <w:semiHidden/>
    <w:unhideWhenUsed/>
    <w:rsid w:val="00255B3C"/>
    <w:pPr>
      <w:spacing w:line="240" w:lineRule="auto"/>
    </w:pPr>
    <w:rPr>
      <w:szCs w:val="20"/>
    </w:rPr>
  </w:style>
  <w:style w:type="character" w:customStyle="1" w:styleId="TekstkomentarzaZnak">
    <w:name w:val="Tekst komentarza Znak"/>
    <w:basedOn w:val="Domylnaczcionkaakapitu"/>
    <w:link w:val="Tekstkomentarza"/>
    <w:uiPriority w:val="99"/>
    <w:semiHidden/>
    <w:rsid w:val="00255B3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255B3C"/>
    <w:rPr>
      <w:b/>
      <w:bCs/>
    </w:rPr>
  </w:style>
  <w:style w:type="character" w:customStyle="1" w:styleId="TematkomentarzaZnak">
    <w:name w:val="Temat komentarza Znak"/>
    <w:basedOn w:val="TekstkomentarzaZnak"/>
    <w:link w:val="Tematkomentarza"/>
    <w:uiPriority w:val="99"/>
    <w:semiHidden/>
    <w:rsid w:val="00255B3C"/>
    <w:rPr>
      <w:b/>
      <w:bCs/>
      <w:color w:val="000000" w:themeColor="background1"/>
      <w:spacing w:val="4"/>
      <w:sz w:val="20"/>
      <w:szCs w:val="20"/>
    </w:rPr>
  </w:style>
  <w:style w:type="paragraph" w:styleId="Adreszwrotnynakopercie">
    <w:name w:val="envelope return"/>
    <w:basedOn w:val="Normalny"/>
    <w:semiHidden/>
    <w:unhideWhenUsed/>
    <w:rsid w:val="00940291"/>
    <w:pPr>
      <w:spacing w:after="0" w:line="240" w:lineRule="auto"/>
      <w:jc w:val="left"/>
    </w:pPr>
    <w:rPr>
      <w:rFonts w:ascii="Arial" w:eastAsia="Times New Roman" w:hAnsi="Arial" w:cs="Times New Roman"/>
      <w:color w:val="auto"/>
      <w:spacing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61447902">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EC83-81D1-4408-AF5A-11C58336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6062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Marzena Krzymińska | Łukasiewicz - PORT Polski Ośrodek Rozwoju Technologii</cp:lastModifiedBy>
  <cp:revision>6</cp:revision>
  <cp:lastPrinted>2020-02-10T12:13:00Z</cp:lastPrinted>
  <dcterms:created xsi:type="dcterms:W3CDTF">2021-08-10T10:16:00Z</dcterms:created>
  <dcterms:modified xsi:type="dcterms:W3CDTF">2021-08-25T08:30:00Z</dcterms:modified>
</cp:coreProperties>
</file>