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CEFC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B8788AA" w14:textId="77777777" w:rsidR="005620F9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„Przebudowa ul. Komunalnej i Powstańców Wlkp. w Nowym Tomyślu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</w:p>
    <w:p w14:paraId="7992C9E8" w14:textId="77777777" w:rsidR="005620F9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0F58B58E" w14:textId="77777777" w:rsidR="005620F9" w:rsidRDefault="00000000">
      <w:pPr>
        <w:pStyle w:val="Akapitzlist"/>
        <w:spacing w:line="276" w:lineRule="auto"/>
        <w:ind w:left="36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1. 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Opracowanie dokumentacji projektowo-kosztorysowej p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rzebudowa ul. Komunalnej i Powstańców Wlkp. w Nowym Tomyślu</w:t>
      </w:r>
    </w:p>
    <w:p w14:paraId="5939CE31" w14:textId="77777777" w:rsidR="005620F9" w:rsidRDefault="005620F9">
      <w:pPr>
        <w:pStyle w:val="Akapitzlist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9A82431" w14:textId="68FF1D38" w:rsidR="005620F9" w:rsidRDefault="002E5174">
      <w:pPr>
        <w:pStyle w:val="Akapitzlist"/>
        <w:spacing w:line="276" w:lineRule="auto"/>
        <w:ind w:left="360"/>
        <w:contextualSpacing/>
        <w:jc w:val="both"/>
        <w:rPr>
          <w:rFonts w:hint="eastAsia"/>
          <w:b/>
          <w:bCs/>
        </w:rPr>
      </w:pPr>
      <w:bookmarkStart w:id="0" w:name="_Hlk12841388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Zadanie I – Przebudowa ul. Komunalnej w Nowym Tomyślu</w:t>
      </w:r>
    </w:p>
    <w:p w14:paraId="62811EFA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bookmarkStart w:id="1" w:name="__DdeLink__171_2754255579"/>
      <w:r>
        <w:rPr>
          <w:rFonts w:ascii="Times New Roman" w:hAnsi="Times New Roman" w:cs="Times New Roman"/>
        </w:rPr>
        <w:t>Zamówienie obejmuje:</w:t>
      </w:r>
      <w:bookmarkEnd w:id="1"/>
    </w:p>
    <w:p w14:paraId="0E8E38FC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frezowanie istniejącego utwardzenia drogi, rozbiórka chodników wraz  korytowaniem/ wymianą podbudowy w przypadku stwierdzenia konieczności</w:t>
      </w:r>
    </w:p>
    <w:p w14:paraId="012CDF10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utwardzonej nawierzchni asfaltowej,</w:t>
      </w:r>
    </w:p>
    <w:p w14:paraId="31760F2D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ciągu pieszo-rowerowego,</w:t>
      </w:r>
    </w:p>
    <w:p w14:paraId="19310B3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skrzyżowania z ul. Konopnickiej wraz z utworzeniem przejść dla pieszych,</w:t>
      </w:r>
    </w:p>
    <w:p w14:paraId="09870D9D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przebudowę skrzyżowania z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Powstańców Wlkp.</w:t>
      </w:r>
      <w:r>
        <w:rPr>
          <w:rFonts w:ascii="Times New Roman" w:hAnsi="Times New Roman" w:cs="Times New Roman"/>
        </w:rPr>
        <w:t xml:space="preserve"> wraz z utworzeniem przejścia dla pieszych i dojścia do marketu,</w:t>
      </w:r>
    </w:p>
    <w:p w14:paraId="1D2201B6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zjazdów (do granic własności działek),</w:t>
      </w:r>
    </w:p>
    <w:p w14:paraId="3CA871C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odwodnienia ulicy,</w:t>
      </w:r>
    </w:p>
    <w:p w14:paraId="2520D803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przebudowa miejsc parkingowych wzdłuż ulicy, </w:t>
      </w:r>
    </w:p>
    <w:p w14:paraId="780BB39E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kolidujących sieci uzbrojenia terenu podziemnego i nadziemnego w przypadku ich stwierdzenia,</w:t>
      </w:r>
    </w:p>
    <w:p w14:paraId="73F6AE0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wycinkę kolidujących drzew i krzewów,</w:t>
      </w:r>
    </w:p>
    <w:p w14:paraId="597E5512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zagospodarowanie terenów zielonych i ewentualne wykonanie nowych nasadzeń,</w:t>
      </w:r>
    </w:p>
    <w:p w14:paraId="5E92855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wymiana opraw oświetleniowych na energooszczędne w technologii LED,</w:t>
      </w:r>
    </w:p>
    <w:p w14:paraId="3612CA87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bookmarkStart w:id="2" w:name="__DdeLink__234_377721435"/>
      <w:r>
        <w:rPr>
          <w:rFonts w:ascii="Times New Roman" w:hAnsi="Times New Roman" w:cs="Times New Roman"/>
        </w:rPr>
        <w:t xml:space="preserve">organizację ruchu. </w:t>
      </w:r>
      <w:bookmarkEnd w:id="2"/>
    </w:p>
    <w:bookmarkEnd w:id="0"/>
    <w:p w14:paraId="09F0680D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 do: 04.09.2023r.</w:t>
      </w:r>
    </w:p>
    <w:p w14:paraId="66D46761" w14:textId="77777777" w:rsidR="005620F9" w:rsidRDefault="005620F9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7D8ED7F7" w14:textId="4E3DAFFE" w:rsidR="005620F9" w:rsidRDefault="002E5174">
      <w:pPr>
        <w:pStyle w:val="Akapitzlist"/>
        <w:spacing w:line="276" w:lineRule="auto"/>
        <w:ind w:left="360"/>
        <w:contextualSpacing/>
        <w:jc w:val="both"/>
        <w:rPr>
          <w:rFonts w:hint="eastAsia"/>
          <w:b/>
          <w:bCs/>
        </w:rPr>
      </w:pPr>
      <w:bookmarkStart w:id="3" w:name="_Hlk12841399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Zadanie II – Przebudowa ul. Powstańców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Wlkp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w Nowym Tomyślu</w:t>
      </w:r>
    </w:p>
    <w:p w14:paraId="6C0015DD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Zamówienie obejmuje:</w:t>
      </w:r>
    </w:p>
    <w:p w14:paraId="5A53B84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frezowanie istniejącego utwardzenia drogi, rozbiórka chodników wraz  korytowaniem/ wymianą podbudowy w przypadku stwierdzenia konieczności</w:t>
      </w:r>
    </w:p>
    <w:p w14:paraId="58D1FC92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utwardzonej nawierzchni asfaltowej,</w:t>
      </w:r>
    </w:p>
    <w:p w14:paraId="0AD35964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istniejących chodników,</w:t>
      </w:r>
    </w:p>
    <w:p w14:paraId="6918F777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budowę zjazdów (do granic własności działek),</w:t>
      </w:r>
    </w:p>
    <w:p w14:paraId="7DDA7B86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remont odwodnienia ulicy,</w:t>
      </w:r>
    </w:p>
    <w:p w14:paraId="41C1C814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przebudowę kolidujących sieci uzbrojenia terenu podziemnego i nadziemnego w przypadku ich stwierdzenia,,</w:t>
      </w:r>
    </w:p>
    <w:p w14:paraId="42257F9B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wymiana opraw oświetleniowych na energooszczędne w technologii LED,</w:t>
      </w:r>
    </w:p>
    <w:p w14:paraId="339D3D11" w14:textId="77777777" w:rsidR="005620F9" w:rsidRDefault="00000000">
      <w:pPr>
        <w:numPr>
          <w:ilvl w:val="0"/>
          <w:numId w:val="3"/>
        </w:numPr>
        <w:spacing w:line="276" w:lineRule="auto"/>
        <w:jc w:val="both"/>
        <w:rPr>
          <w:rFonts w:hint="eastAsia"/>
        </w:rPr>
      </w:pPr>
      <w:bookmarkStart w:id="4" w:name="__DdeLink__234_3777214351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organizację ruchu. </w:t>
      </w:r>
      <w:bookmarkEnd w:id="4"/>
    </w:p>
    <w:bookmarkEnd w:id="3"/>
    <w:p w14:paraId="323C9443" w14:textId="77777777" w:rsidR="005620F9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Termin realizacji do: 04.09.2023r.</w:t>
      </w:r>
    </w:p>
    <w:p w14:paraId="59109512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6C33BF5C" w14:textId="77777777" w:rsidR="005620F9" w:rsidRDefault="00000000">
      <w:pPr>
        <w:spacing w:line="276" w:lineRule="auto"/>
        <w:jc w:val="both"/>
        <w:rPr>
          <w:rFonts w:hint="eastAsia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 Kompletna dokumentacja projektowo – kosztorysowa powinna zawierać w szczególności:</w:t>
      </w:r>
    </w:p>
    <w:p w14:paraId="184114E0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bookmarkStart w:id="5" w:name="_Hlk128410808"/>
      <w:r>
        <w:rPr>
          <w:rFonts w:ascii="Times New Roman" w:hAnsi="Times New Roman" w:cs="Times New Roman"/>
        </w:rPr>
        <w:lastRenderedPageBreak/>
        <w:t>Zaktualizowane mapy do celów projektowych w skali 1:500 obejmujące cały projektowany odcinek,</w:t>
      </w:r>
    </w:p>
    <w:p w14:paraId="13CA90F2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Uzgodniony projekt branży drogowej z Zamawiającym,</w:t>
      </w:r>
    </w:p>
    <w:p w14:paraId="5D2756E6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Uzyskanie wszystkich niezbędnych decyzji, uzgodnień i opinii  do realizacji robót i zatwierdzenia dokumentacji,</w:t>
      </w:r>
    </w:p>
    <w:p w14:paraId="493D9E3B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Opracowanie specyfikacji technicznej wykonania i odbioru robót budowlanych,</w:t>
      </w:r>
    </w:p>
    <w:p w14:paraId="5BEC0DC1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Opracowanie przedmiarów i kosztorysów inwestorskich,</w:t>
      </w:r>
    </w:p>
    <w:p w14:paraId="09D89A88" w14:textId="77777777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Inne opracowania niezbędne do realizacji robót i zatwierdzenia dokumentacji, w tym rozwiązania wszelakich kolizji z infrastrukturą podziemną  i nadziemną w uzgodnieniu z jej gestorami,</w:t>
      </w:r>
    </w:p>
    <w:p w14:paraId="55ACF8B8" w14:textId="343DAB2C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Uzyskanie ostatecznego pozwolenia na budowę</w:t>
      </w:r>
      <w:r w:rsidR="002E5174">
        <w:rPr>
          <w:rFonts w:ascii="Times New Roman" w:hAnsi="Times New Roman" w:cs="Times New Roman"/>
        </w:rPr>
        <w:t>,</w:t>
      </w:r>
    </w:p>
    <w:p w14:paraId="67CE9637" w14:textId="3CDC83F0" w:rsidR="005620F9" w:rsidRDefault="00000000">
      <w:pPr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Zatwierdzony projekt stałej organ</w:t>
      </w:r>
      <w:r w:rsidR="002E5174">
        <w:rPr>
          <w:rFonts w:ascii="Times New Roman" w:hAnsi="Times New Roman" w:cs="Times New Roman"/>
        </w:rPr>
        <w:t>izacji</w:t>
      </w:r>
      <w:r>
        <w:rPr>
          <w:rFonts w:ascii="Times New Roman" w:hAnsi="Times New Roman" w:cs="Times New Roman"/>
        </w:rPr>
        <w:t xml:space="preserve"> ruchu</w:t>
      </w:r>
      <w:r w:rsidR="002E5174">
        <w:rPr>
          <w:rFonts w:ascii="Times New Roman" w:hAnsi="Times New Roman" w:cs="Times New Roman"/>
        </w:rPr>
        <w:t>.</w:t>
      </w:r>
    </w:p>
    <w:bookmarkEnd w:id="5"/>
    <w:p w14:paraId="7B65A0FB" w14:textId="77777777" w:rsidR="005620F9" w:rsidRDefault="005620F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4DDB7B2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Zamawiający dysponuje aktualną inspekcją TVC  sieci kanalizacji deszczowej wykonaną w III kw. 2022r. w wersji papierowej i elektronicznej na obu projektowanych ulicach, która może służyć określeniu zakresu remontu kanalizacji deszczowej.</w:t>
      </w:r>
    </w:p>
    <w:p w14:paraId="48DCDA8A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5BB8C6C9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opisze w dokumentacji technologię robót oraz materiały budowlane, urządzenia i inne wyroby w sposób zapewniający zachowanie uczciwej konkurencji oraz równe traktowanie uczestników postępowania przetargowego na wykonanie robót wg przedmiotowej dokumentacji. Wykonawca w trakcie sporządzania dokumentacji projektowo-kosztorysowej oraz specyfikacji technicznych wykonania i odbioru robót budowlanych zobowiązany jest uwzględnić przepisy ustawy Prawo zamówień publicznych. Informacje w zakresie technologii wykonania robót, rozwiązań technicznych, doboru materiałów i urządzeń, zawarte w dokumentacji projektowej powinny określać przedmiot umowy o roboty budowlane bez używania nazw własnych, patentów, znaków towarowych i nazw producentów a poprzez określenie parametrów precyzujących ich rodzaj, wielkość, standard oraz inne istotne dane.</w:t>
      </w:r>
    </w:p>
    <w:p w14:paraId="5AAEE103" w14:textId="77777777" w:rsidR="005620F9" w:rsidRDefault="00000000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stosować w dokumentacji optymalne rozwiązania konstrukcyjne, materiałowe i kosztowe, w celu uzyskania właściwych standardów. W rozwiązaniach projektowych będą zastosowane wyroby budowlane (materiały) dopuszczone do obrotu i powszechnego stosowania.</w:t>
      </w:r>
    </w:p>
    <w:p w14:paraId="01FB21AF" w14:textId="77777777" w:rsidR="005620F9" w:rsidRDefault="00000000">
      <w:pPr>
        <w:spacing w:beforeAutospacing="1" w:afterAutospacing="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zobowiązuje się złożyć oświadczenie projektantów i sprawdzających (lub ich kopie) zawierające podstawę prawną 41 ust. 4A pkt 2 ustawy Prawo Budowlane </w:t>
      </w:r>
    </w:p>
    <w:p w14:paraId="56072E15" w14:textId="028384CE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3. </w:t>
      </w:r>
      <w:bookmarkStart w:id="6" w:name="_Hlk128414199"/>
      <w:r>
        <w:rPr>
          <w:rFonts w:ascii="Times New Roman" w:hAnsi="Times New Roman" w:cs="Times New Roman"/>
          <w:b/>
          <w:i/>
        </w:rPr>
        <w:t xml:space="preserve">Wszystkie projekty (PZT, PAB i Projekt techniczny) i opracowania określone w Umowie, należy wykonać w wersji papierowej w </w:t>
      </w:r>
      <w:r w:rsidR="00F20ABC">
        <w:rPr>
          <w:rFonts w:ascii="Times New Roman" w:hAnsi="Times New Roman" w:cs="Times New Roman"/>
          <w:b/>
          <w:i/>
        </w:rPr>
        <w:t>trzech</w:t>
      </w:r>
      <w:r>
        <w:rPr>
          <w:rFonts w:ascii="Times New Roman" w:hAnsi="Times New Roman" w:cs="Times New Roman"/>
          <w:b/>
          <w:i/>
        </w:rPr>
        <w:t xml:space="preserve"> (3) egzemplarzach. Koncepcję projektową należy wykonać w jednym egzemplarzu. Kosztorysy, przedmiary i specyfikacje techniczne wykonania i odbioru robót budowlanych - w jednym egzemplarzach. Całość dokumentacji należy przedłożyć Zamawiającej dodatkowo w wersji elektronicznej tożsamej z wersją papierowa, na płycie CD lub pendrive,</w:t>
      </w:r>
      <w:r w:rsidR="00F20ABC">
        <w:t xml:space="preserve"> </w:t>
      </w:r>
      <w:r>
        <w:rPr>
          <w:rFonts w:ascii="Times New Roman" w:hAnsi="Times New Roman" w:cs="Times New Roman"/>
          <w:b/>
          <w:i/>
        </w:rPr>
        <w:t xml:space="preserve">w tym: część rysunkowa w wersji kompatybilnej z programem AUTO-CAD, część opisowa kompatybilna z programem WORD 2000 i EXCEL 2000, część kosztorysowa edytowalna zapisana w formacie </w:t>
      </w:r>
      <w:proofErr w:type="spellStart"/>
      <w:r>
        <w:rPr>
          <w:rFonts w:ascii="Times New Roman" w:hAnsi="Times New Roman" w:cs="Times New Roman"/>
          <w:b/>
          <w:i/>
        </w:rPr>
        <w:t>ath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14:paraId="6C7FC487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Projekt budowlany zatwierdzony wydaną decyzją pozwolenia na budowę powinien zostać wiernie skopiowany i także dołączony do dokumentacji w wersji elektronicznej.</w:t>
      </w:r>
    </w:p>
    <w:bookmarkEnd w:id="6"/>
    <w:p w14:paraId="7CA35445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20E4C431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Całość dokumentacji w wersji papierowej należy przedłożyć Zamawiającemu spakowaną w pudle archiwizacyjnym, opisanym zgodnie z przedmiotem zamówienia.</w:t>
      </w:r>
    </w:p>
    <w:p w14:paraId="03475FA6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4. Wykonawca zobowiązuje się do opracowania dokumentacji projektowej z najwyższą starannością, a także w sposób zgodny ze Specyfikacją Istotnych Warunków Zamówienia i złożoną ofertą (stanowiącymi integralną część umowy), wymaganiami ustaw i obowiązującymi przepisami, w szczególności:</w:t>
      </w:r>
    </w:p>
    <w:p w14:paraId="642D2098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bookmarkStart w:id="7" w:name="_Hlk128414140"/>
      <w:r>
        <w:rPr>
          <w:rFonts w:ascii="Times New Roman" w:hAnsi="Times New Roman" w:cs="Times New Roman"/>
        </w:rPr>
        <w:t>Ustawą z dnia 7 lipca 2020 r. Prawo budowlane (tekst jedn. Dz. U. z 2021 r., poz. 2351),</w:t>
      </w:r>
    </w:p>
    <w:p w14:paraId="32485764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Rozporządzeniem Ministra Infrastruktury z dnia 24 czerwca 2022 r. w sprawie przepisów techniczno-budowlanych dotyczących dróg publicznych (Dz. U. z 2022 r., poz. 1518)</w:t>
      </w:r>
    </w:p>
    <w:p w14:paraId="1C4D5E96" w14:textId="77777777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Rozporządzeniem Ministra Rozwoju z dnia 11 września 2020 r. w sprawie szczegółowego zakresu i formy projektu budowlanego (Dz. U. z 2020 r., poz. 1609),</w:t>
      </w:r>
    </w:p>
    <w:p w14:paraId="126A23EE" w14:textId="4E9183FA" w:rsidR="009F2C25" w:rsidRPr="009F2C25" w:rsidRDefault="009F2C25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 w:rsidRPr="009F2C25">
        <w:t>Rozporz</w:t>
      </w:r>
      <w:r w:rsidRPr="009F2C25">
        <w:rPr>
          <w:rFonts w:hint="cs"/>
        </w:rPr>
        <w:t>ą</w:t>
      </w:r>
      <w:r w:rsidRPr="009F2C25">
        <w:t>dzenie</w:t>
      </w:r>
      <w:r>
        <w:t>m</w:t>
      </w:r>
      <w:r w:rsidRPr="009F2C25">
        <w:t xml:space="preserve"> Ministra Rozwoju i Technologii z dnia 20 grudnia 2021 r. w sprawie szczeg</w:t>
      </w:r>
      <w:r w:rsidRPr="009F2C25">
        <w:rPr>
          <w:rFonts w:ascii="Times New Roman" w:hAnsi="Times New Roman" w:cs="Times New Roman"/>
        </w:rPr>
        <w:t>ół</w:t>
      </w:r>
      <w:r w:rsidRPr="009F2C25">
        <w:t xml:space="preserve">owego zakresu i formy dokumentacji projektowej, specyfikacji technicznych wykonania i odbioru </w:t>
      </w:r>
      <w:r w:rsidRPr="009F2C25">
        <w:rPr>
          <w:rFonts w:ascii="Times New Roman" w:hAnsi="Times New Roman" w:cs="Times New Roman"/>
        </w:rPr>
        <w:t>robót</w:t>
      </w:r>
      <w:r w:rsidRPr="009F2C25">
        <w:t xml:space="preserve"> budowlanych oraz programu funkcjonalno-u</w:t>
      </w:r>
      <w:r w:rsidRPr="009F2C25">
        <w:rPr>
          <w:rFonts w:hint="cs"/>
        </w:rPr>
        <w:t>ż</w:t>
      </w:r>
      <w:r w:rsidRPr="009F2C25">
        <w:t>ytkowego</w:t>
      </w:r>
      <w:r w:rsidRPr="009F2C25">
        <w:rPr>
          <w:rFonts w:hint="eastAsia"/>
        </w:rPr>
        <w:t xml:space="preserve"> </w:t>
      </w:r>
      <w:r>
        <w:t>(</w:t>
      </w:r>
      <w:r w:rsidRPr="009F2C25">
        <w:rPr>
          <w:rFonts w:hint="eastAsia"/>
        </w:rPr>
        <w:t>Dz.U. 2021 poz. 2454</w:t>
      </w:r>
      <w:r>
        <w:t>)</w:t>
      </w:r>
    </w:p>
    <w:p w14:paraId="2D0D91C1" w14:textId="77777777" w:rsidR="005620F9" w:rsidRDefault="00000000" w:rsidP="009F2C25">
      <w:pPr>
        <w:numPr>
          <w:ilvl w:val="0"/>
          <w:numId w:val="5"/>
        </w:numPr>
        <w:jc w:val="both"/>
        <w:rPr>
          <w:rFonts w:hint="eastAsia"/>
        </w:rPr>
      </w:pPr>
      <w:bookmarkStart w:id="8" w:name="_Hlk99972158"/>
      <w:r>
        <w:rPr>
          <w:rFonts w:ascii="Times New Roman" w:hAnsi="Times New Roman" w:cs="Times New Roman"/>
        </w:rPr>
        <w:t xml:space="preserve">Rozporządzenia Ministra Rozwoju i Technologii z dnia 20 grudnia 2021 r. w sprawie określenia metod i podstaw sporządzania kosztorysu inwestorskiego, obliczania planowanych kosztów prac projektowych oraz planowanych robót budowlanych określonych w programie funkcjonalno-użytkowym </w:t>
      </w:r>
      <w:bookmarkEnd w:id="8"/>
      <w:r>
        <w:rPr>
          <w:rFonts w:ascii="Times New Roman" w:hAnsi="Times New Roman" w:cs="Times New Roman"/>
        </w:rPr>
        <w:t>(Dz. U. z 2021 r., poz. 2458)</w:t>
      </w:r>
    </w:p>
    <w:p w14:paraId="7C9D5727" w14:textId="0A2A4493" w:rsidR="005620F9" w:rsidRDefault="00000000" w:rsidP="009F2C25">
      <w:pPr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Ustawą z dnia 10 lipca  2020 r. o szczególnych zasadach przygotowania i realizacji inwestycji w zakresie dróg publicznych (Dz. U. z 202</w:t>
      </w:r>
      <w:r w:rsidR="009F2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1</w:t>
      </w:r>
      <w:r w:rsidR="009F2C25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).</w:t>
      </w:r>
    </w:p>
    <w:bookmarkEnd w:id="7"/>
    <w:p w14:paraId="3B255C4B" w14:textId="77777777" w:rsidR="005620F9" w:rsidRDefault="005620F9">
      <w:pPr>
        <w:spacing w:line="276" w:lineRule="auto"/>
        <w:jc w:val="both"/>
        <w:rPr>
          <w:rFonts w:ascii="Times New Roman" w:hAnsi="Times New Roman" w:cs="Times New Roman"/>
        </w:rPr>
      </w:pPr>
    </w:p>
    <w:p w14:paraId="23527D18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5. Wykonawca zobowiązany jest do sprawowania nadzoru autorskiego w zakresie, o którym mowa w art. 20 ust. 1 pkt 4 ustawy z dnia 7 lipca 2020 roku Prawo budowlane (tekst jedn. Dz. U. z 2021 r., poz. 2351), oraz w szczególności do:</w:t>
      </w:r>
    </w:p>
    <w:p w14:paraId="2E95BF03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kontroli zgodności realizacji projektu z dokumentacją w toku wykonywanych robót budowlanych;</w:t>
      </w:r>
    </w:p>
    <w:p w14:paraId="41CD9FE5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wnioskowania o wprowadzenie zmian w dokumentacji;</w:t>
      </w:r>
    </w:p>
    <w:p w14:paraId="087BEAD0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ścisłej współpracy z Zamawiającym, Inspektorem Nadzoru i Wykonawcą Robót Budowlanych;</w:t>
      </w:r>
    </w:p>
    <w:p w14:paraId="14EBE024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pełnienie funkcji doradczej i konsultacyjnej wobec Zamawiającego w zakresie objętym dokumentacją;</w:t>
      </w:r>
    </w:p>
    <w:p w14:paraId="38028FDB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udzielania wyjaśnień dotyczących wątpliwości powstałych w toku realizacji inwestycji wynikających z dokumentacji;</w:t>
      </w:r>
    </w:p>
    <w:p w14:paraId="5555A909" w14:textId="77777777" w:rsidR="005620F9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udział w komisjach, naradach technicznych, Radach Budowy lub spotkaniach organizowanych przez Wykonawcę Robót Budowlanych lub Inspektora Nadzoru lub Zamawiającego - po uprzednim wezwaniu przez Zamawiającego lub Inspektora Nadzoru.</w:t>
      </w:r>
    </w:p>
    <w:p w14:paraId="5242AE5D" w14:textId="77777777" w:rsidR="005620F9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 zobowiązuje się wykonać przedmiot umowy w sposób umożliwiający prawidłowe przeprowadzenie zamówienia publicznego na realizację robót budowlanych.</w:t>
      </w:r>
    </w:p>
    <w:p w14:paraId="6327F56F" w14:textId="77777777" w:rsidR="005620F9" w:rsidRDefault="00000000">
      <w:pPr>
        <w:pStyle w:val="Standard"/>
        <w:spacing w:line="276" w:lineRule="auto"/>
      </w:pPr>
      <w:r>
        <w:rPr>
          <w:rFonts w:ascii="Times New Roman" w:hAnsi="Times New Roman" w:cs="Times New Roman"/>
          <w:i/>
          <w:sz w:val="24"/>
          <w:szCs w:val="24"/>
        </w:rPr>
        <w:t>Załącznik:</w:t>
      </w:r>
    </w:p>
    <w:p w14:paraId="0EFF8063" w14:textId="60722E9A" w:rsidR="005620F9" w:rsidRDefault="00000000">
      <w:pPr>
        <w:pStyle w:val="Standard"/>
        <w:numPr>
          <w:ilvl w:val="0"/>
          <w:numId w:val="6"/>
        </w:numPr>
        <w:spacing w:line="276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graficzny (zakres inwestycji – </w:t>
      </w:r>
      <w:r w:rsidR="00F20ABC">
        <w:rPr>
          <w:rFonts w:ascii="Times New Roman" w:hAnsi="Times New Roman" w:cs="Times New Roman"/>
          <w:i/>
          <w:sz w:val="24"/>
          <w:szCs w:val="24"/>
        </w:rPr>
        <w:t>Etap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ABC">
        <w:rPr>
          <w:rFonts w:ascii="Times New Roman" w:hAnsi="Times New Roman" w:cs="Times New Roman"/>
          <w:i/>
          <w:sz w:val="24"/>
          <w:szCs w:val="24"/>
        </w:rPr>
        <w:t>Etap</w:t>
      </w:r>
      <w:r>
        <w:rPr>
          <w:rFonts w:ascii="Times New Roman" w:hAnsi="Times New Roman" w:cs="Times New Roman"/>
          <w:i/>
          <w:sz w:val="24"/>
          <w:szCs w:val="24"/>
        </w:rPr>
        <w:t xml:space="preserve"> II)</w:t>
      </w:r>
    </w:p>
    <w:p w14:paraId="7AED205E" w14:textId="77777777" w:rsidR="005620F9" w:rsidRDefault="005620F9">
      <w:pPr>
        <w:spacing w:after="160" w:line="276" w:lineRule="auto"/>
        <w:rPr>
          <w:rFonts w:hint="eastAsia"/>
        </w:rPr>
      </w:pPr>
    </w:p>
    <w:sectPr w:rsidR="005620F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3F6F" w14:textId="77777777" w:rsidR="008469A5" w:rsidRDefault="008469A5" w:rsidP="009F2C25">
      <w:pPr>
        <w:rPr>
          <w:rFonts w:hint="eastAsia"/>
        </w:rPr>
      </w:pPr>
      <w:r>
        <w:separator/>
      </w:r>
    </w:p>
  </w:endnote>
  <w:endnote w:type="continuationSeparator" w:id="0">
    <w:p w14:paraId="15970255" w14:textId="77777777" w:rsidR="008469A5" w:rsidRDefault="008469A5" w:rsidP="009F2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89A4" w14:textId="77777777" w:rsidR="008469A5" w:rsidRDefault="008469A5" w:rsidP="009F2C25">
      <w:pPr>
        <w:rPr>
          <w:rFonts w:hint="eastAsia"/>
        </w:rPr>
      </w:pPr>
      <w:r>
        <w:separator/>
      </w:r>
    </w:p>
  </w:footnote>
  <w:footnote w:type="continuationSeparator" w:id="0">
    <w:p w14:paraId="41ECE353" w14:textId="77777777" w:rsidR="008469A5" w:rsidRDefault="008469A5" w:rsidP="009F2C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900" w14:textId="77777777" w:rsidR="009F2C25" w:rsidRDefault="009F2C25" w:rsidP="009F2C25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3105A927" w14:textId="6E71D5DE" w:rsidR="009F2C25" w:rsidRPr="009F2C25" w:rsidRDefault="009F2C25" w:rsidP="009F2C25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F2C25">
      <w:rPr>
        <w:rFonts w:ascii="Times New Roman" w:hAnsi="Times New Roman" w:cs="Times New Roman"/>
        <w:b/>
        <w:bCs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016D"/>
    <w:multiLevelType w:val="multilevel"/>
    <w:tmpl w:val="D2FC8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6611A2"/>
    <w:multiLevelType w:val="multilevel"/>
    <w:tmpl w:val="71FC5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EC44A0"/>
    <w:multiLevelType w:val="multilevel"/>
    <w:tmpl w:val="D638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B706AF0"/>
    <w:multiLevelType w:val="multilevel"/>
    <w:tmpl w:val="9742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7E6F8D"/>
    <w:multiLevelType w:val="multilevel"/>
    <w:tmpl w:val="8B20E0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54C28"/>
    <w:multiLevelType w:val="multilevel"/>
    <w:tmpl w:val="C9C40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9888015">
    <w:abstractNumId w:val="5"/>
  </w:num>
  <w:num w:numId="2" w16cid:durableId="444734675">
    <w:abstractNumId w:val="2"/>
  </w:num>
  <w:num w:numId="3" w16cid:durableId="1911038743">
    <w:abstractNumId w:val="3"/>
  </w:num>
  <w:num w:numId="4" w16cid:durableId="711854943">
    <w:abstractNumId w:val="0"/>
  </w:num>
  <w:num w:numId="5" w16cid:durableId="982276991">
    <w:abstractNumId w:val="1"/>
  </w:num>
  <w:num w:numId="6" w16cid:durableId="396172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F9"/>
    <w:rsid w:val="002E5174"/>
    <w:rsid w:val="005620F9"/>
    <w:rsid w:val="00713AC2"/>
    <w:rsid w:val="008469A5"/>
    <w:rsid w:val="009F2C25"/>
    <w:rsid w:val="00D62EE3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F623"/>
  <w15:docId w15:val="{8DA75CA9-42FC-4A23-8CE2-F66D3E6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  <w:b w:val="0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9F2C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C2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5</cp:revision>
  <cp:lastPrinted>2023-02-07T12:11:00Z</cp:lastPrinted>
  <dcterms:created xsi:type="dcterms:W3CDTF">2023-02-27T15:45:00Z</dcterms:created>
  <dcterms:modified xsi:type="dcterms:W3CDTF">2023-02-28T11:44:00Z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