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6E" w:rsidRPr="0099056E" w:rsidRDefault="0099056E" w:rsidP="0099056E">
      <w:pPr>
        <w:spacing w:after="200" w:line="276" w:lineRule="auto"/>
        <w:ind w:firstLine="0"/>
        <w:jc w:val="right"/>
        <w:rPr>
          <w:rFonts w:ascii="Times New Roman" w:eastAsia="Calibri" w:hAnsi="Times New Roman"/>
        </w:rPr>
      </w:pPr>
      <w:bookmarkStart w:id="0" w:name="_Toc504558473"/>
      <w:r w:rsidRPr="0099056E">
        <w:rPr>
          <w:rFonts w:ascii="Times New Roman" w:eastAsia="Calibri" w:hAnsi="Times New Roman"/>
        </w:rPr>
        <w:t>Szczegółowe Specyfikacje Techniczne</w:t>
      </w:r>
    </w:p>
    <w:p w:rsidR="0099056E" w:rsidRPr="0099056E" w:rsidRDefault="0099056E" w:rsidP="0099056E">
      <w:pPr>
        <w:spacing w:after="200" w:line="276" w:lineRule="auto"/>
        <w:ind w:firstLine="0"/>
        <w:jc w:val="right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9056E" w:rsidRPr="0099056E" w:rsidTr="00F76D0F">
        <w:trPr>
          <w:trHeight w:val="2048"/>
        </w:trPr>
        <w:tc>
          <w:tcPr>
            <w:tcW w:w="9212" w:type="dxa"/>
            <w:shd w:val="clear" w:color="auto" w:fill="auto"/>
          </w:tcPr>
          <w:p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sz w:val="36"/>
                <w:szCs w:val="36"/>
              </w:rPr>
            </w:pPr>
          </w:p>
          <w:p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</w:rPr>
            </w:pPr>
            <w:r w:rsidRPr="0099056E">
              <w:rPr>
                <w:rFonts w:ascii="Times New Roman" w:eastAsia="Calibri" w:hAnsi="Times New Roman"/>
                <w:b/>
                <w:i/>
                <w:sz w:val="40"/>
                <w:szCs w:val="40"/>
              </w:rPr>
              <w:t xml:space="preserve">SZCZEGÓŁOWE SPECYFIKACJE TECHNICZNE </w:t>
            </w:r>
          </w:p>
          <w:p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sz w:val="36"/>
                <w:szCs w:val="36"/>
              </w:rPr>
            </w:pPr>
            <w:r w:rsidRPr="0099056E">
              <w:rPr>
                <w:rFonts w:ascii="Times New Roman" w:eastAsia="Calibri" w:hAnsi="Times New Roman"/>
                <w:b/>
                <w:i/>
                <w:sz w:val="40"/>
                <w:szCs w:val="40"/>
              </w:rPr>
              <w:t>WYKONANIA I ODBIORU ROBÓT BUDOWLANYCH</w:t>
            </w:r>
          </w:p>
        </w:tc>
      </w:tr>
    </w:tbl>
    <w:p w:rsidR="0099056E" w:rsidRPr="0099056E" w:rsidRDefault="0099056E" w:rsidP="0099056E">
      <w:pPr>
        <w:spacing w:after="200" w:line="276" w:lineRule="auto"/>
        <w:ind w:firstLine="0"/>
        <w:rPr>
          <w:rFonts w:ascii="Times New Roman" w:eastAsia="Calibri" w:hAnsi="Times New Roman"/>
        </w:rPr>
      </w:pPr>
    </w:p>
    <w:p w:rsidR="0099056E" w:rsidRPr="0099056E" w:rsidRDefault="0099056E" w:rsidP="0099056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  <w:r w:rsidRPr="0099056E">
        <w:rPr>
          <w:rFonts w:ascii="Times New Roman" w:eastAsia="Calibri" w:hAnsi="Times New Roman"/>
          <w:sz w:val="28"/>
          <w:szCs w:val="28"/>
        </w:rPr>
        <w:t xml:space="preserve">Zamawiający: </w:t>
      </w:r>
      <w:r w:rsidRPr="0099056E">
        <w:rPr>
          <w:rFonts w:ascii="Times New Roman" w:eastAsia="Calibri" w:hAnsi="Times New Roman"/>
          <w:sz w:val="28"/>
          <w:szCs w:val="28"/>
        </w:rPr>
        <w:tab/>
      </w:r>
      <w:r w:rsidRPr="0099056E">
        <w:rPr>
          <w:rFonts w:ascii="Times New Roman" w:eastAsia="Calibri" w:hAnsi="Times New Roman"/>
          <w:sz w:val="28"/>
          <w:szCs w:val="28"/>
        </w:rPr>
        <w:tab/>
      </w:r>
      <w:r w:rsidRPr="0099056E"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  <w:t xml:space="preserve">POWIATOWY ZARZĄD DRÓG W IŁAWIE, </w:t>
      </w:r>
    </w:p>
    <w:p w:rsidR="0099056E" w:rsidRPr="0099056E" w:rsidRDefault="0099056E" w:rsidP="0099056E">
      <w:pPr>
        <w:widowControl w:val="0"/>
        <w:autoSpaceDE w:val="0"/>
        <w:autoSpaceDN w:val="0"/>
        <w:adjustRightInd w:val="0"/>
        <w:spacing w:line="276" w:lineRule="auto"/>
        <w:ind w:left="2832" w:firstLine="0"/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  <w:r w:rsidRPr="0099056E"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  <w:t xml:space="preserve">ul. Tadeusza Kościuszki </w:t>
      </w:r>
      <w:proofErr w:type="spellStart"/>
      <w:r w:rsidRPr="0099056E"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  <w:t>33A</w:t>
      </w:r>
      <w:proofErr w:type="spellEnd"/>
    </w:p>
    <w:p w:rsidR="0099056E" w:rsidRPr="0099056E" w:rsidRDefault="0099056E" w:rsidP="0099056E">
      <w:pPr>
        <w:widowControl w:val="0"/>
        <w:autoSpaceDE w:val="0"/>
        <w:autoSpaceDN w:val="0"/>
        <w:adjustRightInd w:val="0"/>
        <w:spacing w:line="276" w:lineRule="auto"/>
        <w:ind w:left="2832" w:firstLine="0"/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  <w:r w:rsidRPr="0099056E"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  <w:t>14 – 200 Iława</w:t>
      </w:r>
    </w:p>
    <w:p w:rsidR="0099056E" w:rsidRPr="0099056E" w:rsidRDefault="0099056E" w:rsidP="0099056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/>
          <w:color w:val="000000"/>
          <w:sz w:val="28"/>
          <w:szCs w:val="28"/>
          <w:highlight w:val="white"/>
        </w:rPr>
      </w:pPr>
    </w:p>
    <w:p w:rsidR="0099056E" w:rsidRPr="0099056E" w:rsidRDefault="0099056E" w:rsidP="0099056E">
      <w:pPr>
        <w:widowControl w:val="0"/>
        <w:autoSpaceDE w:val="0"/>
        <w:autoSpaceDN w:val="0"/>
        <w:adjustRightInd w:val="0"/>
        <w:spacing w:after="200" w:line="276" w:lineRule="auto"/>
        <w:ind w:left="2832" w:hanging="2832"/>
        <w:jc w:val="both"/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  <w:r w:rsidRPr="0099056E">
        <w:rPr>
          <w:rFonts w:ascii="Times New Roman" w:eastAsia="Calibri" w:hAnsi="Times New Roman"/>
          <w:bCs/>
          <w:sz w:val="28"/>
          <w:szCs w:val="28"/>
        </w:rPr>
        <w:t>Zadanie:</w:t>
      </w:r>
      <w:r w:rsidRPr="0099056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99056E">
        <w:rPr>
          <w:rFonts w:ascii="Times New Roman" w:eastAsia="Calibri" w:hAnsi="Times New Roman"/>
          <w:b/>
          <w:bCs/>
          <w:sz w:val="28"/>
          <w:szCs w:val="28"/>
        </w:rPr>
        <w:tab/>
      </w:r>
      <w:r w:rsidR="00CE739A" w:rsidRPr="00CE739A">
        <w:rPr>
          <w:rFonts w:ascii="Times New Roman" w:eastAsia="Calibri" w:hAnsi="Times New Roman"/>
          <w:b/>
          <w:bCs/>
          <w:sz w:val="28"/>
          <w:szCs w:val="28"/>
        </w:rPr>
        <w:t>Montaż barier energochłonnych i wymiana balustrad na obiektach</w:t>
      </w:r>
    </w:p>
    <w:p w:rsidR="0099056E" w:rsidRPr="0099056E" w:rsidRDefault="0099056E" w:rsidP="0099056E">
      <w:pPr>
        <w:ind w:firstLine="0"/>
        <w:rPr>
          <w:rFonts w:ascii="Times New Roman" w:eastAsia="Calibri" w:hAnsi="Times New Roman"/>
          <w:sz w:val="24"/>
          <w:szCs w:val="24"/>
          <w:u w:val="single"/>
        </w:rPr>
      </w:pPr>
      <w:r w:rsidRPr="0099056E">
        <w:rPr>
          <w:rFonts w:ascii="Times New Roman" w:eastAsia="Calibri" w:hAnsi="Times New Roman"/>
          <w:sz w:val="24"/>
          <w:szCs w:val="24"/>
          <w:u w:val="single"/>
        </w:rPr>
        <w:t>Spis treści:</w:t>
      </w:r>
    </w:p>
    <w:p w:rsidR="0099056E" w:rsidRPr="0099056E" w:rsidRDefault="0099056E" w:rsidP="0099056E">
      <w:pPr>
        <w:ind w:firstLine="0"/>
        <w:rPr>
          <w:rFonts w:ascii="Times New Roman" w:eastAsia="Calibri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550"/>
        <w:gridCol w:w="6237"/>
        <w:gridCol w:w="881"/>
      </w:tblGrid>
      <w:tr w:rsidR="0099056E" w:rsidRPr="0099056E" w:rsidTr="00F76D0F">
        <w:tc>
          <w:tcPr>
            <w:tcW w:w="543" w:type="dxa"/>
            <w:shd w:val="clear" w:color="auto" w:fill="auto"/>
          </w:tcPr>
          <w:p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056E">
              <w:rPr>
                <w:rFonts w:ascii="Times New Roman" w:eastAsia="Calibri" w:hAnsi="Times New Roman"/>
                <w:sz w:val="24"/>
                <w:szCs w:val="24"/>
              </w:rPr>
              <w:t>Lp.</w:t>
            </w:r>
          </w:p>
        </w:tc>
        <w:tc>
          <w:tcPr>
            <w:tcW w:w="1550" w:type="dxa"/>
            <w:shd w:val="clear" w:color="auto" w:fill="auto"/>
          </w:tcPr>
          <w:p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056E">
              <w:rPr>
                <w:rFonts w:ascii="Times New Roman" w:eastAsia="Calibri" w:hAnsi="Times New Roman"/>
                <w:sz w:val="24"/>
                <w:szCs w:val="24"/>
              </w:rPr>
              <w:t xml:space="preserve">Nr </w:t>
            </w:r>
            <w:proofErr w:type="spellStart"/>
            <w:r w:rsidRPr="0099056E">
              <w:rPr>
                <w:rFonts w:ascii="Times New Roman" w:eastAsia="Calibri" w:hAnsi="Times New Roman"/>
                <w:sz w:val="24"/>
                <w:szCs w:val="24"/>
              </w:rPr>
              <w:t>SST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056E">
              <w:rPr>
                <w:rFonts w:ascii="Times New Roman" w:eastAsia="Calibri" w:hAnsi="Times New Roman"/>
                <w:sz w:val="24"/>
                <w:szCs w:val="24"/>
              </w:rPr>
              <w:t>Nazwa</w:t>
            </w:r>
          </w:p>
        </w:tc>
        <w:tc>
          <w:tcPr>
            <w:tcW w:w="881" w:type="dxa"/>
            <w:shd w:val="clear" w:color="auto" w:fill="auto"/>
          </w:tcPr>
          <w:p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056E">
              <w:rPr>
                <w:rFonts w:ascii="Times New Roman" w:eastAsia="Calibri" w:hAnsi="Times New Roman"/>
                <w:sz w:val="24"/>
                <w:szCs w:val="24"/>
              </w:rPr>
              <w:t>Nr str.</w:t>
            </w:r>
          </w:p>
        </w:tc>
      </w:tr>
      <w:tr w:rsidR="0099056E" w:rsidRPr="0099056E" w:rsidTr="00F76D0F">
        <w:tc>
          <w:tcPr>
            <w:tcW w:w="543" w:type="dxa"/>
            <w:shd w:val="clear" w:color="auto" w:fill="auto"/>
          </w:tcPr>
          <w:p w:rsidR="0099056E" w:rsidRPr="0099056E" w:rsidRDefault="0099056E" w:rsidP="0099056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9056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99056E" w:rsidRPr="0099056E" w:rsidRDefault="0099056E" w:rsidP="0099056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9056E" w:rsidRPr="0099056E" w:rsidRDefault="00160B48" w:rsidP="0099056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BARIERY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BARIERO</w:t>
            </w:r>
            <w:r w:rsidR="00CE739A" w:rsidRPr="00CE739A">
              <w:rPr>
                <w:rFonts w:ascii="Times New Roman" w:eastAsia="Calibri" w:hAnsi="Times New Roman"/>
                <w:sz w:val="24"/>
                <w:szCs w:val="24"/>
              </w:rPr>
              <w:t>PORĘCZE</w:t>
            </w:r>
            <w:proofErr w:type="spellEnd"/>
            <w:r w:rsidR="00CE739A" w:rsidRPr="00CE739A">
              <w:rPr>
                <w:rFonts w:ascii="Times New Roman" w:eastAsia="Calibri" w:hAnsi="Times New Roman"/>
                <w:sz w:val="24"/>
                <w:szCs w:val="24"/>
              </w:rPr>
              <w:t xml:space="preserve">  OCHRONNE  STALOWE</w:t>
            </w:r>
          </w:p>
        </w:tc>
        <w:tc>
          <w:tcPr>
            <w:tcW w:w="881" w:type="dxa"/>
            <w:shd w:val="clear" w:color="auto" w:fill="auto"/>
          </w:tcPr>
          <w:p w:rsidR="0099056E" w:rsidRPr="0099056E" w:rsidRDefault="0099056E" w:rsidP="0099056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9056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</w:tbl>
    <w:p w:rsidR="00A01967" w:rsidRDefault="00A01967" w:rsidP="00C8450D">
      <w:pPr>
        <w:pStyle w:val="SSTnag1"/>
        <w:numPr>
          <w:ilvl w:val="0"/>
          <w:numId w:val="0"/>
        </w:numPr>
        <w:ind w:left="357"/>
      </w:pPr>
    </w:p>
    <w:p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:rsidR="00CC7409" w:rsidRDefault="00CC7409" w:rsidP="00C8450D">
      <w:pPr>
        <w:pStyle w:val="SSTnag1"/>
        <w:numPr>
          <w:ilvl w:val="0"/>
          <w:numId w:val="0"/>
        </w:numPr>
        <w:ind w:left="357"/>
      </w:pPr>
    </w:p>
    <w:p w:rsidR="00CC7409" w:rsidRDefault="00CC7409" w:rsidP="00C8450D">
      <w:pPr>
        <w:pStyle w:val="SSTnag1"/>
        <w:numPr>
          <w:ilvl w:val="0"/>
          <w:numId w:val="0"/>
        </w:numPr>
        <w:ind w:left="357"/>
      </w:pPr>
      <w:bookmarkStart w:id="1" w:name="_GoBack"/>
      <w:bookmarkEnd w:id="1"/>
    </w:p>
    <w:p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:rsidR="00A01967" w:rsidRPr="00DF062B" w:rsidRDefault="00160B48" w:rsidP="00C8450D">
      <w:pPr>
        <w:pStyle w:val="SSTnag1"/>
      </w:pPr>
      <w:r>
        <w:lastRenderedPageBreak/>
        <w:t>M.19.01.03</w:t>
      </w:r>
      <w:r>
        <w:tab/>
        <w:t>BARIERY I BARIERo</w:t>
      </w:r>
      <w:r w:rsidR="00A01967" w:rsidRPr="00DF062B">
        <w:t>poręcze  OCHRONNE  STALOWE</w:t>
      </w:r>
      <w:bookmarkEnd w:id="0"/>
      <w:r w:rsidR="00A01967" w:rsidRPr="00DF062B">
        <w:t xml:space="preserve"> </w:t>
      </w:r>
    </w:p>
    <w:p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WSTĘP</w:t>
      </w:r>
    </w:p>
    <w:p w:rsidR="00A01967" w:rsidRPr="00DF062B" w:rsidRDefault="00A01967" w:rsidP="00A01967">
      <w:pPr>
        <w:pStyle w:val="SSTnag3"/>
      </w:pPr>
      <w:r w:rsidRPr="00DF062B">
        <w:t xml:space="preserve">Przedmiot </w:t>
      </w:r>
      <w:proofErr w:type="spellStart"/>
      <w:r w:rsidRPr="00DF062B">
        <w:t>STWiORB</w:t>
      </w:r>
      <w:proofErr w:type="spellEnd"/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  <w:lang w:val="pl-PL"/>
        </w:rPr>
      </w:pPr>
      <w:r w:rsidRPr="00DF062B">
        <w:rPr>
          <w:rFonts w:asciiTheme="minorHAnsi" w:hAnsiTheme="minorHAnsi" w:cstheme="minorHAnsi"/>
          <w:sz w:val="18"/>
          <w:szCs w:val="18"/>
        </w:rPr>
        <w:t>Przedmiotem niniejszej Szczegółowej Specyfikacji Technicznej są wymagania dotyczące wykonania i odbioru robót związanych z realizacją na drogach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 i mostach barier i </w:t>
      </w:r>
      <w:r w:rsidRPr="00DF062B">
        <w:rPr>
          <w:rFonts w:asciiTheme="minorHAnsi" w:hAnsiTheme="minorHAnsi" w:cstheme="minorHAnsi"/>
          <w:sz w:val="18"/>
          <w:szCs w:val="18"/>
        </w:rPr>
        <w:t xml:space="preserve">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o-poręcze</w:t>
      </w:r>
      <w:r w:rsidRPr="00DF062B">
        <w:rPr>
          <w:rFonts w:asciiTheme="minorHAnsi" w:hAnsiTheme="minorHAnsi" w:cstheme="minorHAnsi"/>
          <w:sz w:val="18"/>
          <w:szCs w:val="18"/>
        </w:rPr>
        <w:t xml:space="preserve"> stalowych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:rsidR="00A01967" w:rsidRPr="00DF062B" w:rsidRDefault="00A01967" w:rsidP="00A01967">
      <w:pPr>
        <w:pStyle w:val="SSTnag3"/>
      </w:pPr>
      <w:r w:rsidRPr="00DF062B">
        <w:t xml:space="preserve">Zakres stosowania </w:t>
      </w:r>
      <w:proofErr w:type="spellStart"/>
      <w:r w:rsidRPr="00DF062B">
        <w:t>STWiORB</w:t>
      </w:r>
      <w:proofErr w:type="spellEnd"/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Szczegółowa Specyfikacja Techniczna jest stosowana jako dokument przetargowy i kontaktowy przy zlecaniu i realizacji robót wymienionych w punkcie 1.1.</w:t>
      </w:r>
    </w:p>
    <w:p w:rsidR="00A01967" w:rsidRPr="00DF062B" w:rsidRDefault="00A01967" w:rsidP="00A01967">
      <w:pPr>
        <w:pStyle w:val="SSTnag3"/>
      </w:pPr>
      <w:r w:rsidRPr="00DF062B">
        <w:t xml:space="preserve">Zakres robot objętych </w:t>
      </w:r>
      <w:proofErr w:type="spellStart"/>
      <w:r w:rsidRPr="00DF062B">
        <w:t>STWiORB</w:t>
      </w:r>
      <w:proofErr w:type="spellEnd"/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  <w:lang w:val="pl-PL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Ustalenia zawarte w niniejszej specyfikacji dotyczą zasad prowadzenia robót związanych z wykonywaniem 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barier i </w:t>
      </w:r>
      <w:r w:rsidRPr="00DF06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barier</w:t>
      </w:r>
      <w:r w:rsidR="00F84B4D">
        <w:rPr>
          <w:rFonts w:asciiTheme="minorHAnsi" w:hAnsiTheme="minorHAnsi" w:cstheme="minorHAnsi"/>
          <w:sz w:val="18"/>
          <w:szCs w:val="18"/>
          <w:lang w:val="pl-PL"/>
        </w:rPr>
        <w:t>o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poręczy</w:t>
      </w:r>
      <w:proofErr w:type="spellEnd"/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DF062B">
        <w:rPr>
          <w:rFonts w:asciiTheme="minorHAnsi" w:hAnsiTheme="minorHAnsi" w:cstheme="minorHAnsi"/>
          <w:sz w:val="18"/>
          <w:szCs w:val="18"/>
        </w:rPr>
        <w:t xml:space="preserve"> ochronnych, stalowych, realizowanych na moście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. </w:t>
      </w:r>
      <w:proofErr w:type="spellStart"/>
      <w:r w:rsidRPr="00DF062B">
        <w:rPr>
          <w:rFonts w:asciiTheme="minorHAnsi" w:hAnsiTheme="minorHAnsi" w:cstheme="minorHAnsi"/>
          <w:sz w:val="18"/>
          <w:szCs w:val="18"/>
          <w:lang w:val="pl-PL"/>
        </w:rPr>
        <w:t>B</w:t>
      </w:r>
      <w:r w:rsidR="00CE739A">
        <w:rPr>
          <w:rFonts w:asciiTheme="minorHAnsi" w:hAnsiTheme="minorHAnsi" w:cstheme="minorHAnsi"/>
          <w:sz w:val="18"/>
          <w:szCs w:val="18"/>
          <w:lang w:val="pl-PL"/>
        </w:rPr>
        <w:t>a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riero</w:t>
      </w:r>
      <w:r w:rsidR="00B2477F">
        <w:rPr>
          <w:rFonts w:asciiTheme="minorHAnsi" w:hAnsiTheme="minorHAnsi" w:cstheme="minorHAnsi"/>
          <w:sz w:val="18"/>
          <w:szCs w:val="18"/>
          <w:lang w:val="pl-PL"/>
        </w:rPr>
        <w:t>poręcz</w:t>
      </w:r>
      <w:proofErr w:type="spellEnd"/>
      <w:r w:rsidR="00B2477F">
        <w:rPr>
          <w:rFonts w:asciiTheme="minorHAnsi" w:hAnsiTheme="minorHAnsi" w:cstheme="minorHAnsi"/>
          <w:sz w:val="18"/>
          <w:szCs w:val="18"/>
          <w:lang w:val="pl-PL"/>
        </w:rPr>
        <w:t xml:space="preserve"> mostową  </w:t>
      </w:r>
      <w:proofErr w:type="spellStart"/>
      <w:r w:rsidR="00B2477F">
        <w:rPr>
          <w:rFonts w:asciiTheme="minorHAnsi" w:hAnsiTheme="minorHAnsi" w:cstheme="minorHAnsi"/>
          <w:sz w:val="18"/>
          <w:szCs w:val="18"/>
          <w:lang w:val="pl-PL"/>
        </w:rPr>
        <w:t>H2W2B</w:t>
      </w:r>
      <w:proofErr w:type="spellEnd"/>
      <w:r w:rsidR="00B2477F">
        <w:rPr>
          <w:rFonts w:asciiTheme="minorHAnsi" w:hAnsiTheme="minorHAnsi" w:cstheme="minorHAnsi"/>
          <w:sz w:val="18"/>
          <w:szCs w:val="18"/>
          <w:lang w:val="pl-PL"/>
        </w:rPr>
        <w:t xml:space="preserve">  oraz  barierę  ochronną drogową  </w:t>
      </w:r>
      <w:proofErr w:type="spellStart"/>
      <w:r w:rsidR="00B2477F">
        <w:rPr>
          <w:rFonts w:asciiTheme="minorHAnsi" w:hAnsiTheme="minorHAnsi" w:cstheme="minorHAnsi"/>
          <w:sz w:val="18"/>
          <w:szCs w:val="18"/>
          <w:lang w:val="pl-PL"/>
        </w:rPr>
        <w:t>N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2</w:t>
      </w:r>
      <w:proofErr w:type="spellEnd"/>
      <w:r w:rsidR="00B2477F">
        <w:rPr>
          <w:rFonts w:asciiTheme="minorHAnsi" w:hAnsiTheme="minorHAnsi" w:cstheme="minorHAnsi"/>
          <w:sz w:val="18"/>
          <w:szCs w:val="18"/>
          <w:lang w:val="pl-PL"/>
        </w:rPr>
        <w:t>/</w:t>
      </w:r>
      <w:proofErr w:type="spellStart"/>
      <w:r w:rsidR="00136AC6">
        <w:rPr>
          <w:rFonts w:asciiTheme="minorHAnsi" w:hAnsiTheme="minorHAnsi" w:cstheme="minorHAnsi"/>
          <w:sz w:val="18"/>
          <w:szCs w:val="18"/>
          <w:lang w:val="pl-PL"/>
        </w:rPr>
        <w:t>W2A</w:t>
      </w:r>
      <w:proofErr w:type="spellEnd"/>
      <w:r w:rsidR="00136AC6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:rsidR="00A01967" w:rsidRPr="00DF062B" w:rsidRDefault="00A01967" w:rsidP="00A01967">
      <w:pPr>
        <w:pStyle w:val="SSTnag3"/>
      </w:pPr>
      <w:r w:rsidRPr="00DF062B">
        <w:t>Określenia podstawowe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Określenia podstawowe są zgodne z obowiązują</w:t>
      </w:r>
      <w:r w:rsidRPr="00DF062B">
        <w:rPr>
          <w:rFonts w:asciiTheme="minorHAnsi" w:hAnsiTheme="minorHAnsi" w:cstheme="minorHAnsi"/>
          <w:sz w:val="18"/>
          <w:szCs w:val="18"/>
        </w:rPr>
        <w:softHyphen/>
        <w:t xml:space="preserve">cymi, odpowiednimi polskimi normami i z definicjami podanymi w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DM.00.00.00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„Wymagania ogólne” pkt 1.4.</w:t>
      </w:r>
    </w:p>
    <w:p w:rsidR="00A01967" w:rsidRPr="00DF062B" w:rsidRDefault="00A01967" w:rsidP="00A01967">
      <w:pPr>
        <w:pStyle w:val="SSTnag3"/>
      </w:pPr>
      <w:r w:rsidRPr="00DF062B">
        <w:t>Ogólne wymagania dotyczące robót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Ogólne wymagania dotyczące robót podano w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DM.00.00.00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„Wymagania ogólne” pkt 1.5.</w:t>
      </w:r>
    </w:p>
    <w:p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MATERIAŁY</w:t>
      </w:r>
    </w:p>
    <w:p w:rsidR="00A01967" w:rsidRPr="00DF062B" w:rsidRDefault="00A01967" w:rsidP="00A01967">
      <w:pPr>
        <w:pStyle w:val="SSTnag3"/>
      </w:pPr>
      <w:r w:rsidRPr="00DF062B">
        <w:t>Ogólne wymagania dotyczące materiałów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Ogólne wymagania dotyczące materiałów, ich pozyskiwania i składowania, podano w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DM.00.00.00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„Wymagania ogólne” pkt 2.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Za sprawdzenie przydatności materiałów oraz jakość wbudowania odpowiada Wykonawca. Należy stosować materiały, które są oznakowane CE lub B, a przed przystąpieniem do wbudowania Wykonawca zobowiązany jest do przedstawienia dla każdej dostawy deklarację zgodności z Polską Normą, normą zharmonizowaną,  aprobatą techniczną wydaną przez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IBDiM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lub europejską aprobatą techniczną.</w:t>
      </w:r>
    </w:p>
    <w:p w:rsidR="00A01967" w:rsidRPr="00DF062B" w:rsidRDefault="00A01967" w:rsidP="00A01967">
      <w:pPr>
        <w:pStyle w:val="SSTnag3"/>
      </w:pPr>
      <w:r w:rsidRPr="00DF062B">
        <w:t>Materiały do wykonania barier ochronnych stalowych</w:t>
      </w:r>
    </w:p>
    <w:p w:rsidR="00A01967" w:rsidRPr="00A01967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  <w:lang w:val="pl-PL"/>
        </w:rPr>
      </w:pPr>
      <w:r w:rsidRPr="00DF062B">
        <w:rPr>
          <w:rFonts w:asciiTheme="minorHAnsi" w:hAnsiTheme="minorHAnsi" w:cstheme="minorHAnsi"/>
          <w:sz w:val="18"/>
          <w:szCs w:val="18"/>
        </w:rPr>
        <w:t>Stalowe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o-poręcze</w:t>
      </w:r>
      <w:r w:rsidRPr="00DF062B">
        <w:rPr>
          <w:rFonts w:asciiTheme="minorHAnsi" w:hAnsiTheme="minorHAnsi" w:cstheme="minorHAnsi"/>
          <w:sz w:val="18"/>
          <w:szCs w:val="18"/>
        </w:rPr>
        <w:t xml:space="preserve">, jak również wszystkie ich elementy składowe powinny spełniać wymagania określone w „Wytycznych stosowania drogowych barier ochronnych na drogach krajowych” wydanych przez GDDKiA, </w:t>
      </w:r>
      <w:r>
        <w:rPr>
          <w:rFonts w:asciiTheme="minorHAnsi" w:hAnsiTheme="minorHAnsi" w:cstheme="minorHAnsi"/>
          <w:sz w:val="18"/>
          <w:szCs w:val="18"/>
        </w:rPr>
        <w:t xml:space="preserve">być zgodne z normami </w:t>
      </w:r>
      <w:proofErr w:type="spellStart"/>
      <w:r>
        <w:rPr>
          <w:rFonts w:asciiTheme="minorHAnsi" w:hAnsiTheme="minorHAnsi" w:cstheme="minorHAnsi"/>
          <w:sz w:val="18"/>
          <w:szCs w:val="18"/>
        </w:rPr>
        <w:t>PN</w:t>
      </w:r>
      <w:proofErr w:type="spellEnd"/>
      <w:r>
        <w:rPr>
          <w:rFonts w:asciiTheme="minorHAnsi" w:hAnsiTheme="minorHAnsi" w:cstheme="minorHAnsi"/>
          <w:sz w:val="18"/>
          <w:szCs w:val="18"/>
        </w:rPr>
        <w:t>-EN 1317</w:t>
      </w:r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Stalowe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-poręcze</w:t>
      </w:r>
      <w:r w:rsidRPr="00DF062B">
        <w:rPr>
          <w:rFonts w:asciiTheme="minorHAnsi" w:hAnsiTheme="minorHAnsi" w:cstheme="minorHAnsi"/>
          <w:sz w:val="18"/>
          <w:szCs w:val="18"/>
        </w:rPr>
        <w:t xml:space="preserve"> dostarczone na budowę powinny mieć atesty i gwarancje trwałości producenta, certyfikat na znak bezpieczeństwa i oznaczenia tym znakiem wyrobów bariery ochronnej, jak również aprobaty techniczne i deklaracje zgodności jak w p. 2.1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Wszystkie elementy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barier</w:t>
      </w:r>
      <w:r w:rsidR="00160B48">
        <w:rPr>
          <w:rFonts w:asciiTheme="minorHAnsi" w:hAnsiTheme="minorHAnsi" w:cstheme="minorHAnsi"/>
          <w:sz w:val="18"/>
          <w:szCs w:val="18"/>
          <w:lang w:val="pl-PL"/>
        </w:rPr>
        <w:t>o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poręczy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ochronnych powinny być zaprojektowane na okres użytkowania nie krótszy niż 20 lat. Materiały powinny zostać zaakceptowane przez </w:t>
      </w:r>
      <w:r w:rsidR="009937BD">
        <w:rPr>
          <w:rFonts w:asciiTheme="minorHAnsi" w:hAnsiTheme="minorHAnsi" w:cstheme="minorHAnsi"/>
          <w:sz w:val="18"/>
          <w:szCs w:val="18"/>
          <w:lang w:val="pl-PL"/>
        </w:rPr>
        <w:t>Inwestora</w:t>
      </w:r>
      <w:r w:rsidRPr="00DF062B">
        <w:rPr>
          <w:rFonts w:asciiTheme="minorHAnsi" w:hAnsiTheme="minorHAnsi" w:cstheme="minorHAnsi"/>
          <w:sz w:val="18"/>
          <w:szCs w:val="18"/>
        </w:rPr>
        <w:t>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Sposób zabezpieczenia antykorozyjnego elementów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barier</w:t>
      </w:r>
      <w:r w:rsidR="00160B48">
        <w:rPr>
          <w:rFonts w:asciiTheme="minorHAnsi" w:hAnsiTheme="minorHAnsi" w:cstheme="minorHAnsi"/>
          <w:sz w:val="18"/>
          <w:szCs w:val="18"/>
          <w:lang w:val="pl-PL"/>
        </w:rPr>
        <w:t>o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poręczy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us</w:t>
      </w:r>
      <w:r w:rsidRPr="00DF062B">
        <w:rPr>
          <w:rFonts w:asciiTheme="minorHAnsi" w:hAnsiTheme="minorHAnsi" w:cstheme="minorHAnsi"/>
          <w:sz w:val="18"/>
          <w:szCs w:val="18"/>
        </w:rPr>
        <w:softHyphen/>
        <w:t>tala producent w taki sposób, aby zapewnić trwałość powłoki antykorozyjnej przez okres 5 do 10 lat w warunkach normalnych, do co najmniej 3 do 5 lat w środowisku o zwiększonej korozyjności. W przypadku braku wystarczających danych minimalna grubość powłoki cyn</w:t>
      </w:r>
      <w:r w:rsidRPr="00DF062B">
        <w:rPr>
          <w:rFonts w:asciiTheme="minorHAnsi" w:hAnsiTheme="minorHAnsi" w:cstheme="minorHAnsi"/>
          <w:sz w:val="18"/>
          <w:szCs w:val="18"/>
        </w:rPr>
        <w:softHyphen/>
        <w:t xml:space="preserve">kowej powinna wynosić 60 </w:t>
      </w:r>
      <w:r w:rsidRPr="00DF062B">
        <w:rPr>
          <w:rFonts w:asciiTheme="minorHAnsi" w:hAnsiTheme="minorHAnsi" w:cstheme="minorHAnsi"/>
          <w:sz w:val="18"/>
          <w:szCs w:val="18"/>
        </w:rPr>
        <w:sym w:font="Symbol" w:char="006D"/>
      </w:r>
      <w:r w:rsidRPr="00DF062B">
        <w:rPr>
          <w:rFonts w:asciiTheme="minorHAnsi" w:hAnsiTheme="minorHAnsi" w:cstheme="minorHAnsi"/>
          <w:sz w:val="18"/>
          <w:szCs w:val="18"/>
        </w:rPr>
        <w:t>m.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  <w:lang w:val="pl-PL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Wg niniejszej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materiałem są 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bariery</w:t>
      </w:r>
      <w:r w:rsidR="00B2477F">
        <w:rPr>
          <w:rFonts w:asciiTheme="minorHAnsi" w:hAnsiTheme="minorHAnsi" w:cstheme="minorHAnsi"/>
          <w:sz w:val="18"/>
          <w:szCs w:val="18"/>
          <w:lang w:val="pl-PL"/>
        </w:rPr>
        <w:t xml:space="preserve"> drogowe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 i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barier</w:t>
      </w:r>
      <w:r w:rsidR="00B2477F">
        <w:rPr>
          <w:rFonts w:asciiTheme="minorHAnsi" w:hAnsiTheme="minorHAnsi" w:cstheme="minorHAnsi"/>
          <w:sz w:val="18"/>
          <w:szCs w:val="18"/>
          <w:lang w:val="pl-PL"/>
        </w:rPr>
        <w:t>o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poręcze</w:t>
      </w:r>
      <w:proofErr w:type="spellEnd"/>
      <w:r w:rsidR="00B2477F">
        <w:rPr>
          <w:rFonts w:asciiTheme="minorHAnsi" w:hAnsiTheme="minorHAnsi" w:cstheme="minorHAnsi"/>
          <w:sz w:val="18"/>
          <w:szCs w:val="18"/>
          <w:lang w:val="pl-PL"/>
        </w:rPr>
        <w:t xml:space="preserve"> mostowe</w:t>
      </w:r>
      <w:r w:rsidRPr="00DF062B">
        <w:rPr>
          <w:rFonts w:asciiTheme="minorHAnsi" w:hAnsiTheme="minorHAnsi" w:cstheme="minorHAnsi"/>
          <w:sz w:val="18"/>
          <w:szCs w:val="18"/>
        </w:rPr>
        <w:t xml:space="preserve"> stalowe wg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-EN 1317-2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: </w:t>
      </w:r>
      <w:r w:rsidR="009937BD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</w:t>
      </w:r>
      <w:proofErr w:type="spellStart"/>
      <w:r w:rsidR="00B2477F">
        <w:rPr>
          <w:rFonts w:asciiTheme="minorHAnsi" w:hAnsiTheme="minorHAnsi" w:cstheme="minorHAnsi"/>
          <w:sz w:val="18"/>
          <w:szCs w:val="18"/>
          <w:lang w:val="pl-PL"/>
        </w:rPr>
        <w:t>bariero</w:t>
      </w:r>
      <w:r w:rsidR="00CE739A" w:rsidRPr="00CE739A">
        <w:rPr>
          <w:rFonts w:asciiTheme="minorHAnsi" w:hAnsiTheme="minorHAnsi" w:cstheme="minorHAnsi"/>
          <w:sz w:val="18"/>
          <w:szCs w:val="18"/>
          <w:lang w:val="pl-PL"/>
        </w:rPr>
        <w:t>poręcz</w:t>
      </w:r>
      <w:r w:rsidR="00B2477F">
        <w:rPr>
          <w:rFonts w:asciiTheme="minorHAnsi" w:hAnsiTheme="minorHAnsi" w:cstheme="minorHAnsi"/>
          <w:sz w:val="18"/>
          <w:szCs w:val="18"/>
          <w:lang w:val="pl-PL"/>
        </w:rPr>
        <w:t>e</w:t>
      </w:r>
      <w:proofErr w:type="spellEnd"/>
      <w:r w:rsidR="00B2477F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  <w:proofErr w:type="spellStart"/>
      <w:r w:rsidR="00B2477F">
        <w:rPr>
          <w:rFonts w:asciiTheme="minorHAnsi" w:hAnsiTheme="minorHAnsi" w:cstheme="minorHAnsi"/>
          <w:sz w:val="18"/>
          <w:szCs w:val="18"/>
          <w:lang w:val="pl-PL"/>
        </w:rPr>
        <w:t>H2W2B</w:t>
      </w:r>
      <w:proofErr w:type="spellEnd"/>
      <w:r w:rsidR="00B2477F">
        <w:rPr>
          <w:rFonts w:asciiTheme="minorHAnsi" w:hAnsiTheme="minorHAnsi" w:cstheme="minorHAnsi"/>
          <w:sz w:val="18"/>
          <w:szCs w:val="18"/>
          <w:lang w:val="pl-PL"/>
        </w:rPr>
        <w:t xml:space="preserve">, a na dojazdach </w:t>
      </w:r>
      <w:proofErr w:type="spellStart"/>
      <w:r w:rsidR="00B2477F">
        <w:rPr>
          <w:rFonts w:asciiTheme="minorHAnsi" w:hAnsiTheme="minorHAnsi" w:cstheme="minorHAnsi"/>
          <w:sz w:val="18"/>
          <w:szCs w:val="18"/>
          <w:lang w:val="pl-PL"/>
        </w:rPr>
        <w:t>N2</w:t>
      </w:r>
      <w:proofErr w:type="spellEnd"/>
      <w:r w:rsidR="00B2477F">
        <w:rPr>
          <w:rFonts w:asciiTheme="minorHAnsi" w:hAnsiTheme="minorHAnsi" w:cstheme="minorHAnsi"/>
          <w:sz w:val="18"/>
          <w:szCs w:val="18"/>
          <w:lang w:val="pl-PL"/>
        </w:rPr>
        <w:t>/</w:t>
      </w:r>
      <w:proofErr w:type="spellStart"/>
      <w:r w:rsidR="00B2477F">
        <w:rPr>
          <w:rFonts w:asciiTheme="minorHAnsi" w:hAnsiTheme="minorHAnsi" w:cstheme="minorHAnsi"/>
          <w:sz w:val="18"/>
          <w:szCs w:val="18"/>
          <w:lang w:val="pl-PL"/>
        </w:rPr>
        <w:t>W2A</w:t>
      </w:r>
      <w:proofErr w:type="spellEnd"/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Powierzchnie elementów powinny być bez rys, pęknięć i ubyt</w:t>
      </w:r>
      <w:r w:rsidRPr="00DF062B">
        <w:rPr>
          <w:rFonts w:asciiTheme="minorHAnsi" w:hAnsiTheme="minorHAnsi" w:cstheme="minorHAnsi"/>
          <w:sz w:val="18"/>
          <w:szCs w:val="18"/>
        </w:rPr>
        <w:softHyphen/>
        <w:t>ków betonu. Krawędzie elementów powinny być równe i proste.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Elementy barier powinny być wykonane zgodnie z aprobatą techniczną lub normą. 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Profile stalowe powinny być wykonane ze stali o właściwościach nie gorszych niż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S235JR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wg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-EN 10025-1. 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Prowadnica bariery powinna spełniać wymagania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-EN 10162. 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Elementy montażowe barier - przekładki, wsporniki, łączniki ukośne, śruby, nakrętki itp. powinny być zgodne z ofertą producenta barier w zakresie wymiarów, odchyłek wymiarów, rozmieszczenia otworów, rodzaju materiałów i powinny być zabezpieczone przed korozją. 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Wszystkie elementy stalowe barier powinny być przez producenta zabezpieczone antykorozyjnie przez ocynkowanie ogniowe zgodnie z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-EN ISO 1461 w taki sposób, aby zapewnić trwałość powłoki przez okres co najmniej 25 lat. 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Elementy powinny być ocynkowane w wytwórni. 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Po wykonaniu powłoki antykorozyjnej nie dopuszcza się wiercenia, cięcia (w tym cięcia gazowego) lub spawania prowadnic i słupków.</w:t>
      </w:r>
    </w:p>
    <w:p w:rsidR="00A01967" w:rsidRPr="00DF062B" w:rsidRDefault="00A01967" w:rsidP="00A01967">
      <w:pPr>
        <w:pStyle w:val="SSTnag3"/>
      </w:pPr>
      <w:r w:rsidRPr="00DF062B">
        <w:t>Zakotwienia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lastRenderedPageBreak/>
        <w:t>Słupki mogą być kotwione we wnękach chodnika lub mocowane za pomocą kotew stalowych.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Tablica 1. Wymagania dotyczące zaprawy  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64"/>
        <w:gridCol w:w="1134"/>
        <w:gridCol w:w="1217"/>
        <w:gridCol w:w="2327"/>
      </w:tblGrid>
      <w:tr w:rsidR="00A01967" w:rsidRPr="00DF062B" w:rsidTr="00F76D0F">
        <w:trPr>
          <w:jc w:val="center"/>
        </w:trPr>
        <w:tc>
          <w:tcPr>
            <w:tcW w:w="5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406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Właściwości</w:t>
            </w:r>
          </w:p>
        </w:tc>
        <w:tc>
          <w:tcPr>
            <w:tcW w:w="11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Jednostka</w:t>
            </w:r>
          </w:p>
        </w:tc>
        <w:tc>
          <w:tcPr>
            <w:tcW w:w="121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Wymagania</w:t>
            </w:r>
          </w:p>
        </w:tc>
        <w:tc>
          <w:tcPr>
            <w:tcW w:w="232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Metoda badań wg</w:t>
            </w:r>
          </w:p>
        </w:tc>
      </w:tr>
      <w:tr w:rsidR="00A01967" w:rsidRPr="00DF062B" w:rsidTr="00F76D0F">
        <w:trPr>
          <w:jc w:val="center"/>
        </w:trPr>
        <w:tc>
          <w:tcPr>
            <w:tcW w:w="5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06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Wytrzymałość na zginanie po  28 dniach</w:t>
            </w:r>
          </w:p>
        </w:tc>
        <w:tc>
          <w:tcPr>
            <w:tcW w:w="11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21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≥ 9</w:t>
            </w:r>
          </w:p>
        </w:tc>
        <w:tc>
          <w:tcPr>
            <w:tcW w:w="232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PN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-B-04500:1985 </w:t>
            </w:r>
          </w:p>
        </w:tc>
      </w:tr>
      <w:tr w:rsidR="00A01967" w:rsidRPr="00DF062B" w:rsidTr="00F76D0F">
        <w:trPr>
          <w:jc w:val="center"/>
        </w:trPr>
        <w:tc>
          <w:tcPr>
            <w:tcW w:w="5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406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Wytrzymałość na ściskanie po  28 dniach</w:t>
            </w:r>
          </w:p>
        </w:tc>
        <w:tc>
          <w:tcPr>
            <w:tcW w:w="11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21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≥ 45</w:t>
            </w:r>
          </w:p>
        </w:tc>
        <w:tc>
          <w:tcPr>
            <w:tcW w:w="232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PN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-B-04500:1985 </w:t>
            </w:r>
          </w:p>
        </w:tc>
      </w:tr>
      <w:tr w:rsidR="00A01967" w:rsidRPr="00DF062B" w:rsidTr="00F76D0F">
        <w:trPr>
          <w:jc w:val="center"/>
        </w:trPr>
        <w:tc>
          <w:tcPr>
            <w:tcW w:w="5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406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Wytrzymałość na odrywanie od podłoża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- wartość średnia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- wartość pojedynczego wyniku</w:t>
            </w:r>
          </w:p>
        </w:tc>
        <w:tc>
          <w:tcPr>
            <w:tcW w:w="11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MPa</w:t>
            </w:r>
            <w:proofErr w:type="spellEnd"/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21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≥ 2,0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≥ 1,5</w:t>
            </w:r>
          </w:p>
        </w:tc>
        <w:tc>
          <w:tcPr>
            <w:tcW w:w="232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Procedura badawcza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IBDiM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nr PB-TM-</w:t>
            </w: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X3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A01967" w:rsidRPr="00DF062B" w:rsidTr="00F76D0F">
        <w:trPr>
          <w:jc w:val="center"/>
        </w:trPr>
        <w:tc>
          <w:tcPr>
            <w:tcW w:w="5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406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Skurcz po okresie twardnienia 90 dni</w:t>
            </w:r>
          </w:p>
        </w:tc>
        <w:tc>
          <w:tcPr>
            <w:tcW w:w="11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‰</w:t>
            </w:r>
          </w:p>
        </w:tc>
        <w:tc>
          <w:tcPr>
            <w:tcW w:w="121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≤ 1,0</w:t>
            </w:r>
          </w:p>
        </w:tc>
        <w:tc>
          <w:tcPr>
            <w:tcW w:w="232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Procedura badawcza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IBDiM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nr </w:t>
            </w: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TWm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-31/97 </w:t>
            </w:r>
          </w:p>
        </w:tc>
      </w:tr>
      <w:tr w:rsidR="00A01967" w:rsidRPr="00DF062B" w:rsidTr="00F76D0F">
        <w:trPr>
          <w:jc w:val="center"/>
        </w:trPr>
        <w:tc>
          <w:tcPr>
            <w:tcW w:w="5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406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Pęcznienie po okresie twardnienia 90 dni</w:t>
            </w:r>
          </w:p>
        </w:tc>
        <w:tc>
          <w:tcPr>
            <w:tcW w:w="11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‰</w:t>
            </w:r>
          </w:p>
        </w:tc>
        <w:tc>
          <w:tcPr>
            <w:tcW w:w="121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≤ 0,3</w:t>
            </w:r>
          </w:p>
        </w:tc>
        <w:tc>
          <w:tcPr>
            <w:tcW w:w="232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Procedura badawcza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IBDiM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nr </w:t>
            </w: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TWm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-31/97 </w:t>
            </w:r>
          </w:p>
        </w:tc>
      </w:tr>
      <w:tr w:rsidR="00A01967" w:rsidRPr="00DF062B" w:rsidTr="00F76D0F">
        <w:trPr>
          <w:jc w:val="center"/>
        </w:trPr>
        <w:tc>
          <w:tcPr>
            <w:tcW w:w="5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406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Mrozoodporność badana w 2% roztworze soli (NaCl) po 150 cyklach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- ubytek masy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- wytrzymałość na zginanie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- wytrzymałość na ściskanie</w:t>
            </w:r>
          </w:p>
        </w:tc>
        <w:tc>
          <w:tcPr>
            <w:tcW w:w="11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%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%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%</w:t>
            </w:r>
          </w:p>
        </w:tc>
        <w:tc>
          <w:tcPr>
            <w:tcW w:w="121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≤ 5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≤ 20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≤ 20</w:t>
            </w:r>
          </w:p>
        </w:tc>
        <w:tc>
          <w:tcPr>
            <w:tcW w:w="232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Procedura badawcza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IBDiM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nr </w:t>
            </w: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-3</w:t>
            </w:r>
          </w:p>
        </w:tc>
      </w:tr>
      <w:tr w:rsidR="00A01967" w:rsidRPr="00DF062B" w:rsidTr="00F76D0F">
        <w:trPr>
          <w:jc w:val="center"/>
        </w:trPr>
        <w:tc>
          <w:tcPr>
            <w:tcW w:w="5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406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Wytrzymałość na odrywanie od podłoża po badaniu mrozoodporność</w:t>
            </w:r>
          </w:p>
        </w:tc>
        <w:tc>
          <w:tcPr>
            <w:tcW w:w="1134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21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≥ 1,5</w:t>
            </w:r>
          </w:p>
        </w:tc>
        <w:tc>
          <w:tcPr>
            <w:tcW w:w="2327" w:type="dxa"/>
          </w:tcPr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Procedura badawcza</w:t>
            </w:r>
          </w:p>
          <w:p w:rsidR="00A01967" w:rsidRPr="00DF062B" w:rsidRDefault="00A01967" w:rsidP="00F76D0F">
            <w:pPr>
              <w:pStyle w:val="sstnromalny"/>
              <w:ind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IBDiM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nr PB-TM-</w:t>
            </w: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X3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</w:tbl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</w:p>
    <w:p w:rsidR="00A01967" w:rsidRPr="00DF062B" w:rsidRDefault="00A01967" w:rsidP="00A01967">
      <w:pPr>
        <w:pStyle w:val="sstnromalny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materiał uszczelniający: </w:t>
      </w:r>
    </w:p>
    <w:p w:rsidR="00A01967" w:rsidRPr="00DF062B" w:rsidRDefault="00A01967" w:rsidP="00A01967">
      <w:pPr>
        <w:pStyle w:val="sstnromalny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zalewka z zaprawy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niskoskurczowej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o właściwościach wg  tablicy 1, wyprofilowana w postaci podwyższenia przy słupkach, w przypadku zastosowania na chodniku nawierzchni cienkowarstwowej,</w:t>
      </w:r>
    </w:p>
    <w:p w:rsidR="00A01967" w:rsidRPr="00DF062B" w:rsidRDefault="00A01967" w:rsidP="00A01967">
      <w:pPr>
        <w:pStyle w:val="sstnromalny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samoprzylepna elastyczna taśma na bazie asfaltu i kauczuku, topliwa pod wpływem ciepła asfaltu lanego w przypadku zastosowania na chodniku nawierzchni z asfaltu lanego. Można zastosować taśmę o właściwościach podanych w tablicy 2.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Tablica 2. Wymagania dla asfaltowej taśmy uszczelniającej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506"/>
        <w:gridCol w:w="1016"/>
        <w:gridCol w:w="1841"/>
        <w:gridCol w:w="1872"/>
      </w:tblGrid>
      <w:tr w:rsidR="00A01967" w:rsidRPr="00DF062B" w:rsidTr="00F76D0F">
        <w:trPr>
          <w:jc w:val="center"/>
        </w:trPr>
        <w:tc>
          <w:tcPr>
            <w:tcW w:w="478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4506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Właściwości</w:t>
            </w:r>
          </w:p>
        </w:tc>
        <w:tc>
          <w:tcPr>
            <w:tcW w:w="1016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Jednostka</w:t>
            </w:r>
          </w:p>
        </w:tc>
        <w:tc>
          <w:tcPr>
            <w:tcW w:w="1841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Wymagania</w:t>
            </w:r>
          </w:p>
        </w:tc>
        <w:tc>
          <w:tcPr>
            <w:tcW w:w="1872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Metoda badań wg</w:t>
            </w:r>
          </w:p>
        </w:tc>
      </w:tr>
      <w:tr w:rsidR="00A01967" w:rsidRPr="00DF062B" w:rsidTr="00F76D0F">
        <w:trPr>
          <w:jc w:val="center"/>
        </w:trPr>
        <w:tc>
          <w:tcPr>
            <w:tcW w:w="478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506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Penetracja stożkiem w 25 °C</w:t>
            </w:r>
          </w:p>
        </w:tc>
        <w:tc>
          <w:tcPr>
            <w:tcW w:w="1016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0,1 mm</w:t>
            </w:r>
          </w:p>
        </w:tc>
        <w:tc>
          <w:tcPr>
            <w:tcW w:w="1841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od 40 do 70</w:t>
            </w:r>
          </w:p>
        </w:tc>
        <w:tc>
          <w:tcPr>
            <w:tcW w:w="1872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PN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-EN 13880-2: 2004 (U) </w:t>
            </w:r>
          </w:p>
        </w:tc>
      </w:tr>
      <w:tr w:rsidR="00A01967" w:rsidRPr="00DF062B" w:rsidTr="00F76D0F">
        <w:trPr>
          <w:jc w:val="center"/>
        </w:trPr>
        <w:tc>
          <w:tcPr>
            <w:tcW w:w="478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4506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Temperatura mięknienia wg </w:t>
            </w: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PiK</w:t>
            </w:r>
            <w:proofErr w:type="spellEnd"/>
          </w:p>
        </w:tc>
        <w:tc>
          <w:tcPr>
            <w:tcW w:w="1016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°C</w:t>
            </w:r>
          </w:p>
        </w:tc>
        <w:tc>
          <w:tcPr>
            <w:tcW w:w="1841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≥ 90</w:t>
            </w:r>
          </w:p>
        </w:tc>
        <w:tc>
          <w:tcPr>
            <w:tcW w:w="1872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PN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-EN 1427:2001 </w:t>
            </w:r>
          </w:p>
        </w:tc>
      </w:tr>
      <w:tr w:rsidR="00A01967" w:rsidRPr="00DF062B" w:rsidTr="00F76D0F">
        <w:trPr>
          <w:jc w:val="center"/>
        </w:trPr>
        <w:tc>
          <w:tcPr>
            <w:tcW w:w="478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4506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Mrozoodporność (upadek kuli z 2,5 m, temperatura -20 °C)</w:t>
            </w:r>
          </w:p>
        </w:tc>
        <w:tc>
          <w:tcPr>
            <w:tcW w:w="1016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min. 3 kule całe</w:t>
            </w:r>
          </w:p>
        </w:tc>
        <w:tc>
          <w:tcPr>
            <w:tcW w:w="1872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PB/</w:t>
            </w: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TN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-2/3 </w:t>
            </w:r>
          </w:p>
        </w:tc>
      </w:tr>
      <w:tr w:rsidR="00A01967" w:rsidRPr="00DF062B" w:rsidTr="00F76D0F">
        <w:trPr>
          <w:jc w:val="center"/>
        </w:trPr>
        <w:tc>
          <w:tcPr>
            <w:tcW w:w="478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4506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Wydłużenie taśmy w szczelinie, w temperaturze -20 °C</w:t>
            </w:r>
          </w:p>
        </w:tc>
        <w:tc>
          <w:tcPr>
            <w:tcW w:w="1016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mm</w:t>
            </w:r>
          </w:p>
        </w:tc>
        <w:tc>
          <w:tcPr>
            <w:tcW w:w="1841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≥ 4,0</w:t>
            </w:r>
          </w:p>
        </w:tc>
        <w:tc>
          <w:tcPr>
            <w:tcW w:w="1872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PB/</w:t>
            </w: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TN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-2/4 </w:t>
            </w:r>
          </w:p>
        </w:tc>
      </w:tr>
      <w:tr w:rsidR="00A01967" w:rsidRPr="00DF062B" w:rsidTr="00F76D0F">
        <w:trPr>
          <w:jc w:val="center"/>
        </w:trPr>
        <w:tc>
          <w:tcPr>
            <w:tcW w:w="478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4506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Rodzaj zerwania taśmy w szczelinie, w temperaturze             -20 °C</w:t>
            </w:r>
          </w:p>
        </w:tc>
        <w:tc>
          <w:tcPr>
            <w:tcW w:w="1016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brak zerwania przy wydłużeniu 4,0 mm</w:t>
            </w:r>
          </w:p>
        </w:tc>
        <w:tc>
          <w:tcPr>
            <w:tcW w:w="1872" w:type="dxa"/>
          </w:tcPr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01967" w:rsidRPr="00DF062B" w:rsidRDefault="00A01967" w:rsidP="00F76D0F">
            <w:pPr>
              <w:pStyle w:val="sstnromalny"/>
              <w:ind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PB/</w:t>
            </w:r>
            <w:proofErr w:type="spellStart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>TN</w:t>
            </w:r>
            <w:proofErr w:type="spellEnd"/>
            <w:r w:rsidRPr="00DF0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-2/5 </w:t>
            </w:r>
          </w:p>
        </w:tc>
      </w:tr>
    </w:tbl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Elementy zakotwienia:  </w:t>
      </w:r>
    </w:p>
    <w:p w:rsidR="00A01967" w:rsidRPr="00DF062B" w:rsidRDefault="00A01967" w:rsidP="00A01967">
      <w:pPr>
        <w:pStyle w:val="sstnromalny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blacha 120×14×160 mm ze stali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St3S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wg 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-S-10052:1982 lub równoważnej wg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- EN 10025-2, </w:t>
      </w:r>
    </w:p>
    <w:p w:rsidR="00A01967" w:rsidRPr="00DF062B" w:rsidRDefault="00A01967" w:rsidP="00A01967">
      <w:pPr>
        <w:pStyle w:val="sstnromalny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pręty </w:t>
      </w:r>
      <w:r w:rsidRPr="00DF062B">
        <w:rPr>
          <w:rFonts w:asciiTheme="minorHAnsi" w:hAnsiTheme="minorHAnsi" w:cstheme="minorHAnsi"/>
          <w:sz w:val="18"/>
          <w:szCs w:val="18"/>
        </w:rPr>
        <w:sym w:font="Symbol" w:char="F0C6"/>
      </w:r>
      <w:r w:rsidRPr="00DF062B">
        <w:rPr>
          <w:rFonts w:asciiTheme="minorHAnsi" w:hAnsiTheme="minorHAnsi" w:cstheme="minorHAnsi"/>
          <w:sz w:val="18"/>
          <w:szCs w:val="18"/>
        </w:rPr>
        <w:t xml:space="preserve"> 12 mm ze stali A-II lub A-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IIIN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wg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-H-93215:1982,</w:t>
      </w:r>
    </w:p>
    <w:p w:rsidR="00A01967" w:rsidRPr="00DF062B" w:rsidRDefault="00A01967" w:rsidP="00A01967">
      <w:pPr>
        <w:pStyle w:val="SSTnag3"/>
      </w:pPr>
      <w:r w:rsidRPr="00DF062B">
        <w:t>Składowanie materiałów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Elementy dłuższe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mogą być składowane pod zadaszeniem lub na otwartej przestrzeni, na podłożu wyrównanym i odwodnionym, przy czym elementy poszczególnych typów należy układać oddzielnie z ewentualnym zastosowaniem podkładek. Elementy montażowe i połączeniowe można składować w pojemnikach handlowych producenta.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Składowanie kruszywa powinno odbywać się w warunkach zabez</w:t>
      </w:r>
      <w:r w:rsidRPr="00DF062B">
        <w:rPr>
          <w:rFonts w:asciiTheme="minorHAnsi" w:hAnsiTheme="minorHAnsi" w:cstheme="minorHAnsi"/>
          <w:sz w:val="18"/>
          <w:szCs w:val="18"/>
        </w:rPr>
        <w:softHyphen/>
        <w:t>pieczających je przed zanieczyszczeniem i zmieszaniem z innymi asortymentami kruszywa lub jego frakcjami. Zaleca się, aby drob</w:t>
      </w:r>
      <w:r w:rsidRPr="00DF062B">
        <w:rPr>
          <w:rFonts w:asciiTheme="minorHAnsi" w:hAnsiTheme="minorHAnsi" w:cstheme="minorHAnsi"/>
          <w:sz w:val="18"/>
          <w:szCs w:val="18"/>
        </w:rPr>
        <w:softHyphen/>
        <w:t>ne frakcje kruszywa były chronione za pomocą plandek lub zada</w:t>
      </w:r>
      <w:r w:rsidRPr="00DF062B">
        <w:rPr>
          <w:rFonts w:asciiTheme="minorHAnsi" w:hAnsiTheme="minorHAnsi" w:cstheme="minorHAnsi"/>
          <w:sz w:val="18"/>
          <w:szCs w:val="18"/>
        </w:rPr>
        <w:softHyphen/>
        <w:t>szeń. Podłoże składowiska musi być równe, utwardzone i dobrze odwodnione, aby nie dopuścić do zanieczyszczenia kruszywa w trakcie składowania.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Przechowywanie cementu powinno być zgodne z ustaleniami BN-88/6731-08.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Inne materiały należy przechowywać w sposób zgodny z zalece</w:t>
      </w:r>
      <w:r w:rsidRPr="00DF062B">
        <w:rPr>
          <w:rFonts w:asciiTheme="minorHAnsi" w:hAnsiTheme="minorHAnsi" w:cstheme="minorHAnsi"/>
          <w:sz w:val="18"/>
          <w:szCs w:val="18"/>
        </w:rPr>
        <w:softHyphen/>
        <w:t>niami producenta.</w:t>
      </w:r>
    </w:p>
    <w:p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sprzęt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Ogólne wymagania dotyczące sprzętu podano w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DM.00.00.00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„Wymagania ogólne” pkt 3.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Wykonawca przystępujący do wykonania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stalowych powinien wykazać się możliwością korzystania z następującego sprzętu:</w:t>
      </w:r>
    </w:p>
    <w:p w:rsidR="00A01967" w:rsidRPr="00DF062B" w:rsidRDefault="00A01967" w:rsidP="00A01967">
      <w:pPr>
        <w:pStyle w:val="sstnromalny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zestawu sprzętu specjalistycznego do montażu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>,</w:t>
      </w:r>
    </w:p>
    <w:p w:rsidR="00A01967" w:rsidRPr="00DF062B" w:rsidRDefault="00A01967" w:rsidP="00A01967">
      <w:pPr>
        <w:pStyle w:val="sstnromalny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żurawi samochodowych o udźwigu do 4 t,</w:t>
      </w:r>
    </w:p>
    <w:p w:rsidR="00A01967" w:rsidRPr="00DF062B" w:rsidRDefault="00A01967" w:rsidP="00A01967">
      <w:pPr>
        <w:pStyle w:val="sstnromalny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lastRenderedPageBreak/>
        <w:t>wiertnic do wykonywania otworów pod słupki,</w:t>
      </w:r>
    </w:p>
    <w:p w:rsidR="00A01967" w:rsidRPr="00DF062B" w:rsidRDefault="00A01967" w:rsidP="00A01967">
      <w:pPr>
        <w:pStyle w:val="sstnromalny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koparek kołowych,</w:t>
      </w:r>
    </w:p>
    <w:p w:rsidR="00A01967" w:rsidRPr="00DF062B" w:rsidRDefault="00A01967" w:rsidP="00A01967">
      <w:pPr>
        <w:pStyle w:val="sstnromalny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urządzeń wbijających lub wibromłotów do pogrążania słupków w grunt,</w:t>
      </w:r>
    </w:p>
    <w:p w:rsidR="00A01967" w:rsidRPr="00DF062B" w:rsidRDefault="00A01967" w:rsidP="00A01967">
      <w:pPr>
        <w:pStyle w:val="sstnromalny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betoniarki przewoźnej,</w:t>
      </w:r>
    </w:p>
    <w:p w:rsidR="00A01967" w:rsidRPr="00DF062B" w:rsidRDefault="00A01967" w:rsidP="00A01967">
      <w:pPr>
        <w:pStyle w:val="sstnromalny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wibratorów do betonu,</w:t>
      </w:r>
    </w:p>
    <w:p w:rsidR="00A01967" w:rsidRPr="00DF062B" w:rsidRDefault="00A01967" w:rsidP="00A01967">
      <w:pPr>
        <w:pStyle w:val="sstnromalny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przewoźnego zbiornika na wodę,</w:t>
      </w:r>
    </w:p>
    <w:p w:rsidR="00A01967" w:rsidRPr="00DF062B" w:rsidRDefault="00A01967" w:rsidP="00A01967">
      <w:pPr>
        <w:pStyle w:val="sstnromalny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ładowarki, itp.</w:t>
      </w:r>
    </w:p>
    <w:p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transport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Ogólne wymagania dotyczące transportu podano w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DM.00.00.00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„Wymagania ogólne” pkt 4.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Transport elementów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może odbywać się dowolnym środkiem transportu. Elementy konstrukcyjne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nie powinny wystawać poza gabaryt środka transportu. 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Elementy dłuższe (np. profilowaną taśmę stalową, pasy profilowe) należy przewozić w opakowaniach producenta. Elementy montażowe i połączeniowe zaleca się przewozić w pojemnikach handlowych producenta.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Załadunek i wyładunek elementów konstrukcji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można dokonywać za pomocą żurawi lub ręcznie. Przy załadunku i wyładunku, należy zabezpieczyć elementy konstrukcji przed pomieszaniem. Elementy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należy przewozić w warunkach zabezpieczających wyroby przed korozją i uszkodzeniami mechanicznymi.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Kruszywo do betonu można przewozić dowolnym środkiem transportu w warunkach zabezpieczających je przed zanieczyszczeniem i zmieszaniem z innymi materiałami. Podczas transportu kruszywa powinny być zabezpieczone przed wysypaniem, a kruszywo drobne - przed rozpyleniem. Drewno i elementy deskowania należy przewozić w warunkach chroniących je przed przemieszczaniem, a elementy metalowe w warunkach zabezpieczających przed korozją i uszkodzeniami mechanicznymi. Cement należy przewozić zgodnie z postanowieniami BN-88/6731-08. Mieszankę betonową należy przewozić zgodnie z postanowieniami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-B-06251.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Elementy prefabrykowane fundamentów mogą być przewożone dowolnymi środkami transportowymi w liczbie sztuk nie przekraczającej dopuszczalnego obciążenia zastosowanego środka transportu. Rozmieszczenie elementów na środku transportu powinno być symetryczne. Elementy należy układać na podkładach drewnianych.</w:t>
      </w:r>
    </w:p>
    <w:p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wykonanie robót</w:t>
      </w:r>
    </w:p>
    <w:p w:rsidR="00A01967" w:rsidRPr="00DF062B" w:rsidRDefault="00A01967" w:rsidP="00A01967">
      <w:pPr>
        <w:pStyle w:val="SSTnag3"/>
      </w:pPr>
      <w:r w:rsidRPr="00DF062B">
        <w:t>Ogólne zasady wykonania robót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Ogólne zasady wykonania robót podano w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DM.00.00.00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„Wymagania ogólne” pkt 5.</w:t>
      </w:r>
    </w:p>
    <w:p w:rsidR="00A01967" w:rsidRPr="00DF062B" w:rsidRDefault="00A01967" w:rsidP="00A01967">
      <w:pPr>
        <w:pStyle w:val="SSTnag3"/>
      </w:pPr>
      <w:r w:rsidRPr="00DF062B">
        <w:t>Roboty przygotowawcze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Przed wykonaniem właściwych robót należy, na podstawie dokumentacji projektowej,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lub wskazań </w:t>
      </w:r>
      <w:r w:rsidR="003861F8" w:rsidRPr="003861F8">
        <w:rPr>
          <w:rFonts w:asciiTheme="minorHAnsi" w:hAnsiTheme="minorHAnsi" w:cstheme="minorHAnsi"/>
          <w:sz w:val="18"/>
          <w:szCs w:val="18"/>
          <w:lang w:val="pl-PL"/>
        </w:rPr>
        <w:t>Inwestora</w:t>
      </w:r>
      <w:r w:rsidRPr="00DF062B">
        <w:rPr>
          <w:rFonts w:asciiTheme="minorHAnsi" w:hAnsiTheme="minorHAnsi" w:cstheme="minorHAnsi"/>
          <w:sz w:val="18"/>
          <w:szCs w:val="18"/>
        </w:rPr>
        <w:t>:</w:t>
      </w:r>
    </w:p>
    <w:p w:rsidR="00A01967" w:rsidRPr="00DF062B" w:rsidRDefault="00A01967" w:rsidP="00A01967">
      <w:pPr>
        <w:pStyle w:val="sstnromalny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wytyczyć trasę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>,</w:t>
      </w:r>
    </w:p>
    <w:p w:rsidR="00A01967" w:rsidRPr="00DF062B" w:rsidRDefault="00A01967" w:rsidP="00A01967">
      <w:pPr>
        <w:pStyle w:val="sstnromalny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ustalić lokalizację słupków </w:t>
      </w:r>
    </w:p>
    <w:p w:rsidR="00A01967" w:rsidRPr="00DF062B" w:rsidRDefault="00A01967" w:rsidP="00A01967">
      <w:pPr>
        <w:pStyle w:val="sstnromalny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określić wysokość prowadnicy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barier</w:t>
      </w:r>
      <w:r w:rsidR="00B2477F">
        <w:rPr>
          <w:rFonts w:asciiTheme="minorHAnsi" w:hAnsiTheme="minorHAnsi" w:cstheme="minorHAnsi"/>
          <w:sz w:val="18"/>
          <w:szCs w:val="18"/>
          <w:lang w:val="pl-PL"/>
        </w:rPr>
        <w:t>o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poręczy</w:t>
      </w:r>
      <w:proofErr w:type="spellEnd"/>
    </w:p>
    <w:p w:rsidR="00A01967" w:rsidRPr="00DF062B" w:rsidRDefault="00A01967" w:rsidP="00A01967">
      <w:pPr>
        <w:pStyle w:val="sstnromalny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określić miejsca odcinków początkowych i końcowych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>,</w:t>
      </w:r>
    </w:p>
    <w:p w:rsidR="00A01967" w:rsidRPr="00DF062B" w:rsidRDefault="00A01967" w:rsidP="00A01967">
      <w:pPr>
        <w:pStyle w:val="sstnromalny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ustalić ew. miejsca przerw, przejść i przejazdów w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>, itp.</w:t>
      </w:r>
    </w:p>
    <w:p w:rsidR="00A01967" w:rsidRPr="00DF062B" w:rsidRDefault="00A01967" w:rsidP="00A01967">
      <w:pPr>
        <w:pStyle w:val="sstnromalny"/>
        <w:ind w:left="729" w:firstLine="0"/>
        <w:rPr>
          <w:rFonts w:asciiTheme="minorHAnsi" w:hAnsiTheme="minorHAnsi" w:cstheme="minorHAnsi"/>
          <w:sz w:val="18"/>
          <w:szCs w:val="18"/>
        </w:rPr>
      </w:pPr>
    </w:p>
    <w:p w:rsidR="00A01967" w:rsidRPr="003861F8" w:rsidRDefault="00A01967" w:rsidP="003861F8">
      <w:pPr>
        <w:pStyle w:val="sstnag4"/>
        <w:rPr>
          <w:rFonts w:cstheme="minorHAnsi"/>
        </w:rPr>
      </w:pPr>
      <w:r w:rsidRPr="00DF062B">
        <w:rPr>
          <w:rFonts w:cstheme="minorHAnsi"/>
        </w:rPr>
        <w:t>Montaż ze słupkami mocowanymi za pomocą kotew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 trakcie montażu barier Wykonawca nie powinien ciąć, spawać ani wyginać elementów barier bez uprzedniej zgody I</w:t>
      </w:r>
      <w:r w:rsidR="003861F8">
        <w:rPr>
          <w:rFonts w:asciiTheme="minorHAnsi" w:hAnsiTheme="minorHAnsi" w:cstheme="minorHAnsi"/>
          <w:sz w:val="18"/>
          <w:szCs w:val="18"/>
          <w:lang w:val="pl-PL"/>
        </w:rPr>
        <w:t>nwestora</w:t>
      </w:r>
      <w:r w:rsidRPr="00DF062B">
        <w:rPr>
          <w:rFonts w:asciiTheme="minorHAnsi" w:hAnsiTheme="minorHAnsi" w:cstheme="minorHAnsi"/>
          <w:sz w:val="18"/>
          <w:szCs w:val="18"/>
        </w:rPr>
        <w:t xml:space="preserve"> i sprawdzenia czy nie spowoduje to zmniejszenia efektywności bariery w przenoszeniu obciążenia spowodowanego uderzeniem pojazdu.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Kolejność montażu jest następująca:</w:t>
      </w:r>
    </w:p>
    <w:p w:rsidR="00A01967" w:rsidRPr="00DF062B" w:rsidRDefault="00A01967" w:rsidP="00A01967">
      <w:pPr>
        <w:pStyle w:val="sstnromalny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w płycie chodnika, przed jej zabetonowaniem,  należy osadzić blachy z kotwami i tak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zastabilizować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, aby nie przesunęły się w czasie betonowania. Blachy powinny być osadzone 35 mm poniżej poziomu chodnika,</w:t>
      </w:r>
    </w:p>
    <w:p w:rsidR="00A01967" w:rsidRPr="00DF062B" w:rsidRDefault="00A01967" w:rsidP="00A01967">
      <w:pPr>
        <w:pStyle w:val="sstnromalny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należy ustawić słupki i wyregulować je wysokościowo, ewentualnie stosując kliny wyrównawcze,</w:t>
      </w:r>
    </w:p>
    <w:p w:rsidR="00A01967" w:rsidRPr="00DF062B" w:rsidRDefault="00A01967" w:rsidP="00A01967">
      <w:pPr>
        <w:pStyle w:val="sstnromalny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przyspawać słupki do blach z kotwami,</w:t>
      </w:r>
    </w:p>
    <w:p w:rsidR="00A01967" w:rsidRPr="00DF062B" w:rsidRDefault="00A01967" w:rsidP="00A01967">
      <w:pPr>
        <w:pStyle w:val="sstnromalny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uzupełnić powłoki antykorozyjne uszkodzone w trakcie spawania,</w:t>
      </w:r>
    </w:p>
    <w:p w:rsidR="00A01967" w:rsidRPr="00DF062B" w:rsidRDefault="00A01967" w:rsidP="00A01967">
      <w:pPr>
        <w:pStyle w:val="sstnromalny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w przypadku zastosowania na chodniku nawierzchni cienkowarstwowej, wnęki na słupki balustrady należy wypełnić zaprawą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niskoskurczową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. W przypadku zastosowania na chodniku nawierzchni z asfaltu lanego, słupek na jego obwodzie z nawierzchnią oraz ściankę progu należy okleić elastyczną taśmą asfaltową. Nawierzchnię na chodniku należy wykonać po stwardnieniu zaprawy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niskoskurczowej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.</w:t>
      </w:r>
    </w:p>
    <w:p w:rsidR="00A01967" w:rsidRPr="00DF062B" w:rsidRDefault="00A01967" w:rsidP="00A01967">
      <w:pPr>
        <w:pStyle w:val="sstnag4"/>
        <w:rPr>
          <w:rFonts w:cstheme="minorHAnsi"/>
        </w:rPr>
      </w:pPr>
      <w:r w:rsidRPr="00DF062B">
        <w:rPr>
          <w:rFonts w:cstheme="minorHAnsi"/>
        </w:rPr>
        <w:t>Tolerancje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Dopuszczalna technologicznie odchyłka odległości między słupkami, wynikająca z wymiarów wydłużonych otworów w prowadnicy, służących do zamocowania słupków, wynosi </w:t>
      </w:r>
      <w:r w:rsidRPr="00DF062B">
        <w:rPr>
          <w:rFonts w:asciiTheme="minorHAnsi" w:hAnsiTheme="minorHAnsi" w:cstheme="minorHAnsi"/>
          <w:sz w:val="18"/>
          <w:szCs w:val="18"/>
        </w:rPr>
        <w:sym w:font="Symbol" w:char="00B1"/>
      </w:r>
      <w:r w:rsidRPr="00DF062B">
        <w:rPr>
          <w:rFonts w:asciiTheme="minorHAnsi" w:hAnsiTheme="minorHAnsi" w:cstheme="minorHAnsi"/>
          <w:sz w:val="18"/>
          <w:szCs w:val="18"/>
        </w:rPr>
        <w:t xml:space="preserve"> 11 mm. Dopuszczalna różnica wysokości słupków, decydująca czy prowadnica będzie zamocowana równolegle do nawierzchni jezdni, jest wyznaczona kształtem i wymiarami otworów w słupkach do mocowania wysięgników lub przekładek i wynosi </w:t>
      </w:r>
      <w:r w:rsidRPr="00DF062B">
        <w:rPr>
          <w:rFonts w:asciiTheme="minorHAnsi" w:hAnsiTheme="minorHAnsi" w:cstheme="minorHAnsi"/>
          <w:sz w:val="18"/>
          <w:szCs w:val="18"/>
        </w:rPr>
        <w:sym w:font="Symbol" w:char="00B1"/>
      </w:r>
      <w:r w:rsidRPr="00DF062B">
        <w:rPr>
          <w:rFonts w:asciiTheme="minorHAnsi" w:hAnsiTheme="minorHAnsi" w:cstheme="minorHAnsi"/>
          <w:sz w:val="18"/>
          <w:szCs w:val="18"/>
        </w:rPr>
        <w:t xml:space="preserve"> 6 mm.</w:t>
      </w:r>
    </w:p>
    <w:p w:rsidR="00A01967" w:rsidRPr="00DF062B" w:rsidRDefault="00A01967" w:rsidP="00A01967">
      <w:pPr>
        <w:pStyle w:val="SSTnag3"/>
      </w:pPr>
      <w:r w:rsidRPr="00DF062B">
        <w:t xml:space="preserve">Montaż </w:t>
      </w:r>
      <w:proofErr w:type="spellStart"/>
      <w:r w:rsidR="00F04E48" w:rsidRPr="00F04E48">
        <w:rPr>
          <w:lang w:val="pl-PL"/>
        </w:rPr>
        <w:t>barieroporęczy</w:t>
      </w:r>
      <w:proofErr w:type="spellEnd"/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Sposób montażu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barier</w:t>
      </w:r>
      <w:r w:rsidR="00F04E48">
        <w:rPr>
          <w:rFonts w:asciiTheme="minorHAnsi" w:hAnsiTheme="minorHAnsi" w:cstheme="minorHAnsi"/>
          <w:sz w:val="18"/>
          <w:szCs w:val="18"/>
          <w:lang w:val="pl-PL"/>
        </w:rPr>
        <w:t>o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poręczy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zaproponuje Wykonawca i przedstawi do akceptacji Inżyniera.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proofErr w:type="spellStart"/>
      <w:r w:rsidRPr="00DF062B">
        <w:rPr>
          <w:rFonts w:asciiTheme="minorHAnsi" w:hAnsiTheme="minorHAnsi" w:cstheme="minorHAnsi"/>
          <w:sz w:val="18"/>
          <w:szCs w:val="18"/>
        </w:rPr>
        <w:lastRenderedPageBreak/>
        <w:t>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oporęcza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powinna być montowana zgodnie z instrukcją montażową lub zgodnie z zasadami konstrukcyjnymi ustalonymi przez producenta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barier</w:t>
      </w:r>
      <w:r w:rsidR="00ED0185">
        <w:rPr>
          <w:rFonts w:asciiTheme="minorHAnsi" w:hAnsiTheme="minorHAnsi" w:cstheme="minorHAnsi"/>
          <w:sz w:val="18"/>
          <w:szCs w:val="18"/>
          <w:lang w:val="pl-PL"/>
        </w:rPr>
        <w:t>o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poręczy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. Montaż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>, w ramach dopuszczalnych odchyłek umożliwionych wielkością otworów w elementach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>, powinien doprowadzić do zapewnienia równej i płynnej linii prowadnic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w planie i profilu. Przy montażu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niedopuszczalne jest wykonywanie jakichkolwiek otworów lub cięć, naruszających powłokę cynkową poszczególnych elementów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>. Przy montażu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należy zwracać uwagę na poprawne wykonanie, zgodne z wytycznymi producenta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>:</w:t>
      </w:r>
    </w:p>
    <w:p w:rsidR="00A01967" w:rsidRPr="00DF062B" w:rsidRDefault="00A01967" w:rsidP="00A01967">
      <w:pPr>
        <w:pStyle w:val="sstnromalny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odcinków początkowych i końcowych, o właściwej długości odcinka, z zastosowaniem łączników ukośnych w miejscach niezbędnych przy połączeniu poziomego odcinka prowadnicy z odcinkiem nachylonym, z odchyleniem odcinka w planie w miejscach przewidzianych dla barier skrajnych, </w:t>
      </w:r>
    </w:p>
    <w:p w:rsidR="00A01967" w:rsidRPr="00DF062B" w:rsidRDefault="00A01967" w:rsidP="00A01967">
      <w:pPr>
        <w:pStyle w:val="sstnromalny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odcinków barier osłonowych o właściwej długości odcinka bariery: a) przyległego do obiektu lub przeszkody, b) przed i za obiektem, c) ukośnego początkowego, d) ukośnego końcowego, e) wzmocnionego,</w:t>
      </w:r>
    </w:p>
    <w:p w:rsidR="00A01967" w:rsidRPr="00DF062B" w:rsidRDefault="00A01967" w:rsidP="00A01967">
      <w:pPr>
        <w:pStyle w:val="sstnromalny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dodatkowych urządzeń, jak np. dodatkowej prowadnicy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>, osłony słupków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>, itp.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Na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powinny być umieszczone elementy odblaskowe:</w:t>
      </w:r>
    </w:p>
    <w:p w:rsidR="00A01967" w:rsidRPr="00DF062B" w:rsidRDefault="00A01967" w:rsidP="00A01967">
      <w:pPr>
        <w:pStyle w:val="sstnromalny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czerwone </w:t>
      </w:r>
      <w:r w:rsidRPr="00DF062B">
        <w:rPr>
          <w:rFonts w:asciiTheme="minorHAnsi" w:hAnsiTheme="minorHAnsi" w:cstheme="minorHAnsi"/>
          <w:sz w:val="18"/>
          <w:szCs w:val="18"/>
        </w:rPr>
        <w:tab/>
        <w:t>- po prawej stronie jezdni,</w:t>
      </w:r>
    </w:p>
    <w:p w:rsidR="00A01967" w:rsidRPr="00DF062B" w:rsidRDefault="00A01967" w:rsidP="00A01967">
      <w:pPr>
        <w:pStyle w:val="sstnromalny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białe</w:t>
      </w:r>
      <w:r w:rsidRPr="00DF062B">
        <w:rPr>
          <w:rFonts w:asciiTheme="minorHAnsi" w:hAnsiTheme="minorHAnsi" w:cstheme="minorHAnsi"/>
          <w:sz w:val="18"/>
          <w:szCs w:val="18"/>
        </w:rPr>
        <w:tab/>
        <w:t xml:space="preserve">       </w:t>
      </w:r>
      <w:r w:rsidRPr="00DF062B">
        <w:rPr>
          <w:rFonts w:asciiTheme="minorHAnsi" w:hAnsiTheme="minorHAnsi" w:cstheme="minorHAnsi"/>
          <w:sz w:val="18"/>
          <w:szCs w:val="18"/>
        </w:rPr>
        <w:tab/>
        <w:t>- po lewej stronie jezdni.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Odległości pomiędzy kolejnymi elementami odblaskowymi powinny być zgodne z ustaleniami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WSDBO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.</w:t>
      </w:r>
    </w:p>
    <w:p w:rsidR="00A01967" w:rsidRPr="00DF062B" w:rsidRDefault="00A01967" w:rsidP="00CB0B74">
      <w:pPr>
        <w:pStyle w:val="sstnromalny"/>
        <w:ind w:left="708" w:firstLine="1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Elementy odblaskowe należy umocować do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w sposób trwały, zgodny z wytycznymi producenta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>.</w:t>
      </w:r>
    </w:p>
    <w:p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KONTROLA JAKOŚCI ROBÓT</w:t>
      </w:r>
    </w:p>
    <w:p w:rsidR="00A01967" w:rsidRPr="00DF062B" w:rsidRDefault="00A01967" w:rsidP="00A01967">
      <w:pPr>
        <w:pStyle w:val="SSTnag3"/>
      </w:pPr>
      <w:r w:rsidRPr="00DF062B">
        <w:t>Ogólne zasady kontroli jakości robót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Ogólne zasady kontroli jakości robót podano w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DM.00.00.00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„Wymagania ogólne” pkt 6.</w:t>
      </w:r>
    </w:p>
    <w:p w:rsidR="00A01967" w:rsidRPr="00DF062B" w:rsidRDefault="00A01967" w:rsidP="00A01967">
      <w:pPr>
        <w:pStyle w:val="SSTnag3"/>
      </w:pPr>
      <w:r w:rsidRPr="00DF062B">
        <w:t>Badania przed przystąpieniem do robót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Przed przystąpieniem do robót Wykonawca powinien uzyskać wymagane dokumenty, dopuszczające wyroby budowlane do obrotu i powszechnego stosowania (certyfikaty zgodności, deklaracje zgodności, aprobaty techniczne, ew. badania materiałów wykonane przez dostawców itp.).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Wszystkie dokumenty oraz wyniki badań Wykonawca przedstawia </w:t>
      </w:r>
      <w:r w:rsidR="00937A4D" w:rsidRPr="00937A4D">
        <w:rPr>
          <w:rFonts w:asciiTheme="minorHAnsi" w:hAnsiTheme="minorHAnsi" w:cstheme="minorHAnsi"/>
          <w:sz w:val="18"/>
          <w:szCs w:val="18"/>
          <w:lang w:val="pl-PL"/>
        </w:rPr>
        <w:t>Inwestor</w:t>
      </w:r>
      <w:r w:rsidR="00937A4D">
        <w:rPr>
          <w:rFonts w:asciiTheme="minorHAnsi" w:hAnsiTheme="minorHAnsi" w:cstheme="minorHAnsi"/>
          <w:sz w:val="18"/>
          <w:szCs w:val="18"/>
          <w:lang w:val="pl-PL"/>
        </w:rPr>
        <w:t>owi</w:t>
      </w:r>
      <w:r w:rsidRPr="00DF062B">
        <w:rPr>
          <w:rFonts w:asciiTheme="minorHAnsi" w:hAnsiTheme="minorHAnsi" w:cstheme="minorHAnsi"/>
          <w:sz w:val="18"/>
          <w:szCs w:val="18"/>
        </w:rPr>
        <w:t xml:space="preserve"> do akceptacji.</w:t>
      </w:r>
    </w:p>
    <w:p w:rsidR="00A01967" w:rsidRPr="00DF062B" w:rsidRDefault="00A01967" w:rsidP="00A01967">
      <w:pPr>
        <w:pStyle w:val="SSTnag3"/>
      </w:pPr>
      <w:r w:rsidRPr="00DF062B">
        <w:t>Badania w czasie wykonywania robót</w:t>
      </w:r>
    </w:p>
    <w:p w:rsidR="00A01967" w:rsidRPr="00DF062B" w:rsidRDefault="00A01967" w:rsidP="00A01967">
      <w:pPr>
        <w:pStyle w:val="sstnag4"/>
        <w:rPr>
          <w:rFonts w:cstheme="minorHAnsi"/>
        </w:rPr>
      </w:pPr>
      <w:r w:rsidRPr="00DF062B">
        <w:rPr>
          <w:rFonts w:cstheme="minorHAnsi"/>
        </w:rPr>
        <w:t>Badania materiałów w czasie wykonywania robót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Wszystkie materiały dostarczone na budowę z zaświadczeniem o jakości (certyfikaty zgodności, deklaracje zgodności, aprobaty techniczne itp.) producenta powinny być sprawdzone w zakresie powierzchni wyrobu i jego wymiarów.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 przypadkach budzących wątpliwości można zlecić uprawnionej jednostce zbadanie właściwości dostarczonych wyrobów i materiałów w zakresie wymagań podanych w punkcie 2. </w:t>
      </w:r>
    </w:p>
    <w:p w:rsidR="00A01967" w:rsidRPr="00DF062B" w:rsidRDefault="00A01967" w:rsidP="00A01967">
      <w:pPr>
        <w:pStyle w:val="sstnag4"/>
        <w:rPr>
          <w:rFonts w:cstheme="minorHAnsi"/>
        </w:rPr>
      </w:pPr>
      <w:r w:rsidRPr="00DF062B">
        <w:rPr>
          <w:rFonts w:cstheme="minorHAnsi"/>
        </w:rPr>
        <w:t>Kontrola w czasie wykonywania robót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 czasie wykonywania robót należy zbadać:</w:t>
      </w:r>
    </w:p>
    <w:p w:rsidR="00A01967" w:rsidRPr="00DF062B" w:rsidRDefault="00A01967" w:rsidP="00A01967">
      <w:pPr>
        <w:pStyle w:val="sstnromalny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zgodność wykonania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CC7409">
        <w:rPr>
          <w:rFonts w:asciiTheme="minorHAnsi" w:hAnsiTheme="minorHAnsi" w:cstheme="minorHAnsi"/>
          <w:sz w:val="18"/>
          <w:szCs w:val="18"/>
          <w:lang w:val="pl-PL"/>
        </w:rPr>
        <w:t>S</w:t>
      </w:r>
      <w:r w:rsidR="00BF2701">
        <w:rPr>
          <w:rFonts w:asciiTheme="minorHAnsi" w:hAnsiTheme="minorHAnsi" w:cstheme="minorHAnsi"/>
          <w:sz w:val="18"/>
          <w:szCs w:val="18"/>
          <w:lang w:val="pl-PL"/>
        </w:rPr>
        <w:t>WZ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(lokalizacja, wymiary, wysokość prowadnicy nad terenem),</w:t>
      </w:r>
    </w:p>
    <w:p w:rsidR="00A01967" w:rsidRPr="00DF062B" w:rsidRDefault="00A01967" w:rsidP="00A01967">
      <w:pPr>
        <w:pStyle w:val="sstnromalny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zachowanie dopuszczalnych odchyłek wymiarów, zgodnie z punktem 2 i katalogiem (informacją) producenta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>,</w:t>
      </w:r>
    </w:p>
    <w:p w:rsidR="00A01967" w:rsidRPr="00DF062B" w:rsidRDefault="00A01967" w:rsidP="00A01967">
      <w:pPr>
        <w:pStyle w:val="sstnromalny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poprawność ustawienia słupków, zgodnie z punktem 5,</w:t>
      </w:r>
    </w:p>
    <w:p w:rsidR="00A01967" w:rsidRPr="00DF062B" w:rsidRDefault="00A01967" w:rsidP="00A01967">
      <w:pPr>
        <w:pStyle w:val="sstnromalny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prawidłowość montażu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stalowej, zgodnie z punktem 5,</w:t>
      </w:r>
    </w:p>
    <w:p w:rsidR="00A01967" w:rsidRPr="00DF062B" w:rsidRDefault="00A01967" w:rsidP="00A01967">
      <w:pPr>
        <w:pStyle w:val="sstnromalny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poprawność umieszczenia elementów odblaskowych, zgodnie z obowiązującymi przepisami.</w:t>
      </w:r>
    </w:p>
    <w:p w:rsidR="00A01967" w:rsidRPr="00DF062B" w:rsidRDefault="00A01967" w:rsidP="00A01967">
      <w:pPr>
        <w:pStyle w:val="sstnromalny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Kontrola montażu 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Należy przyjąć następujące dopuszczalne odchyłki montażu:</w:t>
      </w:r>
    </w:p>
    <w:p w:rsidR="00A01967" w:rsidRPr="00DF062B" w:rsidRDefault="00A01967" w:rsidP="00A01967">
      <w:pPr>
        <w:pStyle w:val="sstnromalny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odchylenie słupka od pionu </w:t>
      </w:r>
      <w:r w:rsidRPr="00DF062B">
        <w:rPr>
          <w:rFonts w:asciiTheme="minorHAnsi" w:hAnsiTheme="minorHAnsi" w:cstheme="minorHAnsi"/>
          <w:sz w:val="18"/>
          <w:szCs w:val="18"/>
        </w:rPr>
        <w:sym w:font="Symbol" w:char="F0B1"/>
      </w:r>
      <w:r w:rsidRPr="00DF062B">
        <w:rPr>
          <w:rFonts w:asciiTheme="minorHAnsi" w:hAnsiTheme="minorHAnsi" w:cstheme="minorHAnsi"/>
          <w:sz w:val="18"/>
          <w:szCs w:val="18"/>
        </w:rPr>
        <w:t xml:space="preserve"> 0,5%,</w:t>
      </w:r>
    </w:p>
    <w:p w:rsidR="00A01967" w:rsidRPr="00DF062B" w:rsidRDefault="00A01967" w:rsidP="00A01967">
      <w:pPr>
        <w:pStyle w:val="sstnromalny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odchyłka w odległości ustawienia słupka od krawędzi jezdni </w:t>
      </w:r>
      <w:r w:rsidRPr="00DF062B">
        <w:rPr>
          <w:rFonts w:asciiTheme="minorHAnsi" w:hAnsiTheme="minorHAnsi" w:cstheme="minorHAnsi"/>
          <w:sz w:val="18"/>
          <w:szCs w:val="18"/>
        </w:rPr>
        <w:sym w:font="Symbol" w:char="F0B1"/>
      </w:r>
      <w:r w:rsidRPr="00DF062B">
        <w:rPr>
          <w:rFonts w:asciiTheme="minorHAnsi" w:hAnsiTheme="minorHAnsi" w:cstheme="minorHAnsi"/>
          <w:sz w:val="18"/>
          <w:szCs w:val="18"/>
        </w:rPr>
        <w:t xml:space="preserve"> 0,5 cm,</w:t>
      </w:r>
    </w:p>
    <w:p w:rsidR="00A01967" w:rsidRPr="00DF062B" w:rsidRDefault="00A01967" w:rsidP="00A01967">
      <w:pPr>
        <w:pStyle w:val="sstnromalny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odchyłka od prostoliniowości wykonanej balustrady 0,5%.</w:t>
      </w:r>
    </w:p>
    <w:p w:rsidR="00A01967" w:rsidRPr="00DF062B" w:rsidRDefault="00A01967" w:rsidP="00CB0B74">
      <w:pPr>
        <w:pStyle w:val="sstnromalny"/>
        <w:ind w:left="708" w:firstLine="1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Należy skontrolować styk słupka z powierzchnią betonu chodnika - powinien być szczelny, a zaprawa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niskoskurczowa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tak uformowana, aby odpływ wody był na zewnątrz.  </w:t>
      </w:r>
    </w:p>
    <w:p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OBMIAR ROBÓT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Ogólne zasady obmiaru robót podano w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DM.00.00.00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„Wymagania ogólne” pkt 7.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Jednostką obmiarową jest m (metr) wykonanej 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bariery i/lub </w:t>
      </w:r>
      <w:r w:rsidRPr="00DF062B">
        <w:rPr>
          <w:rFonts w:asciiTheme="minorHAnsi" w:hAnsiTheme="minorHAnsi" w:cstheme="minorHAnsi"/>
          <w:sz w:val="18"/>
          <w:szCs w:val="18"/>
        </w:rPr>
        <w:t>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stalowej.</w:t>
      </w:r>
    </w:p>
    <w:p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ODBIÓR ROBÓT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Ogólne zasady odbioru robót podano w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DM.00.00.00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„Wymagania ogólne” pkt 8.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Roboty uznaje się za wykonane zgodnie z </w:t>
      </w:r>
      <w:proofErr w:type="spellStart"/>
      <w:r w:rsidR="00CC7409">
        <w:rPr>
          <w:rFonts w:asciiTheme="minorHAnsi" w:hAnsiTheme="minorHAnsi" w:cstheme="minorHAnsi"/>
          <w:sz w:val="18"/>
          <w:szCs w:val="18"/>
          <w:lang w:val="pl-PL"/>
        </w:rPr>
        <w:t>S</w:t>
      </w:r>
      <w:r w:rsidR="002073DB">
        <w:rPr>
          <w:rFonts w:asciiTheme="minorHAnsi" w:hAnsiTheme="minorHAnsi" w:cstheme="minorHAnsi"/>
          <w:sz w:val="18"/>
          <w:szCs w:val="18"/>
          <w:lang w:val="pl-PL"/>
        </w:rPr>
        <w:t>WZ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i wymaganiami </w:t>
      </w:r>
      <w:r w:rsidR="00C8450D" w:rsidRPr="00C8450D">
        <w:rPr>
          <w:rFonts w:asciiTheme="minorHAnsi" w:hAnsiTheme="minorHAnsi" w:cstheme="minorHAnsi"/>
          <w:sz w:val="18"/>
          <w:szCs w:val="18"/>
          <w:lang w:val="pl-PL"/>
        </w:rPr>
        <w:t>Inwestora</w:t>
      </w:r>
      <w:r w:rsidRPr="00DF062B">
        <w:rPr>
          <w:rFonts w:asciiTheme="minorHAnsi" w:hAnsiTheme="minorHAnsi" w:cstheme="minorHAnsi"/>
          <w:sz w:val="18"/>
          <w:szCs w:val="18"/>
        </w:rPr>
        <w:t>, jeżeli wszystkie pomiary i badania z zachowaniem tolerancji wg pkt 6 dały wyniki pozytywne.</w:t>
      </w:r>
    </w:p>
    <w:p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PODSTAWA PŁATNOŚCI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Ogólne ustalenia dotyczące podstawy płatności podano w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STWiORB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DM.00.00.00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„Wymagania ogólne” pkt 9.</w:t>
      </w:r>
    </w:p>
    <w:p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lastRenderedPageBreak/>
        <w:t>Cena wykonania 1 m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 bariery i /lub </w:t>
      </w:r>
      <w:r w:rsidRPr="00DF062B">
        <w:rPr>
          <w:rFonts w:asciiTheme="minorHAnsi" w:hAnsiTheme="minorHAnsi" w:cstheme="minorHAnsi"/>
          <w:sz w:val="18"/>
          <w:szCs w:val="18"/>
        </w:rPr>
        <w:t>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o-poręczy</w:t>
      </w:r>
      <w:r w:rsidRPr="00DF062B">
        <w:rPr>
          <w:rFonts w:asciiTheme="minorHAnsi" w:hAnsiTheme="minorHAnsi" w:cstheme="minorHAnsi"/>
          <w:sz w:val="18"/>
          <w:szCs w:val="18"/>
        </w:rPr>
        <w:t xml:space="preserve"> stalowej obejmuje m.in.:</w:t>
      </w:r>
    </w:p>
    <w:p w:rsidR="00A01967" w:rsidRPr="00DF062B" w:rsidRDefault="00A01967" w:rsidP="00A01967">
      <w:pPr>
        <w:pStyle w:val="sstnromalny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prace pomiarowe i roboty przygotowawcze,</w:t>
      </w:r>
    </w:p>
    <w:p w:rsidR="00A01967" w:rsidRPr="00DF062B" w:rsidRDefault="00A01967" w:rsidP="00A01967">
      <w:pPr>
        <w:pStyle w:val="sstnromalny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oznakowanie robót,</w:t>
      </w:r>
    </w:p>
    <w:p w:rsidR="00A01967" w:rsidRPr="00DF062B" w:rsidRDefault="00A01967" w:rsidP="00A01967">
      <w:pPr>
        <w:pStyle w:val="sstnromalny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dostarczenie materiałów,</w:t>
      </w:r>
    </w:p>
    <w:p w:rsidR="00A01967" w:rsidRPr="00DF062B" w:rsidRDefault="00A01967" w:rsidP="00A01967">
      <w:pPr>
        <w:pStyle w:val="sstnromalny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osadzenie słupków </w:t>
      </w:r>
      <w:proofErr w:type="spellStart"/>
      <w:r w:rsidRPr="00DF062B">
        <w:rPr>
          <w:rFonts w:asciiTheme="minorHAnsi" w:hAnsiTheme="minorHAnsi" w:cstheme="minorHAnsi"/>
          <w:sz w:val="18"/>
          <w:szCs w:val="18"/>
        </w:rPr>
        <w:t>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oporęczy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(z ew. wykonaniem dołów i fundamentów betonowych,</w:t>
      </w:r>
      <w:r w:rsidR="00ED0185">
        <w:rPr>
          <w:rFonts w:asciiTheme="minorHAnsi" w:hAnsiTheme="minorHAnsi" w:cstheme="minorHAnsi"/>
          <w:sz w:val="18"/>
          <w:szCs w:val="18"/>
        </w:rPr>
        <w:t xml:space="preserve"> lub bezpośrednie wbicie wzgl. </w:t>
      </w:r>
      <w:r w:rsidRPr="00DF062B">
        <w:rPr>
          <w:rFonts w:asciiTheme="minorHAnsi" w:hAnsiTheme="minorHAnsi" w:cstheme="minorHAnsi"/>
          <w:sz w:val="18"/>
          <w:szCs w:val="18"/>
        </w:rPr>
        <w:t>wibrowanie w grunt),</w:t>
      </w:r>
    </w:p>
    <w:p w:rsidR="00A01967" w:rsidRPr="00DF062B" w:rsidRDefault="00A01967" w:rsidP="00A01967">
      <w:pPr>
        <w:pStyle w:val="sstnromalny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montaż bariery, lub </w:t>
      </w:r>
      <w:proofErr w:type="spellStart"/>
      <w:r w:rsidR="00CB0B74">
        <w:rPr>
          <w:rFonts w:asciiTheme="minorHAnsi" w:hAnsiTheme="minorHAnsi" w:cstheme="minorHAnsi"/>
          <w:sz w:val="18"/>
          <w:szCs w:val="18"/>
          <w:lang w:val="pl-PL"/>
        </w:rPr>
        <w:t>b</w:t>
      </w:r>
      <w:r w:rsidR="00CB0B74" w:rsidRPr="00CB0B74">
        <w:rPr>
          <w:rFonts w:asciiTheme="minorHAnsi" w:hAnsiTheme="minorHAnsi" w:cstheme="minorHAnsi"/>
          <w:sz w:val="18"/>
          <w:szCs w:val="18"/>
          <w:lang w:val="pl-PL"/>
        </w:rPr>
        <w:t>arieroporęcz</w:t>
      </w:r>
      <w:r w:rsidR="00CB0B74">
        <w:rPr>
          <w:rFonts w:asciiTheme="minorHAnsi" w:hAnsiTheme="minorHAnsi" w:cstheme="minorHAnsi"/>
          <w:sz w:val="18"/>
          <w:szCs w:val="18"/>
          <w:lang w:val="pl-PL"/>
        </w:rPr>
        <w:t>y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z wykonaniem niezbędnych odcinków początkowych i końcowych, ew. barier osłonowych, odcinków przejściowych pomiędzy różnymi typami barier, przerw, przejść i przejazdów w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 </w:t>
      </w:r>
      <w:r w:rsidRPr="00DF062B">
        <w:rPr>
          <w:rFonts w:asciiTheme="minorHAnsi" w:hAnsiTheme="minorHAnsi" w:cstheme="minorHAnsi"/>
          <w:sz w:val="18"/>
          <w:szCs w:val="18"/>
        </w:rPr>
        <w:t>barierze, umocowaniem elementów odblaskowych itp.,</w:t>
      </w:r>
    </w:p>
    <w:p w:rsidR="00A01967" w:rsidRPr="00DF062B" w:rsidRDefault="00A01967" w:rsidP="00A01967">
      <w:pPr>
        <w:pStyle w:val="sstnromalny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przeprowadzenie badań i pomiarów wymaganych w specyfikacji technicznej,</w:t>
      </w:r>
    </w:p>
    <w:p w:rsidR="00A01967" w:rsidRPr="00DF062B" w:rsidRDefault="00A01967" w:rsidP="00A01967">
      <w:pPr>
        <w:pStyle w:val="sstnromalny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uporządkowanie terenu.</w:t>
      </w:r>
    </w:p>
    <w:p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przepisy związane</w:t>
      </w:r>
    </w:p>
    <w:p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-EN 206-1</w:t>
      </w:r>
      <w:r w:rsidRPr="00DF062B">
        <w:rPr>
          <w:rFonts w:asciiTheme="minorHAnsi" w:hAnsiTheme="minorHAnsi" w:cstheme="minorHAnsi"/>
          <w:sz w:val="18"/>
          <w:szCs w:val="18"/>
        </w:rPr>
        <w:tab/>
        <w:t xml:space="preserve">Beton. Część 1: Wymagania, właściwości, produkcja i zgodność </w:t>
      </w:r>
    </w:p>
    <w:p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-EN 480-11</w:t>
      </w:r>
      <w:r w:rsidRPr="00DF062B">
        <w:rPr>
          <w:rFonts w:asciiTheme="minorHAnsi" w:hAnsiTheme="minorHAnsi" w:cstheme="minorHAnsi"/>
          <w:sz w:val="18"/>
          <w:szCs w:val="18"/>
        </w:rPr>
        <w:tab/>
        <w:t xml:space="preserve">Domieszki do betonu, zaprawy i zaczynu. Metody badań. Oznaczanie charakterystyki porów powietrznych w stwardniałym betonie </w:t>
      </w:r>
    </w:p>
    <w:p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-EN 934-2</w:t>
      </w:r>
      <w:r w:rsidRPr="00DF062B">
        <w:rPr>
          <w:rFonts w:asciiTheme="minorHAnsi" w:hAnsiTheme="minorHAnsi" w:cstheme="minorHAnsi"/>
          <w:sz w:val="18"/>
          <w:szCs w:val="18"/>
        </w:rPr>
        <w:tab/>
        <w:t xml:space="preserve">Domieszki  do  betonu,  zaprawy  i  zaczynu.  Domieszki  do  betonu. Definicje i wymagania </w:t>
      </w:r>
    </w:p>
    <w:p w:rsidR="00A01967" w:rsidRPr="00DF062B" w:rsidRDefault="00A01967" w:rsidP="00A01967">
      <w:pPr>
        <w:pStyle w:val="sstnromalny"/>
        <w:ind w:firstLine="0"/>
        <w:rPr>
          <w:rFonts w:asciiTheme="minorHAnsi" w:hAnsiTheme="minorHAnsi" w:cstheme="minorHAnsi"/>
          <w:sz w:val="18"/>
          <w:szCs w:val="18"/>
        </w:rPr>
      </w:pP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-EN 12620</w:t>
      </w:r>
      <w:r w:rsidRPr="00DF062B">
        <w:rPr>
          <w:rFonts w:asciiTheme="minorHAnsi" w:hAnsiTheme="minorHAnsi" w:cstheme="minorHAnsi"/>
          <w:sz w:val="18"/>
          <w:szCs w:val="18"/>
        </w:rPr>
        <w:tab/>
      </w:r>
      <w:r w:rsidRPr="00DF062B">
        <w:rPr>
          <w:rFonts w:asciiTheme="minorHAnsi" w:hAnsiTheme="minorHAnsi" w:cstheme="minorHAnsi"/>
          <w:sz w:val="18"/>
          <w:szCs w:val="18"/>
        </w:rPr>
        <w:tab/>
        <w:t>Kruszywa do betonu</w:t>
      </w:r>
    </w:p>
    <w:p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-EN 1008</w:t>
      </w:r>
      <w:r w:rsidRPr="00DF062B">
        <w:rPr>
          <w:rFonts w:asciiTheme="minorHAnsi" w:hAnsiTheme="minorHAnsi" w:cstheme="minorHAnsi"/>
          <w:sz w:val="18"/>
          <w:szCs w:val="18"/>
        </w:rPr>
        <w:tab/>
        <w:t>Woda zarobowa do betonu -- Specyfikacja pobierania próbek, badanie i ocena przydatności wody zarobowej do betonu, w tym wody odzyskanej z procesów produkcji betonu</w:t>
      </w:r>
    </w:p>
    <w:p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>-EN 197-1</w:t>
      </w:r>
      <w:r w:rsidRPr="00DF062B">
        <w:rPr>
          <w:rFonts w:asciiTheme="minorHAnsi" w:hAnsiTheme="minorHAnsi" w:cstheme="minorHAnsi"/>
          <w:sz w:val="18"/>
          <w:szCs w:val="18"/>
        </w:rPr>
        <w:tab/>
        <w:t xml:space="preserve"> Cement Część 1: Skład, wymagania i kryteria zgodności dotyczące cementów powszechnego użytku</w:t>
      </w:r>
    </w:p>
    <w:p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EN 1317-1 </w:t>
      </w:r>
      <w:r w:rsidRPr="00DF062B">
        <w:rPr>
          <w:rFonts w:asciiTheme="minorHAnsi" w:hAnsiTheme="minorHAnsi" w:cstheme="minorHAnsi"/>
          <w:sz w:val="18"/>
          <w:szCs w:val="18"/>
        </w:rPr>
        <w:tab/>
        <w:t>Systemy ograniczające drogę -- Część 1: Terminologia i ogólne kryteria metod badań</w:t>
      </w:r>
    </w:p>
    <w:p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EN 1317-2</w:t>
      </w:r>
      <w:r w:rsidRPr="00DF062B">
        <w:rPr>
          <w:rFonts w:asciiTheme="minorHAnsi" w:hAnsiTheme="minorHAnsi" w:cstheme="minorHAnsi"/>
          <w:sz w:val="18"/>
          <w:szCs w:val="18"/>
        </w:rPr>
        <w:tab/>
        <w:t>Systemy ograniczające drogę -- Część 2: Klasy działania, kryteria przyjęcia badań zderzeniowych i metody badań barier ochronnych i balustrad</w:t>
      </w:r>
    </w:p>
    <w:p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EN 1317-3</w:t>
      </w:r>
      <w:r w:rsidRPr="00DF062B">
        <w:rPr>
          <w:rFonts w:asciiTheme="minorHAnsi" w:hAnsiTheme="minorHAnsi" w:cstheme="minorHAnsi"/>
          <w:sz w:val="18"/>
          <w:szCs w:val="18"/>
        </w:rPr>
        <w:tab/>
        <w:t>Systemy ograniczające drogę -- Część 3: Klasy działania, kryteria przyjęcia badań zderzeniowych i metody badań poduszek zderzeniowych</w:t>
      </w:r>
    </w:p>
    <w:p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proofErr w:type="spellStart"/>
      <w:r w:rsidRPr="00DF062B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DF062B">
        <w:rPr>
          <w:rFonts w:asciiTheme="minorHAnsi" w:hAnsiTheme="minorHAnsi" w:cstheme="minorHAnsi"/>
          <w:sz w:val="18"/>
          <w:szCs w:val="18"/>
        </w:rPr>
        <w:t xml:space="preserve"> EN 1317-5</w:t>
      </w:r>
      <w:r w:rsidRPr="00DF062B">
        <w:rPr>
          <w:rFonts w:asciiTheme="minorHAnsi" w:hAnsiTheme="minorHAnsi" w:cstheme="minorHAnsi"/>
          <w:sz w:val="18"/>
          <w:szCs w:val="18"/>
        </w:rPr>
        <w:tab/>
        <w:t>Systemy ograniczające drogę -- Część 5: Wymagania w odniesieniu do wyrobów i ocena zgodności dotycząca systemów powstrzymujących pojazd</w:t>
      </w:r>
    </w:p>
    <w:p w:rsidR="00A01967" w:rsidRPr="00DF062B" w:rsidRDefault="00A01967" w:rsidP="00A01967">
      <w:pPr>
        <w:pStyle w:val="sstnromalny"/>
        <w:ind w:firstLine="0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Wytyczne stosowania drogowych barier ochronnych na drogach krajowych. GDDKIA, kwiecień 2010. </w:t>
      </w:r>
    </w:p>
    <w:sectPr w:rsidR="00A01967" w:rsidRPr="00DF06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2C" w:rsidRDefault="001C322C" w:rsidP="00DC2426">
      <w:r>
        <w:separator/>
      </w:r>
    </w:p>
  </w:endnote>
  <w:endnote w:type="continuationSeparator" w:id="0">
    <w:p w:rsidR="001C322C" w:rsidRDefault="001C322C" w:rsidP="00DC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950419"/>
      <w:docPartObj>
        <w:docPartGallery w:val="Page Numbers (Bottom of Page)"/>
        <w:docPartUnique/>
      </w:docPartObj>
    </w:sdtPr>
    <w:sdtEndPr/>
    <w:sdtContent>
      <w:p w:rsidR="00DC2426" w:rsidRDefault="00DC24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CC">
          <w:rPr>
            <w:noProof/>
          </w:rPr>
          <w:t>3</w:t>
        </w:r>
        <w:r>
          <w:fldChar w:fldCharType="end"/>
        </w:r>
      </w:p>
    </w:sdtContent>
  </w:sdt>
  <w:p w:rsidR="00DC2426" w:rsidRDefault="00DC2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2C" w:rsidRDefault="001C322C" w:rsidP="00DC2426">
      <w:r>
        <w:separator/>
      </w:r>
    </w:p>
  </w:footnote>
  <w:footnote w:type="continuationSeparator" w:id="0">
    <w:p w:rsidR="001C322C" w:rsidRDefault="001C322C" w:rsidP="00DC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D3E"/>
    <w:multiLevelType w:val="hybridMultilevel"/>
    <w:tmpl w:val="74D0CB6E"/>
    <w:lvl w:ilvl="0" w:tplc="D35AB6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730E"/>
    <w:multiLevelType w:val="hybridMultilevel"/>
    <w:tmpl w:val="4E988F9C"/>
    <w:lvl w:ilvl="0" w:tplc="987E997C">
      <w:start w:val="1"/>
      <w:numFmt w:val="bullet"/>
      <w:lvlText w:val=""/>
      <w:lvlJc w:val="left"/>
      <w:pPr>
        <w:tabs>
          <w:tab w:val="num" w:pos="1068"/>
        </w:tabs>
        <w:ind w:left="1406" w:hanging="338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EC62F5"/>
    <w:multiLevelType w:val="hybridMultilevel"/>
    <w:tmpl w:val="45B0CD58"/>
    <w:lvl w:ilvl="0" w:tplc="04150003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>
    <w:nsid w:val="201B6A1F"/>
    <w:multiLevelType w:val="hybridMultilevel"/>
    <w:tmpl w:val="150E3E66"/>
    <w:lvl w:ilvl="0" w:tplc="F4BC8016">
      <w:start w:val="1"/>
      <w:numFmt w:val="bullet"/>
      <w:lvlText w:val="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1" w:tplc="DF6A7B38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661A4"/>
    <w:multiLevelType w:val="hybridMultilevel"/>
    <w:tmpl w:val="2294FAE8"/>
    <w:lvl w:ilvl="0" w:tplc="0B761AF2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3317C"/>
    <w:multiLevelType w:val="hybridMultilevel"/>
    <w:tmpl w:val="3AE84DD0"/>
    <w:lvl w:ilvl="0" w:tplc="0B761AF2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>
    <w:nsid w:val="33B01F55"/>
    <w:multiLevelType w:val="hybridMultilevel"/>
    <w:tmpl w:val="7B667106"/>
    <w:lvl w:ilvl="0" w:tplc="403824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E4363"/>
    <w:multiLevelType w:val="hybridMultilevel"/>
    <w:tmpl w:val="E9D09636"/>
    <w:lvl w:ilvl="0" w:tplc="FFFFFFFF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>
    <w:nsid w:val="3BEA5183"/>
    <w:multiLevelType w:val="hybridMultilevel"/>
    <w:tmpl w:val="C5922808"/>
    <w:lvl w:ilvl="0" w:tplc="FFFFFFFF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>
    <w:nsid w:val="3DA76F21"/>
    <w:multiLevelType w:val="multilevel"/>
    <w:tmpl w:val="3E42C682"/>
    <w:lvl w:ilvl="0">
      <w:start w:val="1"/>
      <w:numFmt w:val="decimal"/>
      <w:pStyle w:val="SSTnag1"/>
      <w:suff w:val="space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STnagowek2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STnagwek3"/>
      <w:suff w:val="space"/>
      <w:lvlText w:val="%2.%3."/>
      <w:lvlJc w:val="left"/>
      <w:pPr>
        <w:ind w:left="-567" w:firstLine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stnag4"/>
      <w:suff w:val="space"/>
      <w:lvlText w:val="%2.%3.%4"/>
      <w:lvlJc w:val="left"/>
      <w:pPr>
        <w:ind w:left="785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1"/>
      <w:suff w:val="space"/>
      <w:lvlText w:val="%7"/>
      <w:lvlJc w:val="left"/>
      <w:pPr>
        <w:ind w:left="0" w:firstLine="0"/>
      </w:pPr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11C1FC7"/>
    <w:multiLevelType w:val="hybridMultilevel"/>
    <w:tmpl w:val="79F29732"/>
    <w:lvl w:ilvl="0" w:tplc="D35AB624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>
    <w:nsid w:val="50EC3E64"/>
    <w:multiLevelType w:val="hybridMultilevel"/>
    <w:tmpl w:val="7ED893E8"/>
    <w:lvl w:ilvl="0" w:tplc="04150001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5CA32313"/>
    <w:multiLevelType w:val="hybridMultilevel"/>
    <w:tmpl w:val="9DDECBA0"/>
    <w:lvl w:ilvl="0" w:tplc="0B40E93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FD2971"/>
    <w:multiLevelType w:val="hybridMultilevel"/>
    <w:tmpl w:val="00F2A370"/>
    <w:lvl w:ilvl="0" w:tplc="7096CAC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D1814"/>
    <w:multiLevelType w:val="hybridMultilevel"/>
    <w:tmpl w:val="B81C7D20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6E4CF8"/>
    <w:multiLevelType w:val="hybridMultilevel"/>
    <w:tmpl w:val="FDA2F76E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F0C42"/>
    <w:multiLevelType w:val="hybridMultilevel"/>
    <w:tmpl w:val="FA4AA368"/>
    <w:lvl w:ilvl="0" w:tplc="D35AB624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16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4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67"/>
    <w:rsid w:val="00064475"/>
    <w:rsid w:val="00136AC6"/>
    <w:rsid w:val="001470F8"/>
    <w:rsid w:val="001531D4"/>
    <w:rsid w:val="00160B48"/>
    <w:rsid w:val="001C322C"/>
    <w:rsid w:val="00207254"/>
    <w:rsid w:val="002073DB"/>
    <w:rsid w:val="00212F1D"/>
    <w:rsid w:val="002968C1"/>
    <w:rsid w:val="003861F8"/>
    <w:rsid w:val="00426A48"/>
    <w:rsid w:val="004B108F"/>
    <w:rsid w:val="004B7763"/>
    <w:rsid w:val="005A460D"/>
    <w:rsid w:val="00674471"/>
    <w:rsid w:val="006E65CC"/>
    <w:rsid w:val="00937A4D"/>
    <w:rsid w:val="0099056E"/>
    <w:rsid w:val="009937BD"/>
    <w:rsid w:val="009F3E30"/>
    <w:rsid w:val="00A01967"/>
    <w:rsid w:val="00A0428D"/>
    <w:rsid w:val="00AF6D9B"/>
    <w:rsid w:val="00B104CA"/>
    <w:rsid w:val="00B2477F"/>
    <w:rsid w:val="00B50DF3"/>
    <w:rsid w:val="00BF2701"/>
    <w:rsid w:val="00C8450D"/>
    <w:rsid w:val="00CB0B74"/>
    <w:rsid w:val="00CC7409"/>
    <w:rsid w:val="00CE739A"/>
    <w:rsid w:val="00D754A2"/>
    <w:rsid w:val="00DC2426"/>
    <w:rsid w:val="00E155AE"/>
    <w:rsid w:val="00ED0185"/>
    <w:rsid w:val="00ED6FE1"/>
    <w:rsid w:val="00F04E48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67"/>
    <w:pPr>
      <w:spacing w:after="0" w:line="240" w:lineRule="auto"/>
      <w:ind w:firstLine="357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1967"/>
    <w:pPr>
      <w:jc w:val="both"/>
    </w:pPr>
    <w:rPr>
      <w:rFonts w:ascii="Times New Roman PL" w:hAnsi="Times New Roman P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1967"/>
    <w:rPr>
      <w:rFonts w:ascii="Times New Roman PL" w:hAnsi="Times New Roman PL" w:cs="Times New Roman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019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01967"/>
    <w:rPr>
      <w:rFonts w:ascii="Calibri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19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1967"/>
    <w:rPr>
      <w:rFonts w:ascii="Calibri" w:hAnsi="Calibri" w:cs="Times New Roman"/>
      <w:sz w:val="16"/>
      <w:szCs w:val="16"/>
    </w:rPr>
  </w:style>
  <w:style w:type="paragraph" w:customStyle="1" w:styleId="SSTnag1">
    <w:name w:val="SST nagł 1"/>
    <w:basedOn w:val="Nagwek1"/>
    <w:link w:val="SSTnag1Znak"/>
    <w:autoRedefine/>
    <w:rsid w:val="00C8450D"/>
    <w:pPr>
      <w:keepNext w:val="0"/>
      <w:keepLines w:val="0"/>
      <w:numPr>
        <w:numId w:val="1"/>
      </w:numPr>
      <w:tabs>
        <w:tab w:val="left" w:pos="1701"/>
      </w:tabs>
      <w:suppressAutoHyphens/>
      <w:spacing w:before="240" w:after="60"/>
      <w:jc w:val="both"/>
    </w:pPr>
    <w:rPr>
      <w:rFonts w:asciiTheme="minorHAnsi" w:eastAsia="Times New Roman" w:hAnsiTheme="minorHAnsi" w:cs="Times New Roman"/>
      <w:caps/>
      <w:noProof/>
      <w:color w:val="auto"/>
      <w:kern w:val="28"/>
      <w:sz w:val="22"/>
      <w:szCs w:val="22"/>
      <w:lang w:eastAsia="x-none"/>
    </w:rPr>
  </w:style>
  <w:style w:type="paragraph" w:customStyle="1" w:styleId="SSTnagowek2">
    <w:name w:val="SST nagłowek 2"/>
    <w:basedOn w:val="Normalny"/>
    <w:link w:val="SSTnagowek2ZnakZnak"/>
    <w:autoRedefine/>
    <w:qFormat/>
    <w:rsid w:val="00A01967"/>
    <w:pPr>
      <w:keepNext/>
      <w:numPr>
        <w:ilvl w:val="1"/>
        <w:numId w:val="1"/>
      </w:numPr>
      <w:spacing w:before="240" w:after="60"/>
      <w:outlineLvl w:val="1"/>
    </w:pPr>
    <w:rPr>
      <w:rFonts w:asciiTheme="minorHAnsi" w:eastAsia="Times New Roman" w:hAnsiTheme="minorHAnsi"/>
      <w:b/>
      <w:caps/>
      <w:sz w:val="18"/>
      <w:szCs w:val="18"/>
      <w:lang w:val="x-none" w:eastAsia="x-none"/>
    </w:rPr>
  </w:style>
  <w:style w:type="paragraph" w:customStyle="1" w:styleId="SSTnag3">
    <w:name w:val="SST nagł 3"/>
    <w:basedOn w:val="SSTnagowek2"/>
    <w:link w:val="SSTnag3ZnakZnak"/>
    <w:autoRedefine/>
    <w:rsid w:val="00A01967"/>
    <w:pPr>
      <w:keepNext w:val="0"/>
      <w:numPr>
        <w:ilvl w:val="0"/>
        <w:numId w:val="0"/>
      </w:numPr>
      <w:spacing w:before="60"/>
      <w:jc w:val="both"/>
      <w:outlineLvl w:val="9"/>
    </w:pPr>
    <w:rPr>
      <w:rFonts w:cs="Arial"/>
      <w:caps w:val="0"/>
    </w:rPr>
  </w:style>
  <w:style w:type="character" w:customStyle="1" w:styleId="SSTnag1Znak">
    <w:name w:val="SST nagł 1 Znak"/>
    <w:link w:val="SSTnag1"/>
    <w:rsid w:val="00C8450D"/>
    <w:rPr>
      <w:rFonts w:eastAsia="Times New Roman" w:cs="Times New Roman"/>
      <w:b/>
      <w:bCs/>
      <w:caps/>
      <w:noProof/>
      <w:kern w:val="28"/>
      <w:lang w:eastAsia="x-none"/>
    </w:rPr>
  </w:style>
  <w:style w:type="character" w:customStyle="1" w:styleId="SSTnagowek2ZnakZnak">
    <w:name w:val="SST nagłowek 2 Znak Znak"/>
    <w:link w:val="SSTnagowek2"/>
    <w:rsid w:val="00A01967"/>
    <w:rPr>
      <w:rFonts w:eastAsia="Times New Roman" w:cs="Times New Roman"/>
      <w:b/>
      <w:caps/>
      <w:sz w:val="18"/>
      <w:szCs w:val="18"/>
      <w:lang w:val="x-none" w:eastAsia="x-none"/>
    </w:rPr>
  </w:style>
  <w:style w:type="character" w:customStyle="1" w:styleId="SSTnag3ZnakZnak">
    <w:name w:val="SST nagł 3 Znak Znak"/>
    <w:link w:val="SSTnag3"/>
    <w:rsid w:val="00A01967"/>
    <w:rPr>
      <w:rFonts w:eastAsia="Times New Roman" w:cs="Arial"/>
      <w:b/>
      <w:sz w:val="18"/>
      <w:szCs w:val="18"/>
      <w:lang w:val="x-none" w:eastAsia="x-none"/>
    </w:rPr>
  </w:style>
  <w:style w:type="paragraph" w:customStyle="1" w:styleId="sstnromalny">
    <w:name w:val="sst nromalny"/>
    <w:basedOn w:val="Normalny"/>
    <w:link w:val="sstnromalnyZnak"/>
    <w:rsid w:val="00A01967"/>
    <w:pPr>
      <w:keepLines/>
      <w:ind w:firstLine="709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sstnromalnyZnak">
    <w:name w:val="sst nromalny Znak"/>
    <w:link w:val="sstnromalny"/>
    <w:rsid w:val="00A0196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stnag4">
    <w:name w:val="sst nagł4"/>
    <w:basedOn w:val="sstnromalny"/>
    <w:rsid w:val="00A01967"/>
    <w:pPr>
      <w:keepLines w:val="0"/>
      <w:numPr>
        <w:ilvl w:val="3"/>
        <w:numId w:val="1"/>
      </w:numPr>
      <w:spacing w:before="60" w:after="60"/>
      <w:outlineLvl w:val="3"/>
    </w:pPr>
    <w:rPr>
      <w:rFonts w:asciiTheme="minorHAnsi" w:hAnsiTheme="minorHAnsi"/>
      <w:b/>
      <w:sz w:val="18"/>
      <w:szCs w:val="18"/>
    </w:rPr>
  </w:style>
  <w:style w:type="paragraph" w:customStyle="1" w:styleId="StylSSTnagowek2Dolewej">
    <w:name w:val="Styl SST nagłowek 2 + Do lewej"/>
    <w:basedOn w:val="SSTnagowek2"/>
    <w:rsid w:val="00A01967"/>
    <w:rPr>
      <w:bCs/>
    </w:rPr>
  </w:style>
  <w:style w:type="paragraph" w:customStyle="1" w:styleId="SSTnagwek3">
    <w:name w:val="SST nagłówek 3"/>
    <w:basedOn w:val="Normalny"/>
    <w:qFormat/>
    <w:rsid w:val="00A01967"/>
    <w:pPr>
      <w:numPr>
        <w:ilvl w:val="2"/>
        <w:numId w:val="1"/>
      </w:numPr>
      <w:spacing w:before="60" w:after="60"/>
    </w:pPr>
    <w:rPr>
      <w:rFonts w:asciiTheme="minorHAnsi" w:eastAsia="Calibri" w:hAnsiTheme="minorHAnsi"/>
      <w:b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0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2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2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67"/>
    <w:pPr>
      <w:spacing w:after="0" w:line="240" w:lineRule="auto"/>
      <w:ind w:firstLine="357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1967"/>
    <w:pPr>
      <w:jc w:val="both"/>
    </w:pPr>
    <w:rPr>
      <w:rFonts w:ascii="Times New Roman PL" w:hAnsi="Times New Roman P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1967"/>
    <w:rPr>
      <w:rFonts w:ascii="Times New Roman PL" w:hAnsi="Times New Roman PL" w:cs="Times New Roman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019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01967"/>
    <w:rPr>
      <w:rFonts w:ascii="Calibri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19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1967"/>
    <w:rPr>
      <w:rFonts w:ascii="Calibri" w:hAnsi="Calibri" w:cs="Times New Roman"/>
      <w:sz w:val="16"/>
      <w:szCs w:val="16"/>
    </w:rPr>
  </w:style>
  <w:style w:type="paragraph" w:customStyle="1" w:styleId="SSTnag1">
    <w:name w:val="SST nagł 1"/>
    <w:basedOn w:val="Nagwek1"/>
    <w:link w:val="SSTnag1Znak"/>
    <w:autoRedefine/>
    <w:rsid w:val="00C8450D"/>
    <w:pPr>
      <w:keepNext w:val="0"/>
      <w:keepLines w:val="0"/>
      <w:numPr>
        <w:numId w:val="1"/>
      </w:numPr>
      <w:tabs>
        <w:tab w:val="left" w:pos="1701"/>
      </w:tabs>
      <w:suppressAutoHyphens/>
      <w:spacing w:before="240" w:after="60"/>
      <w:jc w:val="both"/>
    </w:pPr>
    <w:rPr>
      <w:rFonts w:asciiTheme="minorHAnsi" w:eastAsia="Times New Roman" w:hAnsiTheme="minorHAnsi" w:cs="Times New Roman"/>
      <w:caps/>
      <w:noProof/>
      <w:color w:val="auto"/>
      <w:kern w:val="28"/>
      <w:sz w:val="22"/>
      <w:szCs w:val="22"/>
      <w:lang w:eastAsia="x-none"/>
    </w:rPr>
  </w:style>
  <w:style w:type="paragraph" w:customStyle="1" w:styleId="SSTnagowek2">
    <w:name w:val="SST nagłowek 2"/>
    <w:basedOn w:val="Normalny"/>
    <w:link w:val="SSTnagowek2ZnakZnak"/>
    <w:autoRedefine/>
    <w:qFormat/>
    <w:rsid w:val="00A01967"/>
    <w:pPr>
      <w:keepNext/>
      <w:numPr>
        <w:ilvl w:val="1"/>
        <w:numId w:val="1"/>
      </w:numPr>
      <w:spacing w:before="240" w:after="60"/>
      <w:outlineLvl w:val="1"/>
    </w:pPr>
    <w:rPr>
      <w:rFonts w:asciiTheme="minorHAnsi" w:eastAsia="Times New Roman" w:hAnsiTheme="minorHAnsi"/>
      <w:b/>
      <w:caps/>
      <w:sz w:val="18"/>
      <w:szCs w:val="18"/>
      <w:lang w:val="x-none" w:eastAsia="x-none"/>
    </w:rPr>
  </w:style>
  <w:style w:type="paragraph" w:customStyle="1" w:styleId="SSTnag3">
    <w:name w:val="SST nagł 3"/>
    <w:basedOn w:val="SSTnagowek2"/>
    <w:link w:val="SSTnag3ZnakZnak"/>
    <w:autoRedefine/>
    <w:rsid w:val="00A01967"/>
    <w:pPr>
      <w:keepNext w:val="0"/>
      <w:numPr>
        <w:ilvl w:val="0"/>
        <w:numId w:val="0"/>
      </w:numPr>
      <w:spacing w:before="60"/>
      <w:jc w:val="both"/>
      <w:outlineLvl w:val="9"/>
    </w:pPr>
    <w:rPr>
      <w:rFonts w:cs="Arial"/>
      <w:caps w:val="0"/>
    </w:rPr>
  </w:style>
  <w:style w:type="character" w:customStyle="1" w:styleId="SSTnag1Znak">
    <w:name w:val="SST nagł 1 Znak"/>
    <w:link w:val="SSTnag1"/>
    <w:rsid w:val="00C8450D"/>
    <w:rPr>
      <w:rFonts w:eastAsia="Times New Roman" w:cs="Times New Roman"/>
      <w:b/>
      <w:bCs/>
      <w:caps/>
      <w:noProof/>
      <w:kern w:val="28"/>
      <w:lang w:eastAsia="x-none"/>
    </w:rPr>
  </w:style>
  <w:style w:type="character" w:customStyle="1" w:styleId="SSTnagowek2ZnakZnak">
    <w:name w:val="SST nagłowek 2 Znak Znak"/>
    <w:link w:val="SSTnagowek2"/>
    <w:rsid w:val="00A01967"/>
    <w:rPr>
      <w:rFonts w:eastAsia="Times New Roman" w:cs="Times New Roman"/>
      <w:b/>
      <w:caps/>
      <w:sz w:val="18"/>
      <w:szCs w:val="18"/>
      <w:lang w:val="x-none" w:eastAsia="x-none"/>
    </w:rPr>
  </w:style>
  <w:style w:type="character" w:customStyle="1" w:styleId="SSTnag3ZnakZnak">
    <w:name w:val="SST nagł 3 Znak Znak"/>
    <w:link w:val="SSTnag3"/>
    <w:rsid w:val="00A01967"/>
    <w:rPr>
      <w:rFonts w:eastAsia="Times New Roman" w:cs="Arial"/>
      <w:b/>
      <w:sz w:val="18"/>
      <w:szCs w:val="18"/>
      <w:lang w:val="x-none" w:eastAsia="x-none"/>
    </w:rPr>
  </w:style>
  <w:style w:type="paragraph" w:customStyle="1" w:styleId="sstnromalny">
    <w:name w:val="sst nromalny"/>
    <w:basedOn w:val="Normalny"/>
    <w:link w:val="sstnromalnyZnak"/>
    <w:rsid w:val="00A01967"/>
    <w:pPr>
      <w:keepLines/>
      <w:ind w:firstLine="709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sstnromalnyZnak">
    <w:name w:val="sst nromalny Znak"/>
    <w:link w:val="sstnromalny"/>
    <w:rsid w:val="00A0196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stnag4">
    <w:name w:val="sst nagł4"/>
    <w:basedOn w:val="sstnromalny"/>
    <w:rsid w:val="00A01967"/>
    <w:pPr>
      <w:keepLines w:val="0"/>
      <w:numPr>
        <w:ilvl w:val="3"/>
        <w:numId w:val="1"/>
      </w:numPr>
      <w:spacing w:before="60" w:after="60"/>
      <w:outlineLvl w:val="3"/>
    </w:pPr>
    <w:rPr>
      <w:rFonts w:asciiTheme="minorHAnsi" w:hAnsiTheme="minorHAnsi"/>
      <w:b/>
      <w:sz w:val="18"/>
      <w:szCs w:val="18"/>
    </w:rPr>
  </w:style>
  <w:style w:type="paragraph" w:customStyle="1" w:styleId="StylSSTnagowek2Dolewej">
    <w:name w:val="Styl SST nagłowek 2 + Do lewej"/>
    <w:basedOn w:val="SSTnagowek2"/>
    <w:rsid w:val="00A01967"/>
    <w:rPr>
      <w:bCs/>
    </w:rPr>
  </w:style>
  <w:style w:type="paragraph" w:customStyle="1" w:styleId="SSTnagwek3">
    <w:name w:val="SST nagłówek 3"/>
    <w:basedOn w:val="Normalny"/>
    <w:qFormat/>
    <w:rsid w:val="00A01967"/>
    <w:pPr>
      <w:numPr>
        <w:ilvl w:val="2"/>
        <w:numId w:val="1"/>
      </w:numPr>
      <w:spacing w:before="60" w:after="60"/>
    </w:pPr>
    <w:rPr>
      <w:rFonts w:asciiTheme="minorHAnsi" w:eastAsia="Calibri" w:hAnsiTheme="minorHAnsi"/>
      <w:b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0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2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2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2525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2018-05-16T11:12:00Z</dcterms:created>
  <dcterms:modified xsi:type="dcterms:W3CDTF">2023-08-17T08:23:00Z</dcterms:modified>
</cp:coreProperties>
</file>