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F363" w14:textId="52951537" w:rsidR="006D7A83" w:rsidRPr="00D426A3" w:rsidRDefault="006D7A83" w:rsidP="006D7A83">
      <w:pPr>
        <w:jc w:val="right"/>
      </w:pPr>
      <w:r w:rsidRPr="00D426A3">
        <w:t xml:space="preserve">Załącznik nr </w:t>
      </w:r>
      <w:r w:rsidR="00A01256" w:rsidRPr="00D426A3">
        <w:t>3</w:t>
      </w:r>
      <w:r w:rsidR="00B2466A">
        <w:t xml:space="preserve"> KOREKTA</w:t>
      </w:r>
    </w:p>
    <w:p w14:paraId="31F9E499" w14:textId="77777777" w:rsidR="006D7A83" w:rsidRPr="00772BBC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</w:p>
    <w:p w14:paraId="5AC38DEF" w14:textId="77777777" w:rsidR="006D7A83" w:rsidRPr="00E23371" w:rsidRDefault="006D7A83" w:rsidP="006D7A83">
      <w:pPr>
        <w:jc w:val="both"/>
      </w:pPr>
      <w:r w:rsidRPr="00E23371">
        <w:t xml:space="preserve">Zawarta w dniu ..................... r. w </w:t>
      </w:r>
      <w:r w:rsidR="00E23371">
        <w:t>Słupsku</w:t>
      </w:r>
    </w:p>
    <w:p w14:paraId="1B28E730" w14:textId="77777777" w:rsidR="006D7A83" w:rsidRPr="00E23371" w:rsidRDefault="006D7A83" w:rsidP="006D7A83">
      <w:pPr>
        <w:jc w:val="both"/>
      </w:pPr>
      <w:r w:rsidRPr="00E23371">
        <w:t>pomiędzy:</w:t>
      </w:r>
    </w:p>
    <w:p w14:paraId="0B39DC5B" w14:textId="77777777" w:rsidR="00E23371" w:rsidRPr="00E23371" w:rsidRDefault="00E23371" w:rsidP="00E23371">
      <w:pPr>
        <w:jc w:val="both"/>
      </w:pPr>
      <w:r w:rsidRPr="00E23371">
        <w:t>Miastem Słupsk, w imieniu którego działa zarządca nieruchomości - Przedsiębiorstwo Gospodarki Mieszkaniowej Sp. z o.o.</w:t>
      </w:r>
    </w:p>
    <w:p w14:paraId="45C74036" w14:textId="77777777" w:rsidR="00E23371" w:rsidRPr="00E23371" w:rsidRDefault="00E23371" w:rsidP="00E23371">
      <w:pPr>
        <w:jc w:val="both"/>
      </w:pPr>
      <w:r w:rsidRPr="00E23371">
        <w:t>Adres siedziby: 76-200 Słupsk, ul. Tuwima 4</w:t>
      </w:r>
    </w:p>
    <w:p w14:paraId="07F73774" w14:textId="77777777" w:rsidR="00E23371" w:rsidRPr="00E23371" w:rsidRDefault="00E23371" w:rsidP="00E23371">
      <w:pPr>
        <w:jc w:val="both"/>
      </w:pPr>
      <w:r w:rsidRPr="00E23371">
        <w:t>NIP: 839-000-79-64</w:t>
      </w:r>
    </w:p>
    <w:p w14:paraId="32171CD5" w14:textId="77777777" w:rsidR="00E23371" w:rsidRPr="00E23371" w:rsidRDefault="00E23371" w:rsidP="00E23371">
      <w:pPr>
        <w:jc w:val="both"/>
      </w:pPr>
      <w:r w:rsidRPr="00E23371">
        <w:t>REGON: 771285155</w:t>
      </w:r>
    </w:p>
    <w:p w14:paraId="3BB9D9FE" w14:textId="77777777" w:rsidR="006D7A83" w:rsidRPr="00E23371" w:rsidRDefault="006D7A83" w:rsidP="006D7A83">
      <w:pPr>
        <w:jc w:val="both"/>
      </w:pPr>
      <w:r w:rsidRPr="00E23371">
        <w:t>reprezentowanym przez:</w:t>
      </w:r>
    </w:p>
    <w:p w14:paraId="63ECAB1B" w14:textId="77777777" w:rsidR="006D7A83" w:rsidRPr="00E23371" w:rsidRDefault="00E23371">
      <w:pPr>
        <w:numPr>
          <w:ilvl w:val="0"/>
          <w:numId w:val="10"/>
        </w:numPr>
        <w:jc w:val="both"/>
      </w:pPr>
      <w:r w:rsidRPr="00E23371">
        <w:t>Agnieszkę Zwierz – Prezesa Zarządu</w:t>
      </w:r>
    </w:p>
    <w:p w14:paraId="096D0FBE" w14:textId="77777777" w:rsidR="006D7A83" w:rsidRPr="00E23371" w:rsidRDefault="006D7A83" w:rsidP="006D7A83">
      <w:pPr>
        <w:jc w:val="both"/>
      </w:pPr>
      <w:r w:rsidRPr="00E23371">
        <w:t>zwanym dalej Ubezpieczającym</w:t>
      </w:r>
      <w:r w:rsidR="004E1838" w:rsidRPr="00E23371">
        <w:t xml:space="preserve"> lub Zamawiającym</w:t>
      </w:r>
    </w:p>
    <w:p w14:paraId="380192D6" w14:textId="77777777" w:rsidR="006D7A83" w:rsidRPr="009518A7" w:rsidRDefault="006D7A83" w:rsidP="006D7A83">
      <w:pPr>
        <w:spacing w:before="120"/>
      </w:pPr>
      <w:r w:rsidRPr="009518A7">
        <w:t>a</w:t>
      </w:r>
    </w:p>
    <w:p w14:paraId="2F6AF907" w14:textId="77777777" w:rsidR="006D7A83" w:rsidRPr="0029639A" w:rsidRDefault="006D7A83" w:rsidP="006D7A83">
      <w:pPr>
        <w:jc w:val="both"/>
      </w:pPr>
      <w:r w:rsidRPr="0029639A">
        <w:t>………………………………………………………………….……….…………</w:t>
      </w:r>
    </w:p>
    <w:p w14:paraId="35E060DA" w14:textId="77777777" w:rsidR="006D7A83" w:rsidRPr="0029639A" w:rsidRDefault="006D7A83" w:rsidP="006D7A83">
      <w:pPr>
        <w:jc w:val="both"/>
      </w:pPr>
      <w:r w:rsidRPr="0029639A">
        <w:t>Adres siedziby:…………………...</w:t>
      </w:r>
    </w:p>
    <w:p w14:paraId="7BF066D4" w14:textId="77777777" w:rsidR="006D7A83" w:rsidRPr="0029639A" w:rsidRDefault="006D7A83" w:rsidP="006D7A83">
      <w:pPr>
        <w:jc w:val="both"/>
      </w:pPr>
      <w:r w:rsidRPr="0029639A">
        <w:t>NIP: ……………………………...</w:t>
      </w:r>
    </w:p>
    <w:p w14:paraId="50A5D8D6" w14:textId="77777777" w:rsidR="006D7A83" w:rsidRPr="0029639A" w:rsidRDefault="006D7A83" w:rsidP="006D7A83">
      <w:pPr>
        <w:jc w:val="both"/>
      </w:pPr>
      <w:r w:rsidRPr="0029639A">
        <w:t>REGON : ………………………...</w:t>
      </w:r>
    </w:p>
    <w:p w14:paraId="057C7378" w14:textId="77777777" w:rsidR="006D7A83" w:rsidRPr="0029639A" w:rsidRDefault="006D7A83" w:rsidP="006D7A83">
      <w:pPr>
        <w:jc w:val="both"/>
      </w:pPr>
    </w:p>
    <w:p w14:paraId="12668163" w14:textId="77777777" w:rsidR="006D7A83" w:rsidRPr="009518A7" w:rsidRDefault="006D7A83" w:rsidP="006D7A83">
      <w:pPr>
        <w:jc w:val="both"/>
      </w:pPr>
      <w:r w:rsidRPr="009518A7">
        <w:t>reprezentowanym przez:</w:t>
      </w:r>
    </w:p>
    <w:p w14:paraId="017E6EB0" w14:textId="77777777" w:rsidR="006D7A83" w:rsidRPr="009865F5" w:rsidRDefault="006D7A83">
      <w:pPr>
        <w:numPr>
          <w:ilvl w:val="0"/>
          <w:numId w:val="15"/>
        </w:numPr>
        <w:ind w:left="426" w:hanging="426"/>
        <w:jc w:val="both"/>
      </w:pPr>
      <w:r w:rsidRPr="009865F5">
        <w:t>……………….. – ………………………………</w:t>
      </w:r>
    </w:p>
    <w:p w14:paraId="6A69007F" w14:textId="77777777" w:rsidR="006D7A83" w:rsidRPr="009865F5" w:rsidRDefault="006D7A83">
      <w:pPr>
        <w:numPr>
          <w:ilvl w:val="0"/>
          <w:numId w:val="15"/>
        </w:numPr>
        <w:ind w:left="426" w:hanging="426"/>
        <w:jc w:val="both"/>
      </w:pPr>
      <w:r w:rsidRPr="009865F5">
        <w:t>……………….. – ………………………………</w:t>
      </w:r>
    </w:p>
    <w:p w14:paraId="5944E892" w14:textId="77777777" w:rsidR="006D7A83" w:rsidRPr="009518A7" w:rsidRDefault="006D7A83" w:rsidP="006D7A83">
      <w:pPr>
        <w:jc w:val="both"/>
      </w:pPr>
      <w:r w:rsidRPr="009518A7">
        <w:t>zwanym dalej Ubezpieczycielem</w:t>
      </w:r>
      <w:r w:rsidR="004E1838">
        <w:t xml:space="preserve"> lub Wykonawcą </w:t>
      </w:r>
    </w:p>
    <w:p w14:paraId="439B0593" w14:textId="77777777" w:rsidR="006D7A83" w:rsidRPr="009518A7" w:rsidRDefault="006D7A83" w:rsidP="006D7A83">
      <w:pPr>
        <w:spacing w:before="120"/>
        <w:jc w:val="both"/>
      </w:pPr>
      <w:r w:rsidRPr="009518A7">
        <w:t>przy udziale brokera ubezpieczeniowego:</w:t>
      </w:r>
    </w:p>
    <w:p w14:paraId="2D31BEC2" w14:textId="77777777" w:rsidR="004E1838" w:rsidRPr="00C357CD" w:rsidRDefault="006D7A83" w:rsidP="004E1838">
      <w:pPr>
        <w:jc w:val="both"/>
      </w:pPr>
      <w:r>
        <w:t xml:space="preserve">Supra Brokers S.A. z siedzibą we </w:t>
      </w:r>
      <w:r w:rsidR="00BE2A45">
        <w:t>Wrocławiu przy Alei Śląskiej 1</w:t>
      </w:r>
      <w:r w:rsidR="004E1838">
        <w:t>,</w:t>
      </w:r>
      <w:r w:rsidR="00BE2A45">
        <w:t xml:space="preserve"> </w:t>
      </w:r>
      <w:r w:rsidR="004E1838">
        <w:t>wpisaną do rejestru przedsiębiorców prowadzonego przez Sąd Rejonowy dla Wrocławia- Fabrycznej VI Wydział Gospodarczy Krajowego Rejestru Sądowego pod numerem 0000425834, NIP: 8943041146, REGON: 021916234</w:t>
      </w:r>
      <w:r w:rsidR="004E1838" w:rsidRPr="00C357CD">
        <w:t xml:space="preserve">  </w:t>
      </w:r>
    </w:p>
    <w:p w14:paraId="686FD099" w14:textId="77777777" w:rsidR="006D7A83" w:rsidRDefault="006D7A83" w:rsidP="006D7A83">
      <w:pPr>
        <w:jc w:val="both"/>
      </w:pPr>
    </w:p>
    <w:p w14:paraId="24A2594C" w14:textId="77777777" w:rsidR="00BE2A45" w:rsidRDefault="00BE2A45" w:rsidP="006D7A83">
      <w:pPr>
        <w:jc w:val="both"/>
      </w:pPr>
    </w:p>
    <w:p w14:paraId="034878AD" w14:textId="4A809598" w:rsidR="00BE2A45" w:rsidRPr="00C357CD" w:rsidRDefault="002E0890" w:rsidP="00BE2A45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>
        <w:t>(Dz. U. z 202</w:t>
      </w:r>
      <w:r w:rsidR="004A1DE6">
        <w:t>2</w:t>
      </w:r>
      <w:r w:rsidRPr="008144BC">
        <w:t xml:space="preserve"> r. poz. </w:t>
      </w:r>
      <w:r>
        <w:t>1</w:t>
      </w:r>
      <w:r w:rsidR="004A1DE6">
        <w:t>710</w:t>
      </w:r>
      <w:r w:rsidRPr="008144BC">
        <w:t xml:space="preserve">), zwanej dalej ustawą </w:t>
      </w:r>
      <w:r w:rsidR="00BE2A45" w:rsidRPr="00C357CD">
        <w:t xml:space="preserve">oraz w wyniku rozstrzygnięcia </w:t>
      </w:r>
      <w:r w:rsidR="00BE2A45" w:rsidRPr="00E23371">
        <w:t xml:space="preserve">postępowania w trybie podstawowym bez negocjacji o udzielenie zamówienia publicznego na usługę ubezpieczenia </w:t>
      </w:r>
      <w:r w:rsidR="00E23371" w:rsidRPr="00E23371">
        <w:t>zasobów Gminy Miejskiej Słupsk  zarządzanych przez PGM sp. z o.o. w Słupsku</w:t>
      </w:r>
      <w:r w:rsidR="00BE2A45" w:rsidRPr="00E23371">
        <w:t>, o następującej treści:</w:t>
      </w:r>
    </w:p>
    <w:p w14:paraId="0E4A43F1" w14:textId="77777777" w:rsidR="006D7A83" w:rsidRPr="00BE4341" w:rsidRDefault="006D7A83" w:rsidP="006D7A83">
      <w:pPr>
        <w:keepNext/>
        <w:spacing w:before="240"/>
        <w:jc w:val="center"/>
      </w:pPr>
      <w:r w:rsidRPr="00BE4341">
        <w:sym w:font="Times New Roman" w:char="00A7"/>
      </w:r>
      <w:r w:rsidRPr="00BE4341">
        <w:t xml:space="preserve"> 1</w:t>
      </w:r>
    </w:p>
    <w:p w14:paraId="521D25C8" w14:textId="77777777" w:rsidR="006D7A83" w:rsidRPr="009518A7" w:rsidRDefault="006D7A83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Umowy Generalnej</w:t>
      </w:r>
      <w:r w:rsidRPr="009518A7">
        <w:t xml:space="preserve"> Ubezpieczyciel udziela </w:t>
      </w:r>
      <w:r w:rsidR="00656DEC">
        <w:t>u</w:t>
      </w:r>
      <w:r w:rsidRPr="009518A7">
        <w:t>bezpieczonemu ochrony</w:t>
      </w:r>
      <w:r>
        <w:t xml:space="preserve"> </w:t>
      </w:r>
      <w:r w:rsidRPr="009518A7">
        <w:t xml:space="preserve">ubezpieczeniowej w zakresie określonym przez </w:t>
      </w:r>
      <w:r>
        <w:t>Ubezpieczającego w SWZ</w:t>
      </w:r>
      <w:r w:rsidRPr="009518A7">
        <w:t>.</w:t>
      </w:r>
    </w:p>
    <w:p w14:paraId="433F4119" w14:textId="77777777" w:rsidR="006D7A83" w:rsidRPr="00E23371" w:rsidRDefault="006D7A83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</w:pPr>
      <w:r w:rsidRPr="00E23371">
        <w:t>Przedmiotem umów ubezpieczenia zawieranych w ramach niniejszej Umowy Generalnej są:</w:t>
      </w:r>
    </w:p>
    <w:p w14:paraId="6CB134F2" w14:textId="77777777" w:rsidR="006D7A83" w:rsidRPr="00E23371" w:rsidRDefault="00E23371">
      <w:pPr>
        <w:pStyle w:val="Akapitzlist"/>
        <w:numPr>
          <w:ilvl w:val="1"/>
          <w:numId w:val="13"/>
        </w:numPr>
        <w:tabs>
          <w:tab w:val="left" w:pos="284"/>
        </w:tabs>
        <w:ind w:left="284" w:hanging="284"/>
        <w:jc w:val="both"/>
      </w:pPr>
      <w:r w:rsidRPr="00E23371">
        <w:t>U</w:t>
      </w:r>
      <w:r w:rsidR="006D7A83" w:rsidRPr="00E23371">
        <w:t>bezpieczenie odpowiedzialności cywilnej z tytułu prowadzonej działalności i posiadanego mienia</w:t>
      </w:r>
    </w:p>
    <w:p w14:paraId="65491216" w14:textId="77777777" w:rsidR="006D7A83" w:rsidRPr="00E23371" w:rsidRDefault="006D7A83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284" w:hanging="284"/>
        <w:jc w:val="both"/>
      </w:pPr>
      <w:r w:rsidRPr="00E23371">
        <w:t xml:space="preserve">Ubezpieczenie mienia od wszystkich </w:t>
      </w:r>
      <w:proofErr w:type="spellStart"/>
      <w:r w:rsidRPr="00E23371">
        <w:t>ryzyk</w:t>
      </w:r>
      <w:proofErr w:type="spellEnd"/>
    </w:p>
    <w:p w14:paraId="3F47BEAB" w14:textId="77777777" w:rsidR="006D7A83" w:rsidRPr="00BE4341" w:rsidRDefault="006D7A83" w:rsidP="006D7A83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 w:rsidRPr="00BE4341">
        <w:t xml:space="preserve"> 2</w:t>
      </w:r>
    </w:p>
    <w:p w14:paraId="3E6A7672" w14:textId="1B1A875D" w:rsidR="006D7A83" w:rsidRPr="0004759B" w:rsidRDefault="006D7A83">
      <w:pPr>
        <w:pStyle w:val="Tekstpodstawowywcity"/>
        <w:numPr>
          <w:ilvl w:val="0"/>
          <w:numId w:val="5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Pr="0004759B">
        <w:rPr>
          <w:sz w:val="24"/>
          <w:szCs w:val="24"/>
        </w:rPr>
        <w:t xml:space="preserve">Umowa Generalna dotycząca ubezpieczeń, o których mowa w § 1 </w:t>
      </w:r>
      <w:r w:rsidRPr="0054639E">
        <w:rPr>
          <w:sz w:val="24"/>
          <w:szCs w:val="24"/>
        </w:rPr>
        <w:t>ust. 2 zawarta</w:t>
      </w:r>
      <w:r w:rsidRPr="0004759B">
        <w:rPr>
          <w:sz w:val="24"/>
          <w:szCs w:val="24"/>
        </w:rPr>
        <w:t xml:space="preserve"> zostaje</w:t>
      </w:r>
      <w:r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 xml:space="preserve">na okres 12 </w:t>
      </w:r>
      <w:r w:rsidRPr="00E23371">
        <w:rPr>
          <w:sz w:val="24"/>
          <w:szCs w:val="24"/>
        </w:rPr>
        <w:t xml:space="preserve">miesięcy, od dnia </w:t>
      </w:r>
      <w:r w:rsidR="00E23371" w:rsidRPr="00E23371">
        <w:rPr>
          <w:sz w:val="24"/>
          <w:szCs w:val="24"/>
        </w:rPr>
        <w:t>16.</w:t>
      </w:r>
      <w:r w:rsidR="00173E4A">
        <w:rPr>
          <w:sz w:val="24"/>
          <w:szCs w:val="24"/>
        </w:rPr>
        <w:t>10</w:t>
      </w:r>
      <w:r w:rsidR="00E23371" w:rsidRPr="00E23371">
        <w:rPr>
          <w:sz w:val="24"/>
          <w:szCs w:val="24"/>
        </w:rPr>
        <w:t xml:space="preserve">.2022 </w:t>
      </w:r>
      <w:r w:rsidRPr="00E23371">
        <w:rPr>
          <w:sz w:val="24"/>
          <w:szCs w:val="24"/>
        </w:rPr>
        <w:t>r. do dnia</w:t>
      </w:r>
      <w:r w:rsidR="00E23371" w:rsidRPr="00E23371">
        <w:rPr>
          <w:sz w:val="24"/>
          <w:szCs w:val="24"/>
        </w:rPr>
        <w:t xml:space="preserve"> 15.</w:t>
      </w:r>
      <w:r w:rsidR="00173E4A">
        <w:rPr>
          <w:sz w:val="24"/>
          <w:szCs w:val="24"/>
        </w:rPr>
        <w:t>10</w:t>
      </w:r>
      <w:r w:rsidR="00E23371" w:rsidRPr="00E23371">
        <w:rPr>
          <w:sz w:val="24"/>
          <w:szCs w:val="24"/>
        </w:rPr>
        <w:t>.2023</w:t>
      </w:r>
      <w:r w:rsidRPr="00E23371">
        <w:rPr>
          <w:sz w:val="24"/>
          <w:szCs w:val="24"/>
        </w:rPr>
        <w:t> r.</w:t>
      </w:r>
    </w:p>
    <w:p w14:paraId="154EC277" w14:textId="77777777" w:rsidR="006D7A83" w:rsidRDefault="006D7A83">
      <w:pPr>
        <w:pStyle w:val="Tekstpodstawowywcity"/>
        <w:numPr>
          <w:ilvl w:val="0"/>
          <w:numId w:val="5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Ubezpieczyciel wystawi polisy ubezpieczeniowe potwierdzające zawarcie umowy ubezpieczenia.</w:t>
      </w:r>
    </w:p>
    <w:p w14:paraId="09871AE9" w14:textId="77777777" w:rsidR="006D7A83" w:rsidRPr="00E23371" w:rsidRDefault="006D7A83">
      <w:pPr>
        <w:pStyle w:val="Tekstpodstawowywcity"/>
        <w:numPr>
          <w:ilvl w:val="0"/>
          <w:numId w:val="5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Wszystkie ubezpieczenia oraz doubezpieczenia zawierane w trakcie trwania </w:t>
      </w:r>
      <w:r>
        <w:rPr>
          <w:sz w:val="24"/>
          <w:szCs w:val="24"/>
        </w:rPr>
        <w:t xml:space="preserve">niniejszej Umowy Generalnej, a także zwroty składek,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 xml:space="preserve">zastosowanych </w:t>
      </w:r>
      <w:r w:rsidRPr="00E23371">
        <w:rPr>
          <w:sz w:val="24"/>
          <w:szCs w:val="24"/>
        </w:rPr>
        <w:t>w ofercie tzn.:</w:t>
      </w:r>
    </w:p>
    <w:p w14:paraId="1F2021A8" w14:textId="77777777" w:rsidR="006D7A83" w:rsidRPr="00E23371" w:rsidRDefault="006D7A83" w:rsidP="00E23371">
      <w:pPr>
        <w:pStyle w:val="Akapitzlist"/>
        <w:keepNext/>
        <w:ind w:left="0"/>
        <w:jc w:val="both"/>
        <w:rPr>
          <w:bCs/>
        </w:rPr>
      </w:pPr>
      <w:r w:rsidRPr="00E23371">
        <w:rPr>
          <w:bCs/>
        </w:rPr>
        <w:t xml:space="preserve">a)Ubezpieczenie mienia od wszystkich </w:t>
      </w:r>
      <w:proofErr w:type="spellStart"/>
      <w:r w:rsidRPr="00E23371">
        <w:rPr>
          <w:bCs/>
        </w:rPr>
        <w:t>ryzyk</w:t>
      </w:r>
      <w:proofErr w:type="spellEnd"/>
      <w:r w:rsidR="00E23371" w:rsidRPr="00E23371">
        <w:rPr>
          <w:bCs/>
        </w:rPr>
        <w:t xml:space="preserve"> </w:t>
      </w:r>
      <w:r w:rsidRPr="00E23371">
        <w:t>zastosowano stawkę (w %): …………………</w:t>
      </w:r>
    </w:p>
    <w:p w14:paraId="2EB7E8AC" w14:textId="77777777"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14:paraId="6065E2A1" w14:textId="77777777" w:rsidR="006D7A83" w:rsidRPr="009518A7" w:rsidRDefault="006D7A83">
      <w:pPr>
        <w:numPr>
          <w:ilvl w:val="0"/>
          <w:numId w:val="6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</w:t>
      </w:r>
      <w:r>
        <w:t xml:space="preserve"> </w:t>
      </w:r>
      <w:r w:rsidRPr="009518A7">
        <w:t>szczegółowo w SWZ wraz z załącznikami. Do poszczególnych rodzajów ubezpieczeń</w:t>
      </w:r>
      <w:r>
        <w:t xml:space="preserve"> </w:t>
      </w:r>
      <w:r w:rsidRPr="009518A7">
        <w:t>mają zastosowanie postanowienia SWZ, niniejszej Umowy Generalnej oraz właściwych ogólnych warunków ubezpieczeń</w:t>
      </w:r>
      <w:r>
        <w:t xml:space="preserve"> </w:t>
      </w:r>
      <w:r w:rsidRPr="00C357CD">
        <w:t>(zwane dalej OWU).</w:t>
      </w:r>
    </w:p>
    <w:p w14:paraId="3FB413A7" w14:textId="77777777" w:rsidR="006D7A83" w:rsidRPr="009518A7" w:rsidRDefault="006D7A83">
      <w:pPr>
        <w:numPr>
          <w:ilvl w:val="0"/>
          <w:numId w:val="6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Ustala się, że w razie rozbieżności pomiędzy warunkami ubezpieczenia wynikającymi z ww. postanowień – strony przyjmą do stosowania takie rozwiązanie, które jest i będzie korzystniejsze dla </w:t>
      </w:r>
      <w:r w:rsidR="00656DEC">
        <w:t>u</w:t>
      </w:r>
      <w:r w:rsidRPr="009518A7">
        <w:t>bezpieczonego.</w:t>
      </w:r>
    </w:p>
    <w:p w14:paraId="7A62CD59" w14:textId="77777777" w:rsidR="006D7A83" w:rsidRPr="00E23371" w:rsidRDefault="006D7A83" w:rsidP="006D7A83">
      <w:pPr>
        <w:keepNext/>
        <w:spacing w:before="240" w:after="120"/>
        <w:jc w:val="center"/>
      </w:pPr>
      <w:r w:rsidRPr="00E23371">
        <w:sym w:font="Times New Roman" w:char="00A7"/>
      </w:r>
      <w:r w:rsidRPr="00E23371">
        <w:t xml:space="preserve"> 4</w:t>
      </w:r>
    </w:p>
    <w:p w14:paraId="3B6CCDD0" w14:textId="5BF658FC" w:rsidR="006D7A83" w:rsidRPr="00E23371" w:rsidRDefault="006D7A83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E23371">
        <w:rPr>
          <w:sz w:val="24"/>
          <w:szCs w:val="24"/>
        </w:rPr>
        <w:t xml:space="preserve">Składka za udzielaną ochronę ubezpieczeniową wynikającą z niniejszej Umowy Generalnej, ustalona w wyniku postępowania </w:t>
      </w:r>
      <w:r w:rsidR="00BC03E5" w:rsidRPr="00E23371">
        <w:rPr>
          <w:sz w:val="24"/>
          <w:szCs w:val="24"/>
        </w:rPr>
        <w:t>publicznego</w:t>
      </w:r>
      <w:r w:rsidRPr="00E23371">
        <w:rPr>
          <w:sz w:val="24"/>
          <w:szCs w:val="24"/>
        </w:rPr>
        <w:t xml:space="preserve"> w wysokości………………, </w:t>
      </w:r>
      <w:r w:rsidR="00E23371" w:rsidRPr="00E23371">
        <w:rPr>
          <w:sz w:val="24"/>
          <w:szCs w:val="24"/>
        </w:rPr>
        <w:t xml:space="preserve">płatna </w:t>
      </w:r>
      <w:r w:rsidR="00B2466A">
        <w:rPr>
          <w:sz w:val="24"/>
          <w:szCs w:val="24"/>
        </w:rPr>
        <w:t>w dwóch ratach.</w:t>
      </w:r>
    </w:p>
    <w:p w14:paraId="58206F6A" w14:textId="08A8A64F" w:rsidR="006D7A83" w:rsidRPr="00E23371" w:rsidRDefault="006D7A83">
      <w:pPr>
        <w:pStyle w:val="Tekstpodstawowywcity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E23371">
        <w:rPr>
          <w:sz w:val="24"/>
          <w:szCs w:val="24"/>
        </w:rPr>
        <w:t xml:space="preserve">Składki płacone będą </w:t>
      </w:r>
      <w:r w:rsidR="00411F41">
        <w:rPr>
          <w:sz w:val="24"/>
          <w:szCs w:val="24"/>
        </w:rPr>
        <w:t xml:space="preserve">w dwóch ratach </w:t>
      </w:r>
      <w:r w:rsidRPr="00E23371">
        <w:rPr>
          <w:sz w:val="24"/>
          <w:szCs w:val="24"/>
        </w:rPr>
        <w:t xml:space="preserve">z terminem płatności </w:t>
      </w:r>
      <w:r w:rsidR="00B2466A">
        <w:rPr>
          <w:sz w:val="24"/>
          <w:szCs w:val="24"/>
        </w:rPr>
        <w:t xml:space="preserve">I raty </w:t>
      </w:r>
      <w:r w:rsidRPr="00E23371">
        <w:rPr>
          <w:sz w:val="24"/>
          <w:szCs w:val="24"/>
        </w:rPr>
        <w:t>przypadającym na</w:t>
      </w:r>
      <w:r w:rsidR="00B2466A">
        <w:rPr>
          <w:sz w:val="24"/>
          <w:szCs w:val="24"/>
        </w:rPr>
        <w:t xml:space="preserve"> </w:t>
      </w:r>
      <w:r w:rsidRPr="00E23371">
        <w:rPr>
          <w:sz w:val="24"/>
          <w:szCs w:val="24"/>
        </w:rPr>
        <w:t>21 dzień od daty rozpoczęcia udzielania przez Ubezpieczyciela ochrony ubezpieczeniowej.</w:t>
      </w:r>
    </w:p>
    <w:p w14:paraId="6F5F20F4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t>§ 5</w:t>
      </w:r>
    </w:p>
    <w:p w14:paraId="2F801C9D" w14:textId="77777777" w:rsidR="006D7A83" w:rsidRPr="009518A7" w:rsidRDefault="006D7A83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14:paraId="60D68322" w14:textId="77777777" w:rsidR="006D7A83" w:rsidRDefault="006D7A83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14:paraId="20718FDD" w14:textId="77777777" w:rsidR="006D7A83" w:rsidRDefault="006D7A83" w:rsidP="006D7A83">
      <w:pPr>
        <w:keepNext/>
        <w:spacing w:before="240" w:after="120"/>
        <w:jc w:val="center"/>
      </w:pPr>
    </w:p>
    <w:p w14:paraId="3FA8C2F7" w14:textId="77777777" w:rsidR="006D7A83" w:rsidRDefault="006D7A83" w:rsidP="00BE2A45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6</w:t>
      </w:r>
    </w:p>
    <w:p w14:paraId="484C419E" w14:textId="77777777" w:rsidR="006D7A83" w:rsidRPr="004E1838" w:rsidRDefault="006D7A83" w:rsidP="004E1838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6515A2">
        <w:rPr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ust. </w:t>
      </w:r>
      <w:r w:rsidR="006515A2">
        <w:rPr>
          <w:color w:val="000000"/>
          <w:sz w:val="24"/>
          <w:szCs w:val="24"/>
        </w:rPr>
        <w:t>4</w:t>
      </w:r>
      <w:r w:rsidR="002E0890">
        <w:rPr>
          <w:color w:val="000000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14:paraId="307E139B" w14:textId="77777777" w:rsidR="006D7A83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7</w:t>
      </w:r>
    </w:p>
    <w:p w14:paraId="4AE6910B" w14:textId="0B56C397" w:rsidR="00E0014C" w:rsidRPr="00E0014C" w:rsidRDefault="00E0014C">
      <w:pPr>
        <w:pStyle w:val="Akapitzlist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</w:pPr>
      <w:r w:rsidRPr="00E0014C">
        <w:t xml:space="preserve">Strony zastrzegają sobie możliwość zmian warunków niniejszej umowy generalnej lub  umów ubezpieczenia (polis) w trakcie ich trwania. </w:t>
      </w:r>
    </w:p>
    <w:p w14:paraId="7D43AB8C" w14:textId="289A1777" w:rsidR="00887F3D" w:rsidRPr="00656853" w:rsidRDefault="00E0014C" w:rsidP="002A67B9">
      <w:pPr>
        <w:shd w:val="clear" w:color="auto" w:fill="FFFFFF"/>
        <w:tabs>
          <w:tab w:val="left" w:pos="0"/>
          <w:tab w:val="left" w:pos="993"/>
        </w:tabs>
        <w:jc w:val="both"/>
        <w:outlineLvl w:val="0"/>
      </w:pPr>
      <w:r w:rsidRPr="00E0014C">
        <w:rPr>
          <w:rFonts w:eastAsia="Calibri"/>
        </w:rPr>
        <w:t xml:space="preserve">1) </w:t>
      </w:r>
      <w:r w:rsidR="00887F3D" w:rsidRPr="00656853">
        <w:t xml:space="preserve">Zmiana postanowień niniejszej umowy w stosunku do treści oferty, na podstawie, której dokonano wyboru Ubezpieczyciela, jest dopuszczalna na zasadach wskazanych w art. 455 ustawy Prawo zamówień publicznych  oraz w  niniejszej Umowy Generalnej z wyłączeniem takich zmian, </w:t>
      </w:r>
      <w:r w:rsidR="00887F3D" w:rsidRPr="00656853">
        <w:lastRenderedPageBreak/>
        <w:t>których wprowadzenie spowodowałoby rozszerzenie przedmiotu umowy poza zakres przedmiotowy oferty na podstawie której dokonano wyboru Ubezpieczyciela, a które to zmiany nie zostały wymienione jako możliwe do wprowadzenia na podstawie art. 455 ustawy Prawa Zamówień Publicznych  lub nie zostały przewidziane w ust. 2.</w:t>
      </w:r>
    </w:p>
    <w:p w14:paraId="28190BFA" w14:textId="77777777" w:rsidR="00887F3D" w:rsidRPr="00656853" w:rsidRDefault="00887F3D">
      <w:pPr>
        <w:numPr>
          <w:ilvl w:val="0"/>
          <w:numId w:val="36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656853">
        <w:rPr>
          <w:spacing w:val="-3"/>
        </w:rPr>
        <w:t>Zmiana może dotyczyć:</w:t>
      </w:r>
    </w:p>
    <w:p w14:paraId="63ED41DF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>1) 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14:paraId="2004EFDD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 xml:space="preserve">2) </w:t>
      </w:r>
      <w:bookmarkStart w:id="0" w:name="_Hlk91588793"/>
      <w:r w:rsidRPr="00656853">
        <w:t>terminu realizacji zamówienia, w tym wcześniejszego rozwiązania umowy na skutek okoliczności, których Zamawiający nie mógł przewidzieć udzielając zamówienia lub przedłużenia umowy do czasu zawarcia w postępowaniu o udzielenie zamówienia nowej umowy. Oświadczenie Zamawiającego dotyczące zmiany okresu obowiązywania umowy wymaga formy pisemnej pod rygorem nieważności.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</w:t>
      </w:r>
      <w:bookmarkEnd w:id="0"/>
      <w:r w:rsidRPr="00656853">
        <w:t>.</w:t>
      </w:r>
    </w:p>
    <w:p w14:paraId="7872C1AE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>3) zakresu działalności Zamawiającego,</w:t>
      </w:r>
    </w:p>
    <w:p w14:paraId="657D2C97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 xml:space="preserve">4) realizacji dodatkowych i niezbędnych usług od dotychczasowego wykonawcy po spełnieniu łącznie przesłanek określonych w art. 455 ust. 1 pkt 1  ustawy; </w:t>
      </w:r>
    </w:p>
    <w:p w14:paraId="0E248AC7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>5) sytuacji, gdy spełnione zostaną przesłanki określone w  art. 455 ust. 1 pkt 2-4 ustawy;</w:t>
      </w:r>
    </w:p>
    <w:p w14:paraId="2AECB9AE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 xml:space="preserve">6) zmiany wykonawcy, któremu Zamawiający udzielił zamówienia i zastąpienia go nowym wykonawcą po spełnieniu jednej z przesłanek przewidzianych postanowieniami umowy. </w:t>
      </w:r>
    </w:p>
    <w:p w14:paraId="569C0354" w14:textId="77777777" w:rsidR="00887F3D" w:rsidRPr="00656853" w:rsidRDefault="00887F3D" w:rsidP="00887F3D">
      <w:pPr>
        <w:tabs>
          <w:tab w:val="left" w:pos="284"/>
        </w:tabs>
        <w:ind w:left="360"/>
        <w:jc w:val="both"/>
      </w:pPr>
      <w:r w:rsidRPr="00656853">
        <w:t xml:space="preserve">7) dopuszczalna jest zmiana przedmiotu ochrony ubezpieczeniowej polegająca na objęciu ochroną dodatkowego ryzyka ubezpieczeniowego, jeśli konieczność objęcia tego ryzyka ochroną ubezpieczeniową ujawniła się po terminie składania ofert w postępowaniu </w:t>
      </w:r>
      <w:r w:rsidRPr="00656853">
        <w:br/>
        <w:t>o udzielenie zamówienia publicznego.</w:t>
      </w:r>
    </w:p>
    <w:p w14:paraId="3A38936B" w14:textId="77777777" w:rsidR="00887F3D" w:rsidRPr="00656853" w:rsidRDefault="00887F3D">
      <w:pPr>
        <w:numPr>
          <w:ilvl w:val="0"/>
          <w:numId w:val="36"/>
        </w:numPr>
        <w:contextualSpacing/>
        <w:jc w:val="both"/>
        <w:rPr>
          <w:rFonts w:eastAsia="Calibri"/>
        </w:rPr>
      </w:pPr>
      <w:r w:rsidRPr="00656853">
        <w:rPr>
          <w:rFonts w:eastAsia="Calibri"/>
        </w:rPr>
        <w:t>Każda ze stron przedkładając drugiej stronie propozycję zmian spełniającą wymogi określone w ust. 2 wraz z tą propozycją przedłoży:</w:t>
      </w:r>
    </w:p>
    <w:p w14:paraId="277C4AE9" w14:textId="77777777" w:rsidR="00887F3D" w:rsidRPr="00656853" w:rsidRDefault="00887F3D">
      <w:pPr>
        <w:numPr>
          <w:ilvl w:val="0"/>
          <w:numId w:val="35"/>
        </w:numPr>
        <w:ind w:hanging="496"/>
        <w:jc w:val="both"/>
      </w:pPr>
      <w:r w:rsidRPr="00656853">
        <w:t>opis proponowanych zmian;</w:t>
      </w:r>
    </w:p>
    <w:p w14:paraId="66529AB8" w14:textId="77777777" w:rsidR="00887F3D" w:rsidRPr="00656853" w:rsidRDefault="00887F3D">
      <w:pPr>
        <w:numPr>
          <w:ilvl w:val="0"/>
          <w:numId w:val="35"/>
        </w:numPr>
        <w:ind w:hanging="496"/>
        <w:jc w:val="both"/>
      </w:pPr>
      <w:r w:rsidRPr="00656853">
        <w:t>uzasadnienie.</w:t>
      </w:r>
    </w:p>
    <w:p w14:paraId="0A066907" w14:textId="77777777" w:rsidR="00887F3D" w:rsidRPr="00656853" w:rsidRDefault="00887F3D">
      <w:pPr>
        <w:numPr>
          <w:ilvl w:val="0"/>
          <w:numId w:val="37"/>
        </w:numPr>
        <w:jc w:val="both"/>
      </w:pPr>
      <w:r w:rsidRPr="00656853">
        <w:t>Po otrzymaniu propozycji, Ubezpieczający albo Ubezpieczyciel (w zależności od przypadku)  w terminie 3 dni zatwierdzi, bądź odrzuci otrzymaną propozycję zmiany, bądź w tym terminie wystąpi do strony występującej z propozycją zmian przesyłając zmodyfikowaną propozycję zmian spełniającą wymogi opisane w ust. 2 i 3.</w:t>
      </w:r>
    </w:p>
    <w:p w14:paraId="32F7DF66" w14:textId="77777777" w:rsidR="00887F3D" w:rsidRPr="00656853" w:rsidRDefault="00887F3D">
      <w:pPr>
        <w:numPr>
          <w:ilvl w:val="0"/>
          <w:numId w:val="37"/>
        </w:numPr>
        <w:ind w:left="284" w:hanging="284"/>
        <w:jc w:val="both"/>
      </w:pPr>
      <w:r w:rsidRPr="00656853">
        <w:t>W przypadku upływu terminu podanego w ust. 4 traktuje się, że propozycja wprowadzenia zmian została odrzucona.</w:t>
      </w:r>
    </w:p>
    <w:p w14:paraId="6A422C2F" w14:textId="77777777" w:rsidR="00887F3D" w:rsidRPr="00656853" w:rsidRDefault="00887F3D">
      <w:pPr>
        <w:numPr>
          <w:ilvl w:val="0"/>
          <w:numId w:val="37"/>
        </w:numPr>
        <w:ind w:left="284" w:hanging="284"/>
        <w:jc w:val="both"/>
      </w:pPr>
      <w:r w:rsidRPr="00656853">
        <w:t>Do przesłanych zmodyfikowanych propozycji zmian mają zastosowanie postanowienia ust. 4 i 5.</w:t>
      </w:r>
    </w:p>
    <w:p w14:paraId="07A60901" w14:textId="77777777" w:rsidR="00887F3D" w:rsidRPr="00656853" w:rsidRDefault="00887F3D">
      <w:pPr>
        <w:numPr>
          <w:ilvl w:val="0"/>
          <w:numId w:val="37"/>
        </w:numPr>
        <w:ind w:left="284" w:hanging="284"/>
        <w:jc w:val="both"/>
      </w:pPr>
      <w:r w:rsidRPr="00656853">
        <w:t>Każda zmiana umowy wymaga formy pisemnej pod rygorem nieważności i musi być dokonana poprzez sporządzenie zmiany do umowy – aneksu.</w:t>
      </w:r>
    </w:p>
    <w:p w14:paraId="07B41D7E" w14:textId="77777777" w:rsidR="00887F3D" w:rsidRPr="00656853" w:rsidRDefault="00887F3D">
      <w:pPr>
        <w:numPr>
          <w:ilvl w:val="0"/>
          <w:numId w:val="37"/>
        </w:numPr>
        <w:ind w:left="284" w:hanging="284"/>
        <w:jc w:val="both"/>
      </w:pPr>
      <w:r w:rsidRPr="00656853">
        <w:t xml:space="preserve">Zmiana umowy dokonana z naruszeniem postanowień ust. 2-7 jest nieważna. </w:t>
      </w:r>
    </w:p>
    <w:p w14:paraId="04288DD6" w14:textId="77777777" w:rsidR="00E23371" w:rsidRDefault="00E23371" w:rsidP="004E1838">
      <w:pPr>
        <w:autoSpaceDE w:val="0"/>
        <w:autoSpaceDN w:val="0"/>
        <w:adjustRightInd w:val="0"/>
        <w:jc w:val="both"/>
        <w:rPr>
          <w:color w:val="000000"/>
        </w:rPr>
      </w:pPr>
    </w:p>
    <w:p w14:paraId="61761E31" w14:textId="637FC52F" w:rsidR="00E0014C" w:rsidRDefault="00E23371" w:rsidP="007F326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  <w:r w:rsidRPr="00B34705">
        <w:rPr>
          <w:rFonts w:eastAsia="Calibri"/>
        </w:rPr>
        <w:t xml:space="preserve">§ </w:t>
      </w:r>
      <w:r>
        <w:rPr>
          <w:rFonts w:eastAsia="Calibri"/>
        </w:rPr>
        <w:t>8</w:t>
      </w:r>
    </w:p>
    <w:p w14:paraId="2CC91E8C" w14:textId="77777777" w:rsidR="00E0014C" w:rsidRPr="00E0014C" w:rsidRDefault="00E0014C">
      <w:pPr>
        <w:numPr>
          <w:ilvl w:val="0"/>
          <w:numId w:val="34"/>
        </w:numPr>
        <w:tabs>
          <w:tab w:val="left" w:pos="284"/>
        </w:tabs>
        <w:ind w:hanging="720"/>
        <w:jc w:val="both"/>
        <w:rPr>
          <w:rFonts w:eastAsia="Calibri"/>
        </w:rPr>
      </w:pPr>
      <w:r w:rsidRPr="00E0014C">
        <w:rPr>
          <w:rFonts w:eastAsia="Calibri"/>
        </w:rPr>
        <w:t xml:space="preserve">W czasie trwania niniejszej umowy generalnej Ubezpieczający ma prawo do skontrolowania Ubezpieczyciela w zakresie zatrudnienia na podstawie stosunku pracy przez Wykonawcę lub podwykonawcę osób wykonujących czynności w trakcie realizacji zamówienia </w:t>
      </w:r>
      <w:r w:rsidRPr="00E0014C">
        <w:rPr>
          <w:rFonts w:eastAsia="Calibri"/>
        </w:rPr>
        <w:lastRenderedPageBreak/>
        <w:t xml:space="preserve">polegające na zaksięgowaniu wpływu składki ubezpieczeniowej za okres wynikający z umowy generalnej oraz wypłacie odszkodowania za szkodę Zamawiającemu.  </w:t>
      </w:r>
    </w:p>
    <w:p w14:paraId="3AA5B155" w14:textId="77777777" w:rsidR="00E0014C" w:rsidRPr="00E0014C" w:rsidRDefault="00E0014C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E0014C">
        <w:rPr>
          <w:rFonts w:eastAsia="Calibri"/>
        </w:rPr>
        <w:t>Zamawiający może żądać od Wykonawcy udokumentowania faktu zatrudnienia na podstawie umowy o pracę, poprzez przedłożenie Zamawiającemu w ciągu 5 dni od momentu żądania:</w:t>
      </w:r>
    </w:p>
    <w:p w14:paraId="0190E6DE" w14:textId="508E03C7" w:rsidR="00E0014C" w:rsidRPr="00E0014C" w:rsidRDefault="00E0014C">
      <w:pPr>
        <w:pStyle w:val="Akapitzlist"/>
        <w:numPr>
          <w:ilvl w:val="1"/>
          <w:numId w:val="23"/>
        </w:numPr>
        <w:tabs>
          <w:tab w:val="left" w:pos="284"/>
        </w:tabs>
        <w:jc w:val="both"/>
      </w:pPr>
      <w:r w:rsidRPr="00E0014C">
        <w:t>oświadczenia Wykonawcy lub podwykonawcy o zatrudnieniu pracownika na podstawie umowy o pracę, lub</w:t>
      </w:r>
    </w:p>
    <w:p w14:paraId="2EF59616" w14:textId="0927F0D1" w:rsidR="00E0014C" w:rsidRPr="00E0014C" w:rsidRDefault="00E0014C">
      <w:pPr>
        <w:pStyle w:val="Akapitzlist"/>
        <w:numPr>
          <w:ilvl w:val="1"/>
          <w:numId w:val="23"/>
        </w:numPr>
        <w:tabs>
          <w:tab w:val="left" w:pos="284"/>
        </w:tabs>
        <w:jc w:val="both"/>
      </w:pPr>
      <w:r w:rsidRPr="00E0014C">
        <w:t>oświadczenia Wykonawcy lub podwykonawcy o zatrudnieniu pracownika na podstawie umowy o pracę, lub</w:t>
      </w:r>
    </w:p>
    <w:p w14:paraId="1E8B8FC1" w14:textId="27E73C70" w:rsidR="00E0014C" w:rsidRPr="00E0014C" w:rsidRDefault="00E0014C">
      <w:pPr>
        <w:pStyle w:val="Akapitzlist"/>
        <w:numPr>
          <w:ilvl w:val="1"/>
          <w:numId w:val="23"/>
        </w:numPr>
        <w:tabs>
          <w:tab w:val="left" w:pos="284"/>
        </w:tabs>
        <w:jc w:val="both"/>
      </w:pPr>
      <w:r w:rsidRPr="00E0014C">
        <w:t>poświadczonej za zgodność z oryginałem kopii umowy o pracę zatrudnionego pracownika, lub</w:t>
      </w:r>
    </w:p>
    <w:p w14:paraId="6B16A236" w14:textId="3786A0A1" w:rsidR="00E0014C" w:rsidRPr="00E0014C" w:rsidRDefault="00E0014C">
      <w:pPr>
        <w:pStyle w:val="Akapitzlist"/>
        <w:numPr>
          <w:ilvl w:val="1"/>
          <w:numId w:val="23"/>
        </w:numPr>
        <w:tabs>
          <w:tab w:val="left" w:pos="284"/>
        </w:tabs>
        <w:jc w:val="both"/>
      </w:pPr>
      <w:r w:rsidRPr="00E0014C"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E59D190" w14:textId="77777777" w:rsidR="00E0014C" w:rsidRPr="00E0014C" w:rsidRDefault="00E0014C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E0014C">
        <w:rPr>
          <w:rFonts w:eastAsia="Calibri"/>
        </w:rPr>
        <w:t>Zamawiający zastrzega sobie prawo do wykonywania czynności kontrolnych wobec Wykonawcy odnośnie spełniania przez Wykonawcę lub podwykonawcę wymogu zatrudnienia na podstawie umowy o pracę osób, o których mowa w ust. 1 niniejszego paragrafu, w całym okresie obowiązywania umowy generalnej. Zamawiający jest w szczególności uprawniony do żądania:</w:t>
      </w:r>
    </w:p>
    <w:p w14:paraId="36C95EC0" w14:textId="6ECD1654" w:rsidR="00E0014C" w:rsidRPr="00E0014C" w:rsidRDefault="00E0014C" w:rsidP="00E0014C">
      <w:pPr>
        <w:tabs>
          <w:tab w:val="left" w:pos="284"/>
        </w:tabs>
        <w:ind w:left="284"/>
        <w:jc w:val="both"/>
        <w:rPr>
          <w:rFonts w:eastAsia="Calibri"/>
        </w:rPr>
      </w:pPr>
      <w:r>
        <w:rPr>
          <w:rFonts w:eastAsia="Calibri"/>
        </w:rPr>
        <w:t>a)</w:t>
      </w:r>
      <w:r w:rsidRPr="00E0014C">
        <w:rPr>
          <w:rFonts w:eastAsia="Calibri"/>
        </w:rPr>
        <w:t>aktualnych oświadczeń i dokumentów, o których mowa w ust. 2 niniejszego paragrafu,</w:t>
      </w:r>
    </w:p>
    <w:p w14:paraId="6644B2A1" w14:textId="789DAFD9" w:rsidR="00E0014C" w:rsidRPr="00E0014C" w:rsidRDefault="00E0014C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 w:rsidRPr="00E0014C">
        <w:t>wyjaśnień w przypadku wątpliwości w zakresie potwierdzenia spełniania wymogu, o którym mowa w ust. 1 niniejszego paragrafu.</w:t>
      </w:r>
    </w:p>
    <w:p w14:paraId="7485C43E" w14:textId="77777777" w:rsidR="00E0014C" w:rsidRPr="00E0014C" w:rsidRDefault="00E0014C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E0014C">
        <w:rPr>
          <w:rFonts w:eastAsia="Calibri"/>
        </w:rPr>
        <w:t>Wykonawca zapłaci Zamawiającemu karę umowną w przypadku stwierdzenia przez Zamawiającego lub przez jego przedstawicieli lub Państwową Inspekcję Pracy braku spełnienia wymogu, o którym mowa w ust. 1 niniejszego paragrafu, w wysokości 2 000,00 złotych za każdy taki przypadek.</w:t>
      </w:r>
    </w:p>
    <w:p w14:paraId="4AC68518" w14:textId="77777777" w:rsidR="00E0014C" w:rsidRPr="00E0014C" w:rsidRDefault="00E0014C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E0014C">
        <w:rPr>
          <w:rFonts w:eastAsia="Calibri"/>
        </w:rPr>
        <w:t>Łączna maksymalna wysokość kar umownych nie może przekroczyć kwoty 10 000,00 złotych.</w:t>
      </w:r>
    </w:p>
    <w:p w14:paraId="3CECCC40" w14:textId="77777777" w:rsidR="00E0014C" w:rsidRPr="00E0014C" w:rsidRDefault="00E0014C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E0014C">
        <w:rPr>
          <w:rFonts w:eastAsia="Calibri"/>
        </w:rPr>
        <w:t>Zamawiający może dochodzić odszkodowania przewyższającego wysokość zastrzeżonych kar umownych na zasadach ogólnych.</w:t>
      </w:r>
    </w:p>
    <w:p w14:paraId="145A9E75" w14:textId="77777777" w:rsidR="00E0014C" w:rsidRPr="00B34705" w:rsidRDefault="00E0014C" w:rsidP="00E0014C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14:paraId="044E5057" w14:textId="77777777" w:rsidR="00E23371" w:rsidRPr="00E23371" w:rsidRDefault="00E23371" w:rsidP="00E23371">
      <w:pPr>
        <w:keepNext/>
        <w:spacing w:before="240" w:after="120"/>
        <w:jc w:val="center"/>
      </w:pPr>
      <w:r w:rsidRPr="00E23371">
        <w:sym w:font="Times New Roman" w:char="00A7"/>
      </w:r>
      <w:r w:rsidRPr="00E23371">
        <w:t>9</w:t>
      </w:r>
    </w:p>
    <w:p w14:paraId="4B6CD240" w14:textId="77777777" w:rsidR="00E23371" w:rsidRDefault="00E23371" w:rsidP="00E23371">
      <w:pPr>
        <w:keepNext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28CAC761" w14:textId="77777777" w:rsidR="00E23371" w:rsidRDefault="00E23371" w:rsidP="00E23371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14:paraId="064F9DD2" w14:textId="77777777" w:rsidR="004E1838" w:rsidRDefault="004E1838" w:rsidP="004E1838">
      <w:pPr>
        <w:autoSpaceDE w:val="0"/>
        <w:autoSpaceDN w:val="0"/>
        <w:adjustRightInd w:val="0"/>
        <w:rPr>
          <w:rFonts w:ascii="Ottawa" w:eastAsia="Calibri" w:hAnsi="Ottawa" w:cs="Ottawa"/>
          <w:color w:val="FF0000"/>
        </w:rPr>
      </w:pPr>
    </w:p>
    <w:p w14:paraId="37664301" w14:textId="77777777" w:rsidR="006D7A83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E23371">
        <w:t>0</w:t>
      </w:r>
    </w:p>
    <w:p w14:paraId="69253C4D" w14:textId="0CAB8A8E" w:rsidR="00065DFA" w:rsidRPr="00BE4341" w:rsidRDefault="002E0890" w:rsidP="00065DFA">
      <w:pPr>
        <w:keepNext/>
        <w:spacing w:before="240" w:after="120"/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>Dz.U. z 202</w:t>
      </w:r>
      <w:r w:rsidR="007F3267">
        <w:t>2</w:t>
      </w:r>
      <w:r>
        <w:t xml:space="preserve"> r. poz. 1</w:t>
      </w:r>
      <w:r w:rsidR="007F3267">
        <w:t>36</w:t>
      </w:r>
      <w:r>
        <w:t xml:space="preserve">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lastRenderedPageBreak/>
        <w:t>i reasekuracyjnej (</w:t>
      </w:r>
      <w:r>
        <w:t>Dz.U. z 202</w:t>
      </w:r>
      <w:r w:rsidR="004A1DE6">
        <w:t>2</w:t>
      </w:r>
      <w:r>
        <w:t xml:space="preserve"> r. poz. </w:t>
      </w:r>
      <w:r w:rsidR="004A1DE6">
        <w:t>655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</w:t>
      </w:r>
      <w:proofErr w:type="spellStart"/>
      <w:r w:rsidRPr="00542B16">
        <w:rPr>
          <w:lang w:eastAsia="en-US"/>
        </w:rPr>
        <w:t>późn</w:t>
      </w:r>
      <w:proofErr w:type="spellEnd"/>
      <w:r w:rsidRPr="00542B16">
        <w:rPr>
          <w:lang w:eastAsia="en-US"/>
        </w:rPr>
        <w:t>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r>
        <w:rPr>
          <w:lang w:eastAsia="en-US"/>
        </w:rPr>
        <w:t>Dz.U. z 20</w:t>
      </w:r>
      <w:r w:rsidR="00FD4D4C">
        <w:rPr>
          <w:lang w:eastAsia="en-US"/>
        </w:rPr>
        <w:t>22</w:t>
      </w:r>
      <w:r>
        <w:rPr>
          <w:lang w:eastAsia="en-US"/>
        </w:rPr>
        <w:t xml:space="preserve"> r. poz. </w:t>
      </w:r>
      <w:r w:rsidR="00FD4D4C">
        <w:rPr>
          <w:lang w:eastAsia="en-US"/>
        </w:rPr>
        <w:t>905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(Dz.U. z 202</w:t>
      </w:r>
      <w:r w:rsidR="00FD4D4C">
        <w:rPr>
          <w:rFonts w:eastAsia="Calibri"/>
          <w:lang w:eastAsia="en-US"/>
        </w:rPr>
        <w:t>2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1</w:t>
      </w:r>
      <w:r w:rsidR="00FD4D4C">
        <w:rPr>
          <w:rFonts w:eastAsia="Calibri"/>
          <w:lang w:eastAsia="en-US"/>
        </w:rPr>
        <w:t>710</w:t>
      </w:r>
      <w:r w:rsidRPr="008144BC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</w:p>
    <w:p w14:paraId="548745FD" w14:textId="77777777"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E23371">
        <w:t>1</w:t>
      </w:r>
    </w:p>
    <w:p w14:paraId="6494E9F4" w14:textId="77777777" w:rsidR="006D7A83" w:rsidRPr="009518A7" w:rsidRDefault="006D7A83" w:rsidP="006D7A83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14:paraId="3FE016D3" w14:textId="77777777"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E23371">
        <w:t>2</w:t>
      </w:r>
    </w:p>
    <w:p w14:paraId="12D866AF" w14:textId="77777777"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14:paraId="12E80CBC" w14:textId="77777777" w:rsidR="006D7A83" w:rsidRPr="00BE4341" w:rsidRDefault="006D7A83" w:rsidP="006D7A83">
      <w:pPr>
        <w:keepNext/>
        <w:spacing w:before="240" w:after="120"/>
        <w:jc w:val="center"/>
      </w:pPr>
      <w:r w:rsidRPr="00BE4341">
        <w:sym w:font="Times New Roman" w:char="00A7"/>
      </w:r>
      <w:r>
        <w:t>1</w:t>
      </w:r>
      <w:r w:rsidR="00E23371">
        <w:t>3</w:t>
      </w:r>
    </w:p>
    <w:p w14:paraId="6B3D54DF" w14:textId="10F5D259" w:rsidR="006D7A83" w:rsidRDefault="006D7A83" w:rsidP="006D7A83">
      <w:pPr>
        <w:spacing w:after="120"/>
        <w:jc w:val="both"/>
      </w:pPr>
      <w:r w:rsidRPr="009518A7">
        <w:t xml:space="preserve">Umowę sporządzono w </w:t>
      </w:r>
      <w:r w:rsidR="007F3267">
        <w:t>dwóch</w:t>
      </w:r>
      <w:r w:rsidRPr="009518A7">
        <w:t xml:space="preserve"> jednobrzmiących egzemplarzach, </w:t>
      </w:r>
      <w:r w:rsidR="007F3267">
        <w:t>po jednym dla każdej ze stron</w:t>
      </w:r>
      <w:r w:rsidRPr="009518A7">
        <w:t>.</w:t>
      </w:r>
    </w:p>
    <w:p w14:paraId="2AEDE147" w14:textId="77777777" w:rsidR="006D7A83" w:rsidRDefault="006D7A83" w:rsidP="006D7A83">
      <w:pPr>
        <w:spacing w:after="120"/>
        <w:jc w:val="both"/>
      </w:pPr>
    </w:p>
    <w:p w14:paraId="02E83AC9" w14:textId="77777777" w:rsidR="006D7A83" w:rsidRDefault="006D7A83" w:rsidP="006D7A83">
      <w:pPr>
        <w:spacing w:after="120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14:paraId="557781FD" w14:textId="77777777" w:rsidTr="006D7A83">
        <w:tc>
          <w:tcPr>
            <w:tcW w:w="3070" w:type="dxa"/>
          </w:tcPr>
          <w:p w14:paraId="2223EA44" w14:textId="77777777" w:rsidR="006D7A83" w:rsidRPr="009C202B" w:rsidRDefault="006D7A83" w:rsidP="006D7A83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14:paraId="56DF03DA" w14:textId="77777777"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14:paraId="44A3A82C" w14:textId="77777777"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14:paraId="373E5C2E" w14:textId="77777777" w:rsidTr="006D7A83">
        <w:tc>
          <w:tcPr>
            <w:tcW w:w="3070" w:type="dxa"/>
          </w:tcPr>
          <w:p w14:paraId="64C2B73A" w14:textId="77777777"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14:paraId="1CFC10A0" w14:textId="77777777" w:rsidR="006D7A83" w:rsidRPr="009C202B" w:rsidRDefault="006D7A83" w:rsidP="006D7A83"/>
        </w:tc>
        <w:tc>
          <w:tcPr>
            <w:tcW w:w="3071" w:type="dxa"/>
          </w:tcPr>
          <w:p w14:paraId="0D169AD4" w14:textId="77777777"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14:paraId="6E632E25" w14:textId="77777777" w:rsidR="006D7A83" w:rsidRDefault="00E23371" w:rsidP="00E23371">
      <w:r>
        <w:t xml:space="preserve"> </w:t>
      </w:r>
    </w:p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466B" w14:textId="77777777" w:rsidR="00935FCE" w:rsidRDefault="00935FCE">
      <w:r>
        <w:separator/>
      </w:r>
    </w:p>
  </w:endnote>
  <w:endnote w:type="continuationSeparator" w:id="0">
    <w:p w14:paraId="1B276A10" w14:textId="77777777" w:rsidR="00935FCE" w:rsidRDefault="009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AFD" w14:textId="77777777" w:rsidR="00E840C3" w:rsidRDefault="00E84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1D89" w14:textId="77777777" w:rsidR="00935FCE" w:rsidRDefault="00935FCE">
      <w:r>
        <w:separator/>
      </w:r>
    </w:p>
  </w:footnote>
  <w:footnote w:type="continuationSeparator" w:id="0">
    <w:p w14:paraId="25F80DE5" w14:textId="77777777" w:rsidR="00935FCE" w:rsidRDefault="0093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BFF7" w14:textId="77777777" w:rsidR="00E840C3" w:rsidRDefault="00E84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548"/>
    <w:multiLevelType w:val="hybridMultilevel"/>
    <w:tmpl w:val="BC06C55A"/>
    <w:lvl w:ilvl="0" w:tplc="6AF22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803"/>
    <w:multiLevelType w:val="hybridMultilevel"/>
    <w:tmpl w:val="7402EC6E"/>
    <w:lvl w:ilvl="0" w:tplc="E884B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63F3"/>
    <w:multiLevelType w:val="hybridMultilevel"/>
    <w:tmpl w:val="69043530"/>
    <w:lvl w:ilvl="0" w:tplc="05DC3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1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C0B4E7F"/>
    <w:multiLevelType w:val="hybridMultilevel"/>
    <w:tmpl w:val="F090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000D"/>
    <w:multiLevelType w:val="hybridMultilevel"/>
    <w:tmpl w:val="356E2BD2"/>
    <w:lvl w:ilvl="0" w:tplc="04150011">
      <w:start w:val="1"/>
      <w:numFmt w:val="decimal"/>
      <w:lvlText w:val="%1)"/>
      <w:lvlJc w:val="left"/>
      <w:pPr>
        <w:ind w:left="856" w:hanging="360"/>
      </w:p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>
      <w:start w:val="1"/>
      <w:numFmt w:val="lowerRoman"/>
      <w:lvlText w:val="%3."/>
      <w:lvlJc w:val="right"/>
      <w:pPr>
        <w:ind w:left="2296" w:hanging="180"/>
      </w:pPr>
    </w:lvl>
    <w:lvl w:ilvl="3" w:tplc="0415000F">
      <w:start w:val="1"/>
      <w:numFmt w:val="decimal"/>
      <w:lvlText w:val="%4."/>
      <w:lvlJc w:val="left"/>
      <w:pPr>
        <w:ind w:left="3016" w:hanging="360"/>
      </w:pPr>
    </w:lvl>
    <w:lvl w:ilvl="4" w:tplc="04150019">
      <w:start w:val="1"/>
      <w:numFmt w:val="lowerLetter"/>
      <w:lvlText w:val="%5."/>
      <w:lvlJc w:val="left"/>
      <w:pPr>
        <w:ind w:left="3736" w:hanging="360"/>
      </w:pPr>
    </w:lvl>
    <w:lvl w:ilvl="5" w:tplc="0415001B">
      <w:start w:val="1"/>
      <w:numFmt w:val="lowerRoman"/>
      <w:lvlText w:val="%6."/>
      <w:lvlJc w:val="right"/>
      <w:pPr>
        <w:ind w:left="4456" w:hanging="180"/>
      </w:pPr>
    </w:lvl>
    <w:lvl w:ilvl="6" w:tplc="0415000F">
      <w:start w:val="1"/>
      <w:numFmt w:val="decimal"/>
      <w:lvlText w:val="%7."/>
      <w:lvlJc w:val="left"/>
      <w:pPr>
        <w:ind w:left="5176" w:hanging="360"/>
      </w:pPr>
    </w:lvl>
    <w:lvl w:ilvl="7" w:tplc="04150019">
      <w:start w:val="1"/>
      <w:numFmt w:val="lowerLetter"/>
      <w:lvlText w:val="%8."/>
      <w:lvlJc w:val="left"/>
      <w:pPr>
        <w:ind w:left="5896" w:hanging="360"/>
      </w:pPr>
    </w:lvl>
    <w:lvl w:ilvl="8" w:tplc="0415001B">
      <w:start w:val="1"/>
      <w:numFmt w:val="lowerRoman"/>
      <w:lvlText w:val="%9."/>
      <w:lvlJc w:val="right"/>
      <w:pPr>
        <w:ind w:left="6616" w:hanging="180"/>
      </w:pPr>
    </w:lvl>
  </w:abstractNum>
  <w:abstractNum w:abstractNumId="16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0528"/>
    <w:multiLevelType w:val="hybridMultilevel"/>
    <w:tmpl w:val="D082835C"/>
    <w:lvl w:ilvl="0" w:tplc="C0609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330CF"/>
    <w:multiLevelType w:val="hybridMultilevel"/>
    <w:tmpl w:val="58BED6C0"/>
    <w:lvl w:ilvl="0" w:tplc="3EE2B3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66FB"/>
    <w:multiLevelType w:val="hybridMultilevel"/>
    <w:tmpl w:val="E1F65C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7102E"/>
    <w:multiLevelType w:val="hybridMultilevel"/>
    <w:tmpl w:val="F04E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 w15:restartNumberingAfterBreak="0">
    <w:nsid w:val="71ED5486"/>
    <w:multiLevelType w:val="hybridMultilevel"/>
    <w:tmpl w:val="68B2D442"/>
    <w:lvl w:ilvl="0" w:tplc="95A20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980639">
    <w:abstractNumId w:val="25"/>
  </w:num>
  <w:num w:numId="2" w16cid:durableId="1136676195">
    <w:abstractNumId w:val="31"/>
  </w:num>
  <w:num w:numId="3" w16cid:durableId="1170557495">
    <w:abstractNumId w:val="20"/>
  </w:num>
  <w:num w:numId="4" w16cid:durableId="183567166">
    <w:abstractNumId w:val="36"/>
  </w:num>
  <w:num w:numId="5" w16cid:durableId="810487383">
    <w:abstractNumId w:val="11"/>
  </w:num>
  <w:num w:numId="6" w16cid:durableId="904030267">
    <w:abstractNumId w:val="9"/>
  </w:num>
  <w:num w:numId="7" w16cid:durableId="490872315">
    <w:abstractNumId w:val="35"/>
  </w:num>
  <w:num w:numId="8" w16cid:durableId="41440679">
    <w:abstractNumId w:val="23"/>
  </w:num>
  <w:num w:numId="9" w16cid:durableId="832259436">
    <w:abstractNumId w:val="37"/>
  </w:num>
  <w:num w:numId="10" w16cid:durableId="137723808">
    <w:abstractNumId w:val="7"/>
  </w:num>
  <w:num w:numId="11" w16cid:durableId="467865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1431601">
    <w:abstractNumId w:val="26"/>
  </w:num>
  <w:num w:numId="13" w16cid:durableId="471019537">
    <w:abstractNumId w:val="28"/>
  </w:num>
  <w:num w:numId="14" w16cid:durableId="566648116">
    <w:abstractNumId w:val="32"/>
  </w:num>
  <w:num w:numId="15" w16cid:durableId="1342202208">
    <w:abstractNumId w:val="1"/>
  </w:num>
  <w:num w:numId="16" w16cid:durableId="754863982">
    <w:abstractNumId w:val="27"/>
  </w:num>
  <w:num w:numId="17" w16cid:durableId="121387910">
    <w:abstractNumId w:val="21"/>
  </w:num>
  <w:num w:numId="18" w16cid:durableId="1891453259">
    <w:abstractNumId w:val="3"/>
  </w:num>
  <w:num w:numId="19" w16cid:durableId="373845188">
    <w:abstractNumId w:val="5"/>
  </w:num>
  <w:num w:numId="20" w16cid:durableId="231089914">
    <w:abstractNumId w:val="16"/>
  </w:num>
  <w:num w:numId="21" w16cid:durableId="889154090">
    <w:abstractNumId w:val="8"/>
  </w:num>
  <w:num w:numId="22" w16cid:durableId="905602501">
    <w:abstractNumId w:val="6"/>
  </w:num>
  <w:num w:numId="23" w16cid:durableId="1279483139">
    <w:abstractNumId w:val="29"/>
  </w:num>
  <w:num w:numId="24" w16cid:durableId="1634869390">
    <w:abstractNumId w:val="30"/>
  </w:num>
  <w:num w:numId="25" w16cid:durableId="443112996">
    <w:abstractNumId w:val="12"/>
  </w:num>
  <w:num w:numId="26" w16cid:durableId="685402751">
    <w:abstractNumId w:val="18"/>
  </w:num>
  <w:num w:numId="27" w16cid:durableId="263996774">
    <w:abstractNumId w:val="13"/>
  </w:num>
  <w:num w:numId="28" w16cid:durableId="1216501118">
    <w:abstractNumId w:val="34"/>
  </w:num>
  <w:num w:numId="29" w16cid:durableId="2060861606">
    <w:abstractNumId w:val="33"/>
  </w:num>
  <w:num w:numId="30" w16cid:durableId="1616058205">
    <w:abstractNumId w:val="24"/>
  </w:num>
  <w:num w:numId="31" w16cid:durableId="730081656">
    <w:abstractNumId w:val="17"/>
  </w:num>
  <w:num w:numId="32" w16cid:durableId="1879968921">
    <w:abstractNumId w:val="22"/>
  </w:num>
  <w:num w:numId="33" w16cid:durableId="531650718">
    <w:abstractNumId w:val="14"/>
  </w:num>
  <w:num w:numId="34" w16cid:durableId="1445423548">
    <w:abstractNumId w:val="4"/>
  </w:num>
  <w:num w:numId="35" w16cid:durableId="20852965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631312">
    <w:abstractNumId w:val="19"/>
  </w:num>
  <w:num w:numId="37" w16cid:durableId="49422975">
    <w:abstractNumId w:val="10"/>
  </w:num>
  <w:num w:numId="38" w16cid:durableId="1944150350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272D"/>
    <w:rsid w:val="000234BF"/>
    <w:rsid w:val="000239CB"/>
    <w:rsid w:val="00025E91"/>
    <w:rsid w:val="000271D7"/>
    <w:rsid w:val="00030FDF"/>
    <w:rsid w:val="00032522"/>
    <w:rsid w:val="00032D96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1BE4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4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0F7EBF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3E4A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64A"/>
    <w:rsid w:val="001A2E25"/>
    <w:rsid w:val="001A372F"/>
    <w:rsid w:val="001A661A"/>
    <w:rsid w:val="001A7786"/>
    <w:rsid w:val="001A7D3E"/>
    <w:rsid w:val="001B17A8"/>
    <w:rsid w:val="001B1B62"/>
    <w:rsid w:val="001B1CFD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23E1"/>
    <w:rsid w:val="001D31F8"/>
    <w:rsid w:val="001D7497"/>
    <w:rsid w:val="001D784A"/>
    <w:rsid w:val="001E03AC"/>
    <w:rsid w:val="001E0E0F"/>
    <w:rsid w:val="001E2AC4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17DD0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454F"/>
    <w:rsid w:val="002465C0"/>
    <w:rsid w:val="002519ED"/>
    <w:rsid w:val="00254432"/>
    <w:rsid w:val="00254C4F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7B9"/>
    <w:rsid w:val="002A686A"/>
    <w:rsid w:val="002B04E0"/>
    <w:rsid w:val="002B0544"/>
    <w:rsid w:val="002B05E5"/>
    <w:rsid w:val="002B15AC"/>
    <w:rsid w:val="002B37CD"/>
    <w:rsid w:val="002B7EC3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489B"/>
    <w:rsid w:val="002D4FDE"/>
    <w:rsid w:val="002E0890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E01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378FD"/>
    <w:rsid w:val="00340904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57263"/>
    <w:rsid w:val="00360AA4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09F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086A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1B76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4F97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1F41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546B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1DE6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C6F0E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F04B3"/>
    <w:rsid w:val="004F11A0"/>
    <w:rsid w:val="004F153D"/>
    <w:rsid w:val="004F21D8"/>
    <w:rsid w:val="004F237A"/>
    <w:rsid w:val="004F3287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8BD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57DD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CA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C5C3A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43BD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6C8A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86F"/>
    <w:rsid w:val="00643A69"/>
    <w:rsid w:val="00643B15"/>
    <w:rsid w:val="00644A7C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5CD4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FB2"/>
    <w:rsid w:val="006C0496"/>
    <w:rsid w:val="006C139A"/>
    <w:rsid w:val="006C13E1"/>
    <w:rsid w:val="006C1866"/>
    <w:rsid w:val="006C249B"/>
    <w:rsid w:val="006C316C"/>
    <w:rsid w:val="006C331E"/>
    <w:rsid w:val="006C3505"/>
    <w:rsid w:val="006D0DBD"/>
    <w:rsid w:val="006D118A"/>
    <w:rsid w:val="006D1550"/>
    <w:rsid w:val="006D160F"/>
    <w:rsid w:val="006D1610"/>
    <w:rsid w:val="006D1B34"/>
    <w:rsid w:val="006D2213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4CB2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106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2A47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003B"/>
    <w:rsid w:val="007E13CC"/>
    <w:rsid w:val="007E341D"/>
    <w:rsid w:val="007E3543"/>
    <w:rsid w:val="007E4083"/>
    <w:rsid w:val="007E57DF"/>
    <w:rsid w:val="007E64DF"/>
    <w:rsid w:val="007F3267"/>
    <w:rsid w:val="007F412B"/>
    <w:rsid w:val="007F4AF8"/>
    <w:rsid w:val="007F5287"/>
    <w:rsid w:val="007F5827"/>
    <w:rsid w:val="007F6799"/>
    <w:rsid w:val="0080045B"/>
    <w:rsid w:val="00800EA7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596B"/>
    <w:rsid w:val="00857B22"/>
    <w:rsid w:val="00857DB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87F3D"/>
    <w:rsid w:val="008914EE"/>
    <w:rsid w:val="00893074"/>
    <w:rsid w:val="00893E53"/>
    <w:rsid w:val="00894241"/>
    <w:rsid w:val="0089491D"/>
    <w:rsid w:val="00897ACD"/>
    <w:rsid w:val="00897ADF"/>
    <w:rsid w:val="00897FE6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60A3"/>
    <w:rsid w:val="008E62E5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5FCE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299"/>
    <w:rsid w:val="00960FE4"/>
    <w:rsid w:val="009610B7"/>
    <w:rsid w:val="0096556B"/>
    <w:rsid w:val="00972200"/>
    <w:rsid w:val="009731A1"/>
    <w:rsid w:val="00974DAB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C7568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774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256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57C1"/>
    <w:rsid w:val="00A163E4"/>
    <w:rsid w:val="00A20FA2"/>
    <w:rsid w:val="00A210BA"/>
    <w:rsid w:val="00A210C9"/>
    <w:rsid w:val="00A21485"/>
    <w:rsid w:val="00A22399"/>
    <w:rsid w:val="00A232E3"/>
    <w:rsid w:val="00A23A54"/>
    <w:rsid w:val="00A23DB9"/>
    <w:rsid w:val="00A25E65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2AA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BA9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BE3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151C"/>
    <w:rsid w:val="00AF3001"/>
    <w:rsid w:val="00AF3B33"/>
    <w:rsid w:val="00AF4FE3"/>
    <w:rsid w:val="00AF55C1"/>
    <w:rsid w:val="00AF569F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66A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D3E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1335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44A8"/>
    <w:rsid w:val="00C255F1"/>
    <w:rsid w:val="00C30107"/>
    <w:rsid w:val="00C302FF"/>
    <w:rsid w:val="00C3139D"/>
    <w:rsid w:val="00C357CD"/>
    <w:rsid w:val="00C362C4"/>
    <w:rsid w:val="00C400E4"/>
    <w:rsid w:val="00C4056A"/>
    <w:rsid w:val="00C406FA"/>
    <w:rsid w:val="00C4079B"/>
    <w:rsid w:val="00C41C5A"/>
    <w:rsid w:val="00C41EB4"/>
    <w:rsid w:val="00C428D0"/>
    <w:rsid w:val="00C4483A"/>
    <w:rsid w:val="00C45F5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57A97"/>
    <w:rsid w:val="00C604EB"/>
    <w:rsid w:val="00C61E89"/>
    <w:rsid w:val="00C62EB7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886"/>
    <w:rsid w:val="00C959AF"/>
    <w:rsid w:val="00C95A24"/>
    <w:rsid w:val="00C95D69"/>
    <w:rsid w:val="00CA14B4"/>
    <w:rsid w:val="00CA1AEB"/>
    <w:rsid w:val="00CA2B2B"/>
    <w:rsid w:val="00CA3D97"/>
    <w:rsid w:val="00CA4667"/>
    <w:rsid w:val="00CA4992"/>
    <w:rsid w:val="00CA5136"/>
    <w:rsid w:val="00CA6828"/>
    <w:rsid w:val="00CB1EFC"/>
    <w:rsid w:val="00CB2E3A"/>
    <w:rsid w:val="00CB41AC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A3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52EE"/>
    <w:rsid w:val="00D7604B"/>
    <w:rsid w:val="00D76A32"/>
    <w:rsid w:val="00D76DB3"/>
    <w:rsid w:val="00D778DF"/>
    <w:rsid w:val="00D82D5B"/>
    <w:rsid w:val="00D82F2E"/>
    <w:rsid w:val="00D832FD"/>
    <w:rsid w:val="00D83DE5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3A8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572D"/>
    <w:rsid w:val="00DF60B8"/>
    <w:rsid w:val="00DF6552"/>
    <w:rsid w:val="00DF6CB1"/>
    <w:rsid w:val="00E0014C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3371"/>
    <w:rsid w:val="00E24479"/>
    <w:rsid w:val="00E25DB1"/>
    <w:rsid w:val="00E27FCC"/>
    <w:rsid w:val="00E32EB7"/>
    <w:rsid w:val="00E33E55"/>
    <w:rsid w:val="00E34278"/>
    <w:rsid w:val="00E375AE"/>
    <w:rsid w:val="00E37A68"/>
    <w:rsid w:val="00E414D1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64F1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15F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EF76BA"/>
    <w:rsid w:val="00EF7B3F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02A5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0C19"/>
    <w:rsid w:val="00F72077"/>
    <w:rsid w:val="00F753F1"/>
    <w:rsid w:val="00F76219"/>
    <w:rsid w:val="00F774CF"/>
    <w:rsid w:val="00F77A2F"/>
    <w:rsid w:val="00F81290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6D9F"/>
    <w:rsid w:val="00FA7C65"/>
    <w:rsid w:val="00FB0806"/>
    <w:rsid w:val="00FB12B4"/>
    <w:rsid w:val="00FB2D9B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4C5B"/>
    <w:rsid w:val="00FC5CD5"/>
    <w:rsid w:val="00FC6A98"/>
    <w:rsid w:val="00FD117D"/>
    <w:rsid w:val="00FD1CFC"/>
    <w:rsid w:val="00FD1E16"/>
    <w:rsid w:val="00FD3D93"/>
    <w:rsid w:val="00FD4BFB"/>
    <w:rsid w:val="00FD4D4C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8A79A"/>
  <w15:docId w15:val="{7DCA5266-EB3E-4486-946E-53DCD905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1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,列出段落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C212-F19E-4B08-887E-F387FD36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xyz</cp:lastModifiedBy>
  <cp:revision>2</cp:revision>
  <cp:lastPrinted>2018-12-14T11:30:00Z</cp:lastPrinted>
  <dcterms:created xsi:type="dcterms:W3CDTF">2022-10-05T08:41:00Z</dcterms:created>
  <dcterms:modified xsi:type="dcterms:W3CDTF">2022-10-05T08:41:00Z</dcterms:modified>
</cp:coreProperties>
</file>