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481D" w14:textId="77777777" w:rsidR="00AD313C" w:rsidRPr="00AD313C" w:rsidRDefault="00AD313C" w:rsidP="00AD313C">
      <w:pPr>
        <w:rPr>
          <w:u w:val="single"/>
        </w:rPr>
      </w:pPr>
    </w:p>
    <w:p w14:paraId="7E82DED2" w14:textId="03FEF50B" w:rsidR="00583D5F" w:rsidRPr="00583D5F" w:rsidRDefault="00583D5F" w:rsidP="00583D5F">
      <w:pPr>
        <w:rPr>
          <w:rFonts w:ascii="Calibri" w:hAnsi="Calibri" w:cs="Calibri"/>
          <w:b/>
          <w:bCs/>
        </w:rPr>
      </w:pPr>
      <w:r w:rsidRPr="00583D5F">
        <w:rPr>
          <w:rFonts w:ascii="Calibri" w:hAnsi="Calibri" w:cs="Calibri"/>
          <w:b/>
          <w:bCs/>
        </w:rPr>
        <w:t>OPIS PRZEDMIOTU ZAMÓWIENIA</w:t>
      </w:r>
      <w:r w:rsidR="001B2775">
        <w:rPr>
          <w:rFonts w:ascii="Calibri" w:hAnsi="Calibri" w:cs="Calibri"/>
          <w:b/>
          <w:bCs/>
        </w:rPr>
        <w:t xml:space="preserve"> dla cz. III</w:t>
      </w:r>
    </w:p>
    <w:p w14:paraId="679B8DAE" w14:textId="77777777" w:rsidR="00583D5F" w:rsidRPr="00583D5F" w:rsidRDefault="00583D5F" w:rsidP="00583D5F">
      <w:pPr>
        <w:rPr>
          <w:rFonts w:ascii="Calibri" w:hAnsi="Calibri" w:cs="Calibri"/>
          <w:b/>
          <w:bCs/>
        </w:rPr>
      </w:pPr>
      <w:r w:rsidRPr="00583D5F">
        <w:rPr>
          <w:rFonts w:ascii="Calibri" w:hAnsi="Calibri" w:cs="Calibri"/>
          <w:b/>
          <w:bCs/>
        </w:rPr>
        <w:t>Dostawa sprzętu medycznego na potrzeby projektu „Dobry wzrok Mazowszan”</w:t>
      </w:r>
    </w:p>
    <w:p w14:paraId="64278EDF" w14:textId="79B0F538" w:rsidR="00665835" w:rsidRPr="00705C7C" w:rsidRDefault="00665835" w:rsidP="00665835">
      <w:pPr>
        <w:rPr>
          <w:rFonts w:ascii="Calibri" w:hAnsi="Calibri" w:cs="Calibri"/>
          <w:b/>
          <w:bCs/>
        </w:rPr>
      </w:pPr>
      <w:r w:rsidRPr="00705C7C">
        <w:rPr>
          <w:rFonts w:ascii="Calibri" w:hAnsi="Calibri" w:cs="Calibri"/>
          <w:b/>
          <w:bCs/>
        </w:rPr>
        <w:t>LAMPA SZCZELINOWA (RĘCZNA) typu PSL CLASSIC, producent</w:t>
      </w:r>
      <w:r w:rsidR="00705C7C">
        <w:rPr>
          <w:rFonts w:ascii="Calibri" w:hAnsi="Calibri" w:cs="Calibri"/>
          <w:b/>
          <w:bCs/>
        </w:rPr>
        <w:t>a</w:t>
      </w:r>
      <w:r w:rsidRPr="00705C7C">
        <w:rPr>
          <w:rFonts w:ascii="Calibri" w:hAnsi="Calibri" w:cs="Calibri"/>
          <w:b/>
          <w:bCs/>
        </w:rPr>
        <w:t xml:space="preserve"> KEELER</w:t>
      </w:r>
    </w:p>
    <w:p w14:paraId="0E11F479" w14:textId="0C42E735" w:rsidR="004255A9" w:rsidRPr="00FA32A6" w:rsidRDefault="004255A9" w:rsidP="00FA32A6">
      <w:pPr>
        <w:pStyle w:val="Akapitzlist"/>
        <w:numPr>
          <w:ilvl w:val="0"/>
          <w:numId w:val="4"/>
        </w:numPr>
        <w:rPr>
          <w:rFonts w:ascii="Calibri" w:hAnsi="Calibri" w:cs="Calibri"/>
        </w:rPr>
      </w:pPr>
      <w:r w:rsidRPr="00FA32A6">
        <w:rPr>
          <w:rFonts w:ascii="Calibri" w:hAnsi="Calibri" w:cs="Calibri"/>
        </w:rPr>
        <w:t>Długość szczeliny: 12mm</w:t>
      </w:r>
      <w:r w:rsidR="00CF63F5">
        <w:rPr>
          <w:rFonts w:ascii="Calibri" w:hAnsi="Calibri" w:cs="Calibri"/>
        </w:rPr>
        <w:t>.</w:t>
      </w:r>
    </w:p>
    <w:p w14:paraId="61DC90F5" w14:textId="61CA96D1" w:rsidR="004255A9" w:rsidRPr="00FA32A6" w:rsidRDefault="004255A9" w:rsidP="00FA32A6">
      <w:pPr>
        <w:pStyle w:val="Akapitzlist"/>
        <w:numPr>
          <w:ilvl w:val="0"/>
          <w:numId w:val="4"/>
        </w:numPr>
        <w:rPr>
          <w:rFonts w:ascii="Calibri" w:hAnsi="Calibri" w:cs="Calibri"/>
        </w:rPr>
      </w:pPr>
      <w:r w:rsidRPr="00FA32A6">
        <w:rPr>
          <w:rFonts w:ascii="Calibri" w:hAnsi="Calibri" w:cs="Calibri"/>
        </w:rPr>
        <w:t>Szerokość szczeliny: 0.15mm, 0.5mm, 0.8mm, 1.6mm oraz plamka (1mm kwadratowy) i okręg 12mm</w:t>
      </w:r>
      <w:r w:rsidR="00CF63F5">
        <w:rPr>
          <w:rFonts w:ascii="Calibri" w:hAnsi="Calibri" w:cs="Calibri"/>
        </w:rPr>
        <w:t>.</w:t>
      </w:r>
    </w:p>
    <w:p w14:paraId="65B20063" w14:textId="38DA3CD7" w:rsidR="004255A9" w:rsidRPr="00FA32A6" w:rsidRDefault="004255A9" w:rsidP="00FA32A6">
      <w:pPr>
        <w:pStyle w:val="Akapitzlist"/>
        <w:numPr>
          <w:ilvl w:val="0"/>
          <w:numId w:val="4"/>
        </w:numPr>
        <w:rPr>
          <w:rFonts w:ascii="Calibri" w:hAnsi="Calibri" w:cs="Calibri"/>
        </w:rPr>
      </w:pPr>
      <w:r w:rsidRPr="00FA32A6">
        <w:rPr>
          <w:rFonts w:ascii="Calibri" w:hAnsi="Calibri" w:cs="Calibri"/>
        </w:rPr>
        <w:t xml:space="preserve">Filtry: zielony blokujący światło czerwone, niebieski, neutralny. Wbudowany filtr blokujący promieniowanie </w:t>
      </w:r>
      <w:r w:rsidR="001D73C8" w:rsidRPr="00FA32A6">
        <w:rPr>
          <w:rFonts w:ascii="Calibri" w:hAnsi="Calibri" w:cs="Calibri"/>
        </w:rPr>
        <w:t>podczerwone (</w:t>
      </w:r>
      <w:r w:rsidRPr="00FA32A6">
        <w:rPr>
          <w:rFonts w:ascii="Calibri" w:hAnsi="Calibri" w:cs="Calibri"/>
        </w:rPr>
        <w:t>IR)</w:t>
      </w:r>
      <w:r w:rsidR="00CF63F5">
        <w:rPr>
          <w:rFonts w:ascii="Calibri" w:hAnsi="Calibri" w:cs="Calibri"/>
        </w:rPr>
        <w:t>.</w:t>
      </w:r>
    </w:p>
    <w:p w14:paraId="78C5B9B1" w14:textId="6CA3B081" w:rsidR="004255A9" w:rsidRPr="00FA32A6" w:rsidRDefault="004255A9" w:rsidP="00FA32A6">
      <w:pPr>
        <w:pStyle w:val="Akapitzlist"/>
        <w:numPr>
          <w:ilvl w:val="0"/>
          <w:numId w:val="4"/>
        </w:numPr>
        <w:rPr>
          <w:rFonts w:ascii="Calibri" w:hAnsi="Calibri" w:cs="Calibri"/>
        </w:rPr>
      </w:pPr>
      <w:r w:rsidRPr="00FA32A6">
        <w:rPr>
          <w:rFonts w:ascii="Calibri" w:hAnsi="Calibri" w:cs="Calibri"/>
        </w:rPr>
        <w:t>Kąt szczeliny: +/- 60°</w:t>
      </w:r>
      <w:r w:rsidR="00CF63F5">
        <w:rPr>
          <w:rFonts w:ascii="Calibri" w:hAnsi="Calibri" w:cs="Calibri"/>
        </w:rPr>
        <w:t>.</w:t>
      </w:r>
    </w:p>
    <w:p w14:paraId="5471B270" w14:textId="38740867" w:rsidR="004255A9" w:rsidRPr="00FA32A6" w:rsidRDefault="004255A9" w:rsidP="00FA32A6">
      <w:pPr>
        <w:pStyle w:val="Akapitzlist"/>
        <w:numPr>
          <w:ilvl w:val="0"/>
          <w:numId w:val="4"/>
        </w:numPr>
        <w:rPr>
          <w:rFonts w:ascii="Calibri" w:hAnsi="Calibri" w:cs="Calibri"/>
        </w:rPr>
      </w:pPr>
      <w:r w:rsidRPr="00FA32A6">
        <w:rPr>
          <w:rFonts w:ascii="Calibri" w:hAnsi="Calibri" w:cs="Calibri"/>
        </w:rPr>
        <w:t>Sterowanie oświetleniem: bezstopniowe, od niskiej do pełnej jasności</w:t>
      </w:r>
      <w:r w:rsidR="00CF63F5">
        <w:rPr>
          <w:rFonts w:ascii="Calibri" w:hAnsi="Calibri" w:cs="Calibri"/>
        </w:rPr>
        <w:t>.</w:t>
      </w:r>
    </w:p>
    <w:p w14:paraId="28D74556" w14:textId="1B7AAB0F" w:rsidR="004255A9" w:rsidRPr="00FA32A6" w:rsidRDefault="004255A9" w:rsidP="00FA32A6">
      <w:pPr>
        <w:pStyle w:val="Akapitzlist"/>
        <w:numPr>
          <w:ilvl w:val="0"/>
          <w:numId w:val="4"/>
        </w:numPr>
        <w:rPr>
          <w:rFonts w:ascii="Calibri" w:hAnsi="Calibri" w:cs="Calibri"/>
        </w:rPr>
      </w:pPr>
      <w:r w:rsidRPr="00FA32A6">
        <w:rPr>
          <w:rFonts w:ascii="Calibri" w:hAnsi="Calibri" w:cs="Calibri"/>
        </w:rPr>
        <w:t>Zasilanie akumulatorowe: ładowarka w komplecie</w:t>
      </w:r>
      <w:r w:rsidR="00CF63F5">
        <w:rPr>
          <w:rFonts w:ascii="Calibri" w:hAnsi="Calibri" w:cs="Calibri"/>
        </w:rPr>
        <w:t>.</w:t>
      </w:r>
    </w:p>
    <w:p w14:paraId="658BB521" w14:textId="5FEE64B5" w:rsidR="004255A9" w:rsidRPr="00FA32A6" w:rsidRDefault="004255A9" w:rsidP="00FA32A6">
      <w:pPr>
        <w:pStyle w:val="Akapitzlist"/>
        <w:numPr>
          <w:ilvl w:val="0"/>
          <w:numId w:val="4"/>
        </w:numPr>
        <w:rPr>
          <w:rFonts w:ascii="Calibri" w:hAnsi="Calibri" w:cs="Calibri"/>
        </w:rPr>
      </w:pPr>
      <w:r w:rsidRPr="00FA32A6">
        <w:rPr>
          <w:rFonts w:ascii="Calibri" w:hAnsi="Calibri" w:cs="Calibri"/>
        </w:rPr>
        <w:t>Dwa stopnie powiększenia: 10 i 16</w:t>
      </w:r>
      <w:r w:rsidR="00CF63F5">
        <w:rPr>
          <w:rFonts w:ascii="Calibri" w:hAnsi="Calibri" w:cs="Calibri"/>
        </w:rPr>
        <w:t>.</w:t>
      </w:r>
    </w:p>
    <w:p w14:paraId="62739DCC" w14:textId="59120A30" w:rsidR="00FA32A6" w:rsidRPr="00FA32A6" w:rsidRDefault="00FA32A6" w:rsidP="00FA32A6">
      <w:pPr>
        <w:pStyle w:val="Akapitzlist"/>
        <w:numPr>
          <w:ilvl w:val="0"/>
          <w:numId w:val="4"/>
        </w:numPr>
        <w:rPr>
          <w:rFonts w:ascii="Calibri" w:hAnsi="Calibri" w:cs="Calibri"/>
        </w:rPr>
      </w:pPr>
      <w:r w:rsidRPr="00FA32A6">
        <w:rPr>
          <w:rFonts w:ascii="Calibri" w:hAnsi="Calibri" w:cs="Calibri"/>
        </w:rPr>
        <w:t>Płynna zmiana powiększenia</w:t>
      </w:r>
      <w:r w:rsidR="00CF63F5">
        <w:rPr>
          <w:rFonts w:ascii="Calibri" w:hAnsi="Calibri" w:cs="Calibri"/>
        </w:rPr>
        <w:t>.</w:t>
      </w:r>
    </w:p>
    <w:p w14:paraId="3BB0985E" w14:textId="219BADD2" w:rsidR="004255A9" w:rsidRPr="00763D61" w:rsidRDefault="004255A9" w:rsidP="00FA32A6">
      <w:pPr>
        <w:pStyle w:val="Akapitzlist"/>
        <w:numPr>
          <w:ilvl w:val="0"/>
          <w:numId w:val="4"/>
        </w:numPr>
        <w:rPr>
          <w:rFonts w:ascii="Calibri" w:hAnsi="Calibri" w:cs="Calibri"/>
        </w:rPr>
      </w:pPr>
      <w:r w:rsidRPr="00763D61">
        <w:rPr>
          <w:rFonts w:ascii="Calibri" w:hAnsi="Calibri" w:cs="Calibri"/>
        </w:rPr>
        <w:t>Zakres regulacji dioptrii w okularze: +/- 7D</w:t>
      </w:r>
      <w:r w:rsidR="00CF63F5">
        <w:rPr>
          <w:rFonts w:ascii="Calibri" w:hAnsi="Calibri" w:cs="Calibri"/>
        </w:rPr>
        <w:t>.</w:t>
      </w:r>
    </w:p>
    <w:p w14:paraId="17F3567E" w14:textId="7023A700" w:rsidR="004255A9" w:rsidRPr="00763D61" w:rsidRDefault="004255A9" w:rsidP="00FA32A6">
      <w:pPr>
        <w:pStyle w:val="Akapitzlist"/>
        <w:numPr>
          <w:ilvl w:val="0"/>
          <w:numId w:val="4"/>
        </w:numPr>
        <w:rPr>
          <w:rFonts w:ascii="Calibri" w:hAnsi="Calibri" w:cs="Calibri"/>
        </w:rPr>
      </w:pPr>
      <w:r w:rsidRPr="00763D61">
        <w:rPr>
          <w:rFonts w:ascii="Calibri" w:hAnsi="Calibri" w:cs="Calibri"/>
        </w:rPr>
        <w:t>Wymiary i waga:</w:t>
      </w:r>
      <w:r w:rsidR="00FA32A6" w:rsidRPr="00763D61">
        <w:rPr>
          <w:rFonts w:ascii="Calibri" w:hAnsi="Calibri" w:cs="Calibri"/>
        </w:rPr>
        <w:t xml:space="preserve"> urządzenie przenośne - 238 x 116 x 210mm/ ~900g</w:t>
      </w:r>
      <w:r w:rsidR="00CF63F5">
        <w:rPr>
          <w:rFonts w:ascii="Calibri" w:hAnsi="Calibri" w:cs="Calibri"/>
        </w:rPr>
        <w:t>.</w:t>
      </w:r>
    </w:p>
    <w:p w14:paraId="6FDA1772" w14:textId="4F59B236" w:rsidR="00AE6FD3" w:rsidRPr="00763D61" w:rsidRDefault="00695EB6" w:rsidP="00FA32A6">
      <w:pPr>
        <w:pStyle w:val="Akapitzlist"/>
        <w:numPr>
          <w:ilvl w:val="0"/>
          <w:numId w:val="4"/>
        </w:numPr>
        <w:rPr>
          <w:rFonts w:ascii="Calibri" w:hAnsi="Calibri" w:cs="Calibri"/>
        </w:rPr>
      </w:pPr>
      <w:r w:rsidRPr="00763D61">
        <w:rPr>
          <w:rFonts w:ascii="Calibri" w:hAnsi="Calibri" w:cs="Calibri"/>
        </w:rPr>
        <w:t>S</w:t>
      </w:r>
      <w:r w:rsidR="004255A9" w:rsidRPr="00763D61">
        <w:rPr>
          <w:rFonts w:ascii="Calibri" w:hAnsi="Calibri" w:cs="Calibri"/>
        </w:rPr>
        <w:t>tacja dokująca - 205 x 138 x 40mm/ 300g</w:t>
      </w:r>
      <w:r w:rsidR="00CF63F5">
        <w:rPr>
          <w:rFonts w:ascii="Calibri" w:hAnsi="Calibri" w:cs="Calibri"/>
        </w:rPr>
        <w:t>.</w:t>
      </w:r>
    </w:p>
    <w:p w14:paraId="0F3E5A3D" w14:textId="643967F0" w:rsidR="00695EB6" w:rsidRPr="00763D61" w:rsidRDefault="00695EB6" w:rsidP="00FA32A6">
      <w:pPr>
        <w:pStyle w:val="Akapitzlist"/>
        <w:numPr>
          <w:ilvl w:val="0"/>
          <w:numId w:val="4"/>
        </w:numPr>
        <w:rPr>
          <w:rFonts w:ascii="Calibri" w:hAnsi="Calibri" w:cs="Calibri"/>
        </w:rPr>
      </w:pPr>
      <w:r w:rsidRPr="00763D61">
        <w:rPr>
          <w:rFonts w:ascii="Calibri" w:hAnsi="Calibri" w:cs="Calibri"/>
        </w:rPr>
        <w:t>Zestaw z walizką transportową</w:t>
      </w:r>
      <w:r w:rsidR="00CF63F5">
        <w:rPr>
          <w:rFonts w:ascii="Calibri" w:hAnsi="Calibri" w:cs="Calibri"/>
        </w:rPr>
        <w:t>.</w:t>
      </w:r>
    </w:p>
    <w:p w14:paraId="2A8312AD" w14:textId="7A9A6412" w:rsidR="00AD313C" w:rsidRPr="00770ECF" w:rsidRDefault="00FA32A6" w:rsidP="00FA32A6">
      <w:pPr>
        <w:pStyle w:val="Akapitzlist"/>
        <w:numPr>
          <w:ilvl w:val="0"/>
          <w:numId w:val="4"/>
        </w:numPr>
      </w:pPr>
      <w:r w:rsidRPr="00763D61">
        <w:rPr>
          <w:rFonts w:ascii="Calibri" w:hAnsi="Calibri" w:cs="Calibri"/>
        </w:rPr>
        <w:t>Okres gwarancji – 24 miesiące.</w:t>
      </w:r>
    </w:p>
    <w:p w14:paraId="3B4AC438" w14:textId="78E478DA" w:rsidR="00770ECF" w:rsidRPr="00770ECF" w:rsidRDefault="00770ECF" w:rsidP="00FA32A6">
      <w:pPr>
        <w:pStyle w:val="Akapitzlist"/>
        <w:numPr>
          <w:ilvl w:val="0"/>
          <w:numId w:val="4"/>
        </w:numPr>
      </w:pPr>
      <w:r w:rsidRPr="00770ECF">
        <w:rPr>
          <w:rFonts w:ascii="Calibri" w:hAnsi="Calibri" w:cs="Calibri"/>
        </w:rPr>
        <w:t>Zaoferowany sprzęt musi spełniać europejskie wymogi bezpieczeństwa, w tym posiadać certyfikat CE.</w:t>
      </w:r>
    </w:p>
    <w:p w14:paraId="39B8E041" w14:textId="77777777" w:rsidR="0027353D" w:rsidRDefault="0027353D" w:rsidP="0027353D">
      <w:pPr>
        <w:pStyle w:val="Akapitzlist"/>
        <w:rPr>
          <w:rFonts w:eastAsia="Times New Roman"/>
        </w:rPr>
      </w:pPr>
    </w:p>
    <w:p w14:paraId="36B532B0" w14:textId="27A32B17" w:rsidR="0027353D" w:rsidRPr="0027353D" w:rsidRDefault="0027353D" w:rsidP="0027353D">
      <w:pPr>
        <w:rPr>
          <w:rFonts w:eastAsia="Times New Roman"/>
        </w:rPr>
      </w:pPr>
      <w:r w:rsidRPr="0027353D">
        <w:rPr>
          <w:rFonts w:eastAsia="Times New Roman"/>
        </w:rPr>
        <w:t xml:space="preserve">Zamawiający dopuszcza dostawę asortymentu o równoważnych bądź wyższych parametrach technicznych, funkcjonalnych i jakościowych.  </w:t>
      </w:r>
    </w:p>
    <w:p w14:paraId="41AD5C11" w14:textId="049A12DF" w:rsidR="004C3C37" w:rsidRPr="000F7F72" w:rsidRDefault="004C3C37" w:rsidP="004C3C37">
      <w:pPr>
        <w:rPr>
          <w:rFonts w:ascii="Calibri" w:eastAsia="Times New Roman" w:hAnsi="Calibri" w:cs="Calibri"/>
        </w:rPr>
      </w:pPr>
      <w:r w:rsidRPr="000F7F72">
        <w:rPr>
          <w:rFonts w:ascii="Calibri" w:eastAsia="Times New Roman" w:hAnsi="Calibri" w:cs="Calibri"/>
        </w:rPr>
        <w:t>Lampa szczelinowa (ręczna</w:t>
      </w:r>
      <w:r w:rsidR="008561F5" w:rsidRPr="000F7F72">
        <w:rPr>
          <w:rFonts w:ascii="Calibri" w:eastAsia="Times New Roman" w:hAnsi="Calibri" w:cs="Calibri"/>
        </w:rPr>
        <w:t>, przenośna</w:t>
      </w:r>
      <w:r w:rsidRPr="000F7F72">
        <w:rPr>
          <w:rFonts w:ascii="Calibri" w:eastAsia="Times New Roman" w:hAnsi="Calibri" w:cs="Calibri"/>
        </w:rPr>
        <w:t>) równoważna powinna spełniać następujące wymagania:</w:t>
      </w:r>
    </w:p>
    <w:p w14:paraId="29E6DF87" w14:textId="77777777" w:rsidR="000F7F72" w:rsidRPr="000F7F72" w:rsidRDefault="004C3C37" w:rsidP="000F7F72">
      <w:pPr>
        <w:pStyle w:val="Akapitzlist"/>
        <w:numPr>
          <w:ilvl w:val="0"/>
          <w:numId w:val="6"/>
        </w:numPr>
        <w:tabs>
          <w:tab w:val="left" w:pos="284"/>
        </w:tabs>
        <w:spacing w:after="0" w:line="240" w:lineRule="auto"/>
        <w:ind w:left="0" w:firstLine="0"/>
        <w:rPr>
          <w:rFonts w:ascii="Calibri" w:eastAsia="Times New Roman" w:hAnsi="Calibri" w:cs="Calibri"/>
        </w:rPr>
      </w:pPr>
      <w:r w:rsidRPr="000F7F72">
        <w:rPr>
          <w:rFonts w:ascii="Calibri" w:eastAsia="Times New Roman" w:hAnsi="Calibri" w:cs="Calibri"/>
        </w:rPr>
        <w:t>Długość szczeliny: </w:t>
      </w:r>
    </w:p>
    <w:p w14:paraId="4BB77071" w14:textId="5F21D37C" w:rsidR="004C3C37" w:rsidRPr="000F7F72" w:rsidRDefault="000F7F72" w:rsidP="000F7F72">
      <w:pPr>
        <w:pStyle w:val="Akapitzlist"/>
        <w:tabs>
          <w:tab w:val="left" w:pos="284"/>
        </w:tabs>
        <w:spacing w:after="0" w:line="240" w:lineRule="auto"/>
        <w:ind w:left="0"/>
        <w:rPr>
          <w:rFonts w:ascii="Calibri" w:eastAsia="Times New Roman" w:hAnsi="Calibri" w:cs="Calibri"/>
        </w:rPr>
      </w:pPr>
      <w:r>
        <w:rPr>
          <w:rFonts w:ascii="Calibri" w:eastAsia="Times New Roman" w:hAnsi="Calibri" w:cs="Calibri"/>
        </w:rPr>
        <w:tab/>
      </w:r>
      <w:r w:rsidR="004C3C37" w:rsidRPr="000F7F72">
        <w:rPr>
          <w:rFonts w:ascii="Calibri" w:eastAsia="Times New Roman" w:hAnsi="Calibri" w:cs="Calibri"/>
        </w:rPr>
        <w:t>12 mm.</w:t>
      </w:r>
    </w:p>
    <w:p w14:paraId="3BC9EE7C" w14:textId="77777777" w:rsidR="000F7F72" w:rsidRDefault="004C3C37" w:rsidP="000F7F72">
      <w:pPr>
        <w:pStyle w:val="Akapitzlist"/>
        <w:numPr>
          <w:ilvl w:val="0"/>
          <w:numId w:val="6"/>
        </w:numPr>
        <w:tabs>
          <w:tab w:val="left" w:pos="284"/>
        </w:tabs>
        <w:spacing w:after="0" w:line="240" w:lineRule="auto"/>
        <w:ind w:left="0" w:firstLine="0"/>
        <w:rPr>
          <w:rFonts w:ascii="Calibri" w:eastAsia="Times New Roman" w:hAnsi="Calibri" w:cs="Calibri"/>
        </w:rPr>
      </w:pPr>
      <w:r w:rsidRPr="000F7F72">
        <w:rPr>
          <w:rFonts w:ascii="Calibri" w:eastAsia="Times New Roman" w:hAnsi="Calibri" w:cs="Calibri"/>
        </w:rPr>
        <w:t>Szerokość szczeliny:</w:t>
      </w:r>
      <w:r w:rsidR="008561F5" w:rsidRPr="000F7F72">
        <w:rPr>
          <w:rFonts w:ascii="Calibri" w:eastAsia="Times New Roman" w:hAnsi="Calibri" w:cs="Calibri"/>
        </w:rPr>
        <w:t xml:space="preserve"> </w:t>
      </w:r>
    </w:p>
    <w:p w14:paraId="446F1AF6" w14:textId="3C128D1E" w:rsidR="004C3C37" w:rsidRPr="000F7F72" w:rsidRDefault="008561F5" w:rsidP="000F7F72">
      <w:pPr>
        <w:pStyle w:val="Akapitzlist"/>
        <w:tabs>
          <w:tab w:val="left" w:pos="284"/>
        </w:tabs>
        <w:spacing w:after="0" w:line="240" w:lineRule="auto"/>
        <w:ind w:left="284"/>
        <w:rPr>
          <w:rFonts w:ascii="Calibri" w:eastAsia="Times New Roman" w:hAnsi="Calibri" w:cs="Calibri"/>
        </w:rPr>
      </w:pPr>
      <w:r w:rsidRPr="000F7F72">
        <w:rPr>
          <w:rFonts w:ascii="Calibri" w:eastAsia="Times New Roman" w:hAnsi="Calibri" w:cs="Calibri"/>
        </w:rPr>
        <w:t xml:space="preserve">regulowana szerokość szczeliny - </w:t>
      </w:r>
      <w:r w:rsidR="004C3C37" w:rsidRPr="000F7F72">
        <w:rPr>
          <w:rFonts w:ascii="Calibri" w:eastAsia="Times New Roman" w:hAnsi="Calibri" w:cs="Calibri"/>
        </w:rPr>
        <w:t>0,15 mm, 0,5 mm, 0,8 mm, 1,6 mm oraz plamka (1 mm</w:t>
      </w:r>
      <w:r w:rsidR="00D94684">
        <w:rPr>
          <w:rFonts w:ascii="Calibri" w:eastAsia="Times New Roman" w:hAnsi="Calibri" w:cs="Calibri"/>
        </w:rPr>
        <w:t xml:space="preserve"> </w:t>
      </w:r>
      <w:r w:rsidR="004C3C37" w:rsidRPr="000F7F72">
        <w:rPr>
          <w:rFonts w:ascii="Calibri" w:eastAsia="Times New Roman" w:hAnsi="Calibri" w:cs="Calibri"/>
        </w:rPr>
        <w:t>kwadratowy) i okrąg 12 mm.</w:t>
      </w:r>
    </w:p>
    <w:p w14:paraId="7FECD4B1" w14:textId="77777777" w:rsidR="000F7F72" w:rsidRPr="000F7F72" w:rsidRDefault="004C3C37" w:rsidP="000F7F72">
      <w:pPr>
        <w:pStyle w:val="Akapitzlist"/>
        <w:numPr>
          <w:ilvl w:val="0"/>
          <w:numId w:val="6"/>
        </w:numPr>
        <w:tabs>
          <w:tab w:val="left" w:pos="284"/>
        </w:tabs>
        <w:spacing w:after="0" w:line="240" w:lineRule="auto"/>
        <w:ind w:left="0" w:firstLine="0"/>
        <w:rPr>
          <w:rFonts w:ascii="Calibri" w:eastAsia="Times New Roman" w:hAnsi="Calibri" w:cs="Calibri"/>
        </w:rPr>
      </w:pPr>
      <w:r w:rsidRPr="000F7F72">
        <w:rPr>
          <w:rFonts w:ascii="Calibri" w:eastAsia="Times New Roman" w:hAnsi="Calibri" w:cs="Calibri"/>
        </w:rPr>
        <w:t>Filtry:</w:t>
      </w:r>
      <w:r w:rsidR="000F7F72" w:rsidRPr="000F7F72">
        <w:rPr>
          <w:rFonts w:ascii="Calibri" w:eastAsia="Times New Roman" w:hAnsi="Calibri" w:cs="Calibri"/>
        </w:rPr>
        <w:t xml:space="preserve"> </w:t>
      </w:r>
    </w:p>
    <w:p w14:paraId="616BE6D3" w14:textId="713ADC33" w:rsidR="004C3C37" w:rsidRPr="000F7F72" w:rsidRDefault="000F7F72" w:rsidP="000F7F72">
      <w:pPr>
        <w:pStyle w:val="Akapitzlist"/>
        <w:tabs>
          <w:tab w:val="left" w:pos="284"/>
        </w:tabs>
        <w:spacing w:after="0" w:line="240" w:lineRule="auto"/>
        <w:ind w:left="0"/>
        <w:rPr>
          <w:rFonts w:ascii="Calibri" w:eastAsia="Times New Roman" w:hAnsi="Calibri" w:cs="Calibri"/>
        </w:rPr>
      </w:pPr>
      <w:r>
        <w:rPr>
          <w:rFonts w:ascii="Calibri" w:eastAsia="Times New Roman" w:hAnsi="Calibri" w:cs="Calibri"/>
        </w:rPr>
        <w:tab/>
      </w:r>
      <w:r w:rsidRPr="000F7F72">
        <w:rPr>
          <w:rFonts w:ascii="Calibri" w:eastAsia="Times New Roman" w:hAnsi="Calibri" w:cs="Calibri"/>
        </w:rPr>
        <w:t>z</w:t>
      </w:r>
      <w:r w:rsidR="004C3C37" w:rsidRPr="000F7F72">
        <w:rPr>
          <w:rFonts w:ascii="Calibri" w:eastAsia="Times New Roman" w:hAnsi="Calibri" w:cs="Calibri"/>
        </w:rPr>
        <w:t>ielony blokujący światło czerwone, niebieski, neutralny.</w:t>
      </w:r>
    </w:p>
    <w:p w14:paraId="0383199A" w14:textId="7DDD5321" w:rsidR="004C3C37" w:rsidRPr="000F7F72" w:rsidRDefault="000F7F72" w:rsidP="000F7F72">
      <w:pPr>
        <w:tabs>
          <w:tab w:val="left" w:pos="284"/>
        </w:tabs>
        <w:spacing w:after="0" w:line="240" w:lineRule="auto"/>
        <w:rPr>
          <w:rFonts w:ascii="Calibri" w:eastAsia="Times New Roman" w:hAnsi="Calibri" w:cs="Calibri"/>
        </w:rPr>
      </w:pPr>
      <w:r>
        <w:rPr>
          <w:rFonts w:ascii="Calibri" w:eastAsia="Times New Roman" w:hAnsi="Calibri" w:cs="Calibri"/>
        </w:rPr>
        <w:tab/>
      </w:r>
      <w:r w:rsidR="004C3C37" w:rsidRPr="000F7F72">
        <w:rPr>
          <w:rFonts w:ascii="Calibri" w:eastAsia="Times New Roman" w:hAnsi="Calibri" w:cs="Calibri"/>
        </w:rPr>
        <w:t>filtr blokujący promieniowanie podczerwone (IR).</w:t>
      </w:r>
    </w:p>
    <w:p w14:paraId="38B22015" w14:textId="5F189B08" w:rsidR="000F7F72" w:rsidRPr="000F7F72" w:rsidRDefault="004C3C37" w:rsidP="000F7F72">
      <w:pPr>
        <w:tabs>
          <w:tab w:val="left" w:pos="284"/>
        </w:tabs>
        <w:spacing w:after="0" w:line="240" w:lineRule="auto"/>
        <w:ind w:left="284" w:hanging="284"/>
        <w:rPr>
          <w:rFonts w:ascii="Calibri" w:eastAsia="Times New Roman" w:hAnsi="Calibri" w:cs="Calibri"/>
        </w:rPr>
      </w:pPr>
      <w:r w:rsidRPr="000F7F72">
        <w:rPr>
          <w:rFonts w:ascii="Calibri" w:eastAsia="Times New Roman" w:hAnsi="Calibri" w:cs="Calibri"/>
        </w:rPr>
        <w:t xml:space="preserve">4. </w:t>
      </w:r>
      <w:r w:rsidR="000F7F72">
        <w:rPr>
          <w:rFonts w:ascii="Calibri" w:eastAsia="Times New Roman" w:hAnsi="Calibri" w:cs="Calibri"/>
        </w:rPr>
        <w:tab/>
      </w:r>
      <w:r w:rsidRPr="000F7F72">
        <w:rPr>
          <w:rFonts w:ascii="Calibri" w:eastAsia="Times New Roman" w:hAnsi="Calibri" w:cs="Calibri"/>
        </w:rPr>
        <w:t>Kąt szczeliny:</w:t>
      </w:r>
      <w:r w:rsidR="000F7F72" w:rsidRPr="000F7F72">
        <w:rPr>
          <w:rFonts w:ascii="Calibri" w:eastAsia="Times New Roman" w:hAnsi="Calibri" w:cs="Calibri"/>
        </w:rPr>
        <w:t xml:space="preserve"> </w:t>
      </w:r>
    </w:p>
    <w:p w14:paraId="4FACAFC4" w14:textId="20981659" w:rsidR="004C3C37" w:rsidRPr="000F7F72" w:rsidRDefault="000F7F72" w:rsidP="000F7F72">
      <w:pPr>
        <w:tabs>
          <w:tab w:val="left" w:pos="284"/>
        </w:tabs>
        <w:spacing w:after="0" w:line="240" w:lineRule="auto"/>
        <w:ind w:left="284" w:hanging="284"/>
        <w:rPr>
          <w:rFonts w:ascii="Calibri" w:eastAsia="Times New Roman" w:hAnsi="Calibri" w:cs="Calibri"/>
        </w:rPr>
      </w:pPr>
      <w:r>
        <w:rPr>
          <w:rFonts w:ascii="Calibri" w:eastAsia="Times New Roman" w:hAnsi="Calibri" w:cs="Calibri"/>
        </w:rPr>
        <w:tab/>
      </w:r>
      <w:r w:rsidR="004C3C37" w:rsidRPr="000F7F72">
        <w:rPr>
          <w:rFonts w:ascii="Calibri" w:eastAsia="Times New Roman" w:hAnsi="Calibri" w:cs="Calibri"/>
        </w:rPr>
        <w:t>+/- 60°.</w:t>
      </w:r>
    </w:p>
    <w:p w14:paraId="5BF104AA" w14:textId="4E006D47" w:rsidR="004C3C37" w:rsidRPr="000F7F72" w:rsidRDefault="004C3C37" w:rsidP="000F7F72">
      <w:pPr>
        <w:tabs>
          <w:tab w:val="left" w:pos="284"/>
        </w:tabs>
        <w:spacing w:after="0" w:line="240" w:lineRule="auto"/>
        <w:ind w:left="284" w:hanging="284"/>
        <w:rPr>
          <w:rFonts w:ascii="Calibri" w:eastAsia="Times New Roman" w:hAnsi="Calibri" w:cs="Calibri"/>
        </w:rPr>
      </w:pPr>
      <w:r w:rsidRPr="000F7F72">
        <w:rPr>
          <w:rFonts w:ascii="Calibri" w:eastAsia="Times New Roman" w:hAnsi="Calibri" w:cs="Calibri"/>
        </w:rPr>
        <w:t xml:space="preserve">5. </w:t>
      </w:r>
      <w:r w:rsidR="000F7F72">
        <w:rPr>
          <w:rFonts w:ascii="Calibri" w:eastAsia="Times New Roman" w:hAnsi="Calibri" w:cs="Calibri"/>
        </w:rPr>
        <w:tab/>
      </w:r>
      <w:r w:rsidRPr="000F7F72">
        <w:rPr>
          <w:rFonts w:ascii="Calibri" w:eastAsia="Times New Roman" w:hAnsi="Calibri" w:cs="Calibri"/>
        </w:rPr>
        <w:t>Sterowanie oświetleniem:</w:t>
      </w:r>
    </w:p>
    <w:p w14:paraId="484CDBD4" w14:textId="2A070707" w:rsidR="004C3C37" w:rsidRPr="000F7F72" w:rsidRDefault="000F7F72" w:rsidP="000F7F72">
      <w:pPr>
        <w:tabs>
          <w:tab w:val="left" w:pos="284"/>
        </w:tabs>
        <w:spacing w:after="0" w:line="240" w:lineRule="auto"/>
        <w:ind w:left="284" w:hanging="284"/>
        <w:rPr>
          <w:rFonts w:ascii="Calibri" w:eastAsia="Times New Roman" w:hAnsi="Calibri" w:cs="Calibri"/>
        </w:rPr>
      </w:pPr>
      <w:r>
        <w:rPr>
          <w:rFonts w:ascii="Calibri" w:eastAsia="Times New Roman" w:hAnsi="Calibri" w:cs="Calibri"/>
        </w:rPr>
        <w:tab/>
        <w:t>b</w:t>
      </w:r>
      <w:r w:rsidR="004C3C37" w:rsidRPr="000F7F72">
        <w:rPr>
          <w:rFonts w:ascii="Calibri" w:eastAsia="Times New Roman" w:hAnsi="Calibri" w:cs="Calibri"/>
        </w:rPr>
        <w:t>ezstopniowe, od niskiej do pełnej jasności.</w:t>
      </w:r>
    </w:p>
    <w:p w14:paraId="7FE3E77A" w14:textId="016D21CD" w:rsidR="004C3C37" w:rsidRPr="000F7F72" w:rsidRDefault="004C3C37" w:rsidP="000F7F72">
      <w:pPr>
        <w:tabs>
          <w:tab w:val="left" w:pos="284"/>
        </w:tabs>
        <w:spacing w:after="0" w:line="240" w:lineRule="auto"/>
        <w:ind w:left="284" w:hanging="284"/>
        <w:rPr>
          <w:rFonts w:ascii="Calibri" w:eastAsia="Times New Roman" w:hAnsi="Calibri" w:cs="Calibri"/>
        </w:rPr>
      </w:pPr>
      <w:r w:rsidRPr="000F7F72">
        <w:rPr>
          <w:rFonts w:ascii="Calibri" w:eastAsia="Times New Roman" w:hAnsi="Calibri" w:cs="Calibri"/>
        </w:rPr>
        <w:t xml:space="preserve">6. </w:t>
      </w:r>
      <w:r w:rsidR="000F7F72">
        <w:rPr>
          <w:rFonts w:ascii="Calibri" w:eastAsia="Times New Roman" w:hAnsi="Calibri" w:cs="Calibri"/>
        </w:rPr>
        <w:tab/>
      </w:r>
      <w:r w:rsidRPr="000F7F72">
        <w:rPr>
          <w:rFonts w:ascii="Calibri" w:eastAsia="Times New Roman" w:hAnsi="Calibri" w:cs="Calibri"/>
        </w:rPr>
        <w:t>Zasilanie akumulatorowe:</w:t>
      </w:r>
    </w:p>
    <w:p w14:paraId="65344055" w14:textId="6324A603" w:rsidR="004C3C37" w:rsidRPr="000F7F72" w:rsidRDefault="004C3C37" w:rsidP="000F7F72">
      <w:pPr>
        <w:tabs>
          <w:tab w:val="left" w:pos="284"/>
        </w:tabs>
        <w:spacing w:after="0" w:line="240" w:lineRule="auto"/>
        <w:ind w:left="284" w:hanging="284"/>
        <w:rPr>
          <w:rFonts w:ascii="Calibri" w:eastAsia="Times New Roman" w:hAnsi="Calibri" w:cs="Calibri"/>
        </w:rPr>
      </w:pPr>
      <w:r w:rsidRPr="000F7F72">
        <w:rPr>
          <w:rFonts w:ascii="Calibri" w:eastAsia="Times New Roman" w:hAnsi="Calibri" w:cs="Calibri"/>
        </w:rPr>
        <w:t xml:space="preserve">  </w:t>
      </w:r>
      <w:r w:rsidR="000F7F72">
        <w:rPr>
          <w:rFonts w:ascii="Calibri" w:eastAsia="Times New Roman" w:hAnsi="Calibri" w:cs="Calibri"/>
        </w:rPr>
        <w:tab/>
      </w:r>
      <w:r w:rsidRPr="000F7F72">
        <w:rPr>
          <w:rFonts w:ascii="Calibri" w:eastAsia="Times New Roman" w:hAnsi="Calibri" w:cs="Calibri"/>
        </w:rPr>
        <w:t>Ładowarka w komplecie.</w:t>
      </w:r>
    </w:p>
    <w:p w14:paraId="0DE36A22" w14:textId="41EDF671" w:rsidR="004C3C37" w:rsidRPr="000F7F72" w:rsidRDefault="004C3C37" w:rsidP="000F7F72">
      <w:pPr>
        <w:tabs>
          <w:tab w:val="left" w:pos="284"/>
        </w:tabs>
        <w:spacing w:after="0" w:line="240" w:lineRule="auto"/>
        <w:ind w:left="284" w:hanging="284"/>
        <w:rPr>
          <w:rFonts w:ascii="Calibri" w:eastAsia="Times New Roman" w:hAnsi="Calibri" w:cs="Calibri"/>
        </w:rPr>
      </w:pPr>
      <w:r w:rsidRPr="000F7F72">
        <w:rPr>
          <w:rFonts w:ascii="Calibri" w:eastAsia="Times New Roman" w:hAnsi="Calibri" w:cs="Calibri"/>
        </w:rPr>
        <w:t xml:space="preserve">7. </w:t>
      </w:r>
      <w:r w:rsidR="000F7F72">
        <w:rPr>
          <w:rFonts w:ascii="Calibri" w:eastAsia="Times New Roman" w:hAnsi="Calibri" w:cs="Calibri"/>
        </w:rPr>
        <w:tab/>
      </w:r>
      <w:r w:rsidRPr="000F7F72">
        <w:rPr>
          <w:rFonts w:ascii="Calibri" w:eastAsia="Times New Roman" w:hAnsi="Calibri" w:cs="Calibri"/>
        </w:rPr>
        <w:t>Stopnie powiększenia:</w:t>
      </w:r>
    </w:p>
    <w:p w14:paraId="686B53AB" w14:textId="2A47FB20" w:rsidR="004C3C37" w:rsidRPr="000F7F72" w:rsidRDefault="000F7F72" w:rsidP="000F7F72">
      <w:pPr>
        <w:tabs>
          <w:tab w:val="left" w:pos="284"/>
        </w:tabs>
        <w:spacing w:after="0" w:line="240" w:lineRule="auto"/>
        <w:ind w:left="284" w:hanging="284"/>
        <w:rPr>
          <w:rFonts w:ascii="Calibri" w:eastAsia="Times New Roman" w:hAnsi="Calibri" w:cs="Calibri"/>
        </w:rPr>
      </w:pPr>
      <w:r>
        <w:rPr>
          <w:rFonts w:ascii="Calibri" w:eastAsia="Times New Roman" w:hAnsi="Calibri" w:cs="Calibri"/>
        </w:rPr>
        <w:tab/>
      </w:r>
      <w:r w:rsidRPr="000F7F72">
        <w:rPr>
          <w:rFonts w:ascii="Calibri" w:eastAsia="Times New Roman" w:hAnsi="Calibri" w:cs="Calibri"/>
        </w:rPr>
        <w:t>co najmniej d</w:t>
      </w:r>
      <w:r w:rsidR="004C3C37" w:rsidRPr="000F7F72">
        <w:rPr>
          <w:rFonts w:ascii="Calibri" w:eastAsia="Times New Roman" w:hAnsi="Calibri" w:cs="Calibri"/>
        </w:rPr>
        <w:t>wa stopnie powiększenia: 10x i 16x.</w:t>
      </w:r>
    </w:p>
    <w:p w14:paraId="7875C599" w14:textId="263B400F" w:rsidR="004C3C37" w:rsidRPr="000F7F72" w:rsidRDefault="004C3C37" w:rsidP="000F7F72">
      <w:pPr>
        <w:tabs>
          <w:tab w:val="left" w:pos="284"/>
        </w:tabs>
        <w:spacing w:after="0" w:line="240" w:lineRule="auto"/>
        <w:ind w:left="284" w:hanging="284"/>
        <w:rPr>
          <w:rFonts w:ascii="Calibri" w:eastAsia="Times New Roman" w:hAnsi="Calibri" w:cs="Calibri"/>
        </w:rPr>
      </w:pPr>
      <w:r w:rsidRPr="000F7F72">
        <w:rPr>
          <w:rFonts w:ascii="Calibri" w:eastAsia="Times New Roman" w:hAnsi="Calibri" w:cs="Calibri"/>
        </w:rPr>
        <w:t> </w:t>
      </w:r>
      <w:r w:rsidR="000F7F72">
        <w:rPr>
          <w:rFonts w:ascii="Calibri" w:eastAsia="Times New Roman" w:hAnsi="Calibri" w:cs="Calibri"/>
        </w:rPr>
        <w:tab/>
      </w:r>
      <w:r w:rsidR="000F7F72" w:rsidRPr="000F7F72">
        <w:rPr>
          <w:rFonts w:ascii="Calibri" w:eastAsia="Times New Roman" w:hAnsi="Calibri" w:cs="Calibri"/>
        </w:rPr>
        <w:t>p</w:t>
      </w:r>
      <w:r w:rsidRPr="000F7F72">
        <w:rPr>
          <w:rFonts w:ascii="Calibri" w:eastAsia="Times New Roman" w:hAnsi="Calibri" w:cs="Calibri"/>
        </w:rPr>
        <w:t>łynna zmiana powiększenia.</w:t>
      </w:r>
    </w:p>
    <w:p w14:paraId="4C0FD0A2" w14:textId="60A1EA1B" w:rsidR="004C3C37" w:rsidRPr="000F7F72" w:rsidRDefault="004C3C37" w:rsidP="000F7F72">
      <w:pPr>
        <w:tabs>
          <w:tab w:val="left" w:pos="284"/>
        </w:tabs>
        <w:spacing w:after="0" w:line="240" w:lineRule="auto"/>
        <w:ind w:left="284" w:hanging="284"/>
        <w:rPr>
          <w:rFonts w:ascii="Calibri" w:eastAsia="Times New Roman" w:hAnsi="Calibri" w:cs="Calibri"/>
        </w:rPr>
      </w:pPr>
      <w:r w:rsidRPr="000F7F72">
        <w:rPr>
          <w:rFonts w:ascii="Calibri" w:eastAsia="Times New Roman" w:hAnsi="Calibri" w:cs="Calibri"/>
        </w:rPr>
        <w:t xml:space="preserve">8. </w:t>
      </w:r>
      <w:r w:rsidR="000F7F72">
        <w:rPr>
          <w:rFonts w:ascii="Calibri" w:eastAsia="Times New Roman" w:hAnsi="Calibri" w:cs="Calibri"/>
        </w:rPr>
        <w:tab/>
      </w:r>
      <w:r w:rsidRPr="000F7F72">
        <w:rPr>
          <w:rFonts w:ascii="Calibri" w:eastAsia="Times New Roman" w:hAnsi="Calibri" w:cs="Calibri"/>
        </w:rPr>
        <w:t>Zakres regulacji dioptrii w okularze:</w:t>
      </w:r>
    </w:p>
    <w:p w14:paraId="15C3A36E" w14:textId="5C6CE031" w:rsidR="004C3C37" w:rsidRPr="000F7F72" w:rsidRDefault="004C3C37" w:rsidP="000F7F72">
      <w:pPr>
        <w:tabs>
          <w:tab w:val="left" w:pos="284"/>
        </w:tabs>
        <w:spacing w:after="0" w:line="240" w:lineRule="auto"/>
        <w:ind w:left="284" w:hanging="284"/>
        <w:rPr>
          <w:rFonts w:ascii="Calibri" w:eastAsia="Times New Roman" w:hAnsi="Calibri" w:cs="Calibri"/>
        </w:rPr>
      </w:pPr>
      <w:r w:rsidRPr="000F7F72">
        <w:rPr>
          <w:rFonts w:ascii="Calibri" w:eastAsia="Times New Roman" w:hAnsi="Calibri" w:cs="Calibri"/>
        </w:rPr>
        <w:t>   </w:t>
      </w:r>
      <w:r w:rsidR="000F7F72">
        <w:rPr>
          <w:rFonts w:ascii="Calibri" w:eastAsia="Times New Roman" w:hAnsi="Calibri" w:cs="Calibri"/>
        </w:rPr>
        <w:tab/>
      </w:r>
      <w:r w:rsidRPr="000F7F72">
        <w:rPr>
          <w:rFonts w:ascii="Calibri" w:eastAsia="Times New Roman" w:hAnsi="Calibri" w:cs="Calibri"/>
        </w:rPr>
        <w:t>+/- 7D.</w:t>
      </w:r>
    </w:p>
    <w:p w14:paraId="704CBE32" w14:textId="11807F20" w:rsidR="004C3C37" w:rsidRPr="000F7F72" w:rsidRDefault="004C3C37" w:rsidP="000F7F72">
      <w:pPr>
        <w:tabs>
          <w:tab w:val="left" w:pos="284"/>
        </w:tabs>
        <w:spacing w:after="0" w:line="240" w:lineRule="auto"/>
        <w:ind w:left="284" w:hanging="284"/>
        <w:rPr>
          <w:rFonts w:ascii="Calibri" w:eastAsia="Times New Roman" w:hAnsi="Calibri" w:cs="Calibri"/>
        </w:rPr>
      </w:pPr>
      <w:r w:rsidRPr="000F7F72">
        <w:rPr>
          <w:rFonts w:ascii="Calibri" w:eastAsia="Times New Roman" w:hAnsi="Calibri" w:cs="Calibri"/>
        </w:rPr>
        <w:t xml:space="preserve">9. </w:t>
      </w:r>
      <w:r w:rsidR="0027353D">
        <w:rPr>
          <w:rFonts w:ascii="Calibri" w:eastAsia="Times New Roman" w:hAnsi="Calibri" w:cs="Calibri"/>
        </w:rPr>
        <w:tab/>
      </w:r>
      <w:r w:rsidRPr="000F7F72">
        <w:rPr>
          <w:rFonts w:ascii="Calibri" w:eastAsia="Times New Roman" w:hAnsi="Calibri" w:cs="Calibri"/>
        </w:rPr>
        <w:t>Wymiary i waga urządzenia przenośnego:</w:t>
      </w:r>
    </w:p>
    <w:p w14:paraId="4B29832B" w14:textId="65A1D47A" w:rsidR="004C3C37" w:rsidRPr="000F7F72" w:rsidRDefault="004C3C37" w:rsidP="000F7F72">
      <w:pPr>
        <w:tabs>
          <w:tab w:val="left" w:pos="284"/>
        </w:tabs>
        <w:spacing w:after="0" w:line="240" w:lineRule="auto"/>
        <w:ind w:left="284" w:hanging="284"/>
        <w:rPr>
          <w:rFonts w:ascii="Calibri" w:eastAsia="Times New Roman" w:hAnsi="Calibri" w:cs="Calibri"/>
        </w:rPr>
      </w:pPr>
      <w:r w:rsidRPr="000F7F72">
        <w:rPr>
          <w:rFonts w:ascii="Calibri" w:eastAsia="Times New Roman" w:hAnsi="Calibri" w:cs="Calibri"/>
        </w:rPr>
        <w:lastRenderedPageBreak/>
        <w:t>   </w:t>
      </w:r>
      <w:r w:rsidR="000F7F72">
        <w:rPr>
          <w:rFonts w:ascii="Calibri" w:eastAsia="Times New Roman" w:hAnsi="Calibri" w:cs="Calibri"/>
        </w:rPr>
        <w:tab/>
      </w:r>
      <w:r w:rsidRPr="000F7F72">
        <w:rPr>
          <w:rFonts w:ascii="Calibri" w:eastAsia="Times New Roman" w:hAnsi="Calibri" w:cs="Calibri"/>
        </w:rPr>
        <w:t>238 x 116 x 210 mm / około 900 g.</w:t>
      </w:r>
    </w:p>
    <w:p w14:paraId="33E5224D" w14:textId="5684E053" w:rsidR="004C3C37" w:rsidRPr="000F7F72" w:rsidRDefault="004C3C37" w:rsidP="000F7F72">
      <w:pPr>
        <w:tabs>
          <w:tab w:val="left" w:pos="284"/>
        </w:tabs>
        <w:spacing w:after="0" w:line="240" w:lineRule="auto"/>
        <w:ind w:left="284" w:hanging="284"/>
        <w:rPr>
          <w:rFonts w:ascii="Calibri" w:eastAsia="Times New Roman" w:hAnsi="Calibri" w:cs="Calibri"/>
        </w:rPr>
      </w:pPr>
      <w:r w:rsidRPr="000F7F72">
        <w:rPr>
          <w:rFonts w:ascii="Calibri" w:eastAsia="Times New Roman" w:hAnsi="Calibri" w:cs="Calibri"/>
        </w:rPr>
        <w:t>10. Stacja dokująca:</w:t>
      </w:r>
    </w:p>
    <w:p w14:paraId="7861A814" w14:textId="5AE43C54" w:rsidR="004C3C37" w:rsidRPr="000F7F72" w:rsidRDefault="004C3C37" w:rsidP="000F7F72">
      <w:pPr>
        <w:tabs>
          <w:tab w:val="left" w:pos="284"/>
        </w:tabs>
        <w:spacing w:after="0" w:line="240" w:lineRule="auto"/>
        <w:ind w:left="284" w:hanging="284"/>
        <w:rPr>
          <w:rFonts w:ascii="Calibri" w:eastAsia="Times New Roman" w:hAnsi="Calibri" w:cs="Calibri"/>
        </w:rPr>
      </w:pPr>
      <w:r w:rsidRPr="000F7F72">
        <w:rPr>
          <w:rFonts w:ascii="Calibri" w:eastAsia="Times New Roman" w:hAnsi="Calibri" w:cs="Calibri"/>
        </w:rPr>
        <w:t xml:space="preserve">    </w:t>
      </w:r>
      <w:r w:rsidR="0027353D">
        <w:rPr>
          <w:rFonts w:ascii="Calibri" w:eastAsia="Times New Roman" w:hAnsi="Calibri" w:cs="Calibri"/>
        </w:rPr>
        <w:tab/>
      </w:r>
      <w:r w:rsidRPr="000F7F72">
        <w:rPr>
          <w:rFonts w:ascii="Calibri" w:eastAsia="Times New Roman" w:hAnsi="Calibri" w:cs="Calibri"/>
        </w:rPr>
        <w:t>205 x 138 x 40 mm / 300 g.</w:t>
      </w:r>
    </w:p>
    <w:p w14:paraId="226707C9" w14:textId="77777777" w:rsidR="0027353D" w:rsidRDefault="004C3C37" w:rsidP="0027353D">
      <w:pPr>
        <w:tabs>
          <w:tab w:val="left" w:pos="284"/>
        </w:tabs>
        <w:spacing w:after="0" w:line="240" w:lineRule="auto"/>
        <w:ind w:left="284" w:hanging="284"/>
        <w:rPr>
          <w:rFonts w:ascii="Calibri" w:eastAsia="Times New Roman" w:hAnsi="Calibri" w:cs="Calibri"/>
        </w:rPr>
      </w:pPr>
      <w:r w:rsidRPr="000F7F72">
        <w:rPr>
          <w:rFonts w:ascii="Calibri" w:eastAsia="Times New Roman" w:hAnsi="Calibri" w:cs="Calibri"/>
        </w:rPr>
        <w:t>11.</w:t>
      </w:r>
      <w:r w:rsidR="0027353D">
        <w:rPr>
          <w:rFonts w:ascii="Calibri" w:eastAsia="Times New Roman" w:hAnsi="Calibri" w:cs="Calibri"/>
        </w:rPr>
        <w:tab/>
      </w:r>
      <w:r w:rsidRPr="000F7F72">
        <w:rPr>
          <w:rFonts w:ascii="Calibri" w:eastAsia="Times New Roman" w:hAnsi="Calibri" w:cs="Calibri"/>
        </w:rPr>
        <w:t>Zestaw transportowy:</w:t>
      </w:r>
      <w:r w:rsidR="008561F5" w:rsidRPr="000F7F72">
        <w:rPr>
          <w:rFonts w:ascii="Calibri" w:eastAsia="Times New Roman" w:hAnsi="Calibri" w:cs="Calibri"/>
        </w:rPr>
        <w:t xml:space="preserve"> </w:t>
      </w:r>
    </w:p>
    <w:p w14:paraId="21E8D1C1" w14:textId="65A280DC" w:rsidR="008561F5" w:rsidRPr="000F7F72" w:rsidRDefault="0027353D" w:rsidP="0027353D">
      <w:pPr>
        <w:tabs>
          <w:tab w:val="left" w:pos="284"/>
        </w:tabs>
        <w:spacing w:after="0" w:line="240" w:lineRule="auto"/>
        <w:ind w:left="284" w:hanging="284"/>
        <w:rPr>
          <w:rFonts w:ascii="Calibri" w:eastAsia="Times New Roman" w:hAnsi="Calibri" w:cs="Calibri"/>
        </w:rPr>
      </w:pPr>
      <w:r>
        <w:rPr>
          <w:rFonts w:ascii="Calibri" w:eastAsia="Times New Roman" w:hAnsi="Calibri" w:cs="Calibri"/>
        </w:rPr>
        <w:tab/>
      </w:r>
      <w:r w:rsidR="008561F5" w:rsidRPr="000F7F72">
        <w:rPr>
          <w:rFonts w:ascii="Calibri" w:eastAsia="Times New Roman" w:hAnsi="Calibri" w:cs="Calibri"/>
        </w:rPr>
        <w:t>z</w:t>
      </w:r>
      <w:r w:rsidR="004C3C37" w:rsidRPr="000F7F72">
        <w:rPr>
          <w:rFonts w:ascii="Calibri" w:eastAsia="Times New Roman" w:hAnsi="Calibri" w:cs="Calibri"/>
        </w:rPr>
        <w:t>estaw z walizką transportową</w:t>
      </w:r>
      <w:r w:rsidR="008561F5" w:rsidRPr="000F7F72">
        <w:rPr>
          <w:rFonts w:ascii="Calibri" w:eastAsia="Times New Roman" w:hAnsi="Calibri" w:cs="Calibri"/>
        </w:rPr>
        <w:t xml:space="preserve"> lub </w:t>
      </w:r>
      <w:r w:rsidR="008561F5" w:rsidRPr="000F7F72">
        <w:rPr>
          <w:rFonts w:ascii="Calibri" w:hAnsi="Calibri" w:cs="Calibri"/>
        </w:rPr>
        <w:t>torba umożliwiająca bezpieczny transport urządzenia.</w:t>
      </w:r>
    </w:p>
    <w:p w14:paraId="0FEAF4FC" w14:textId="77777777" w:rsidR="0027353D" w:rsidRDefault="004C3C37" w:rsidP="0027353D">
      <w:pPr>
        <w:tabs>
          <w:tab w:val="left" w:pos="284"/>
        </w:tabs>
        <w:spacing w:after="0" w:line="240" w:lineRule="auto"/>
        <w:rPr>
          <w:rFonts w:ascii="Calibri" w:eastAsia="Times New Roman" w:hAnsi="Calibri" w:cs="Calibri"/>
        </w:rPr>
      </w:pPr>
      <w:r w:rsidRPr="000F7F72">
        <w:rPr>
          <w:rFonts w:ascii="Calibri" w:eastAsia="Times New Roman" w:hAnsi="Calibri" w:cs="Calibri"/>
        </w:rPr>
        <w:t>12. Okres gwarancji:</w:t>
      </w:r>
      <w:r w:rsidR="008561F5" w:rsidRPr="000F7F72">
        <w:rPr>
          <w:rFonts w:ascii="Calibri" w:eastAsia="Times New Roman" w:hAnsi="Calibri" w:cs="Calibri"/>
        </w:rPr>
        <w:t xml:space="preserve"> </w:t>
      </w:r>
    </w:p>
    <w:p w14:paraId="085EE1AF" w14:textId="17367C12" w:rsidR="00864A0D" w:rsidRDefault="0027353D" w:rsidP="0027353D">
      <w:pPr>
        <w:tabs>
          <w:tab w:val="left" w:pos="284"/>
        </w:tabs>
        <w:spacing w:after="0" w:line="240" w:lineRule="auto"/>
        <w:rPr>
          <w:rFonts w:ascii="Calibri" w:eastAsia="Times New Roman" w:hAnsi="Calibri" w:cs="Calibri"/>
        </w:rPr>
      </w:pPr>
      <w:r>
        <w:rPr>
          <w:rFonts w:ascii="Calibri" w:eastAsia="Times New Roman" w:hAnsi="Calibri" w:cs="Calibri"/>
        </w:rPr>
        <w:tab/>
      </w:r>
      <w:r w:rsidR="008561F5" w:rsidRPr="000F7F72">
        <w:rPr>
          <w:rFonts w:ascii="Calibri" w:eastAsia="Times New Roman" w:hAnsi="Calibri" w:cs="Calibri"/>
        </w:rPr>
        <w:t xml:space="preserve">co najmniej </w:t>
      </w:r>
      <w:r w:rsidR="004C3C37" w:rsidRPr="000F7F72">
        <w:rPr>
          <w:rFonts w:ascii="Calibri" w:eastAsia="Times New Roman" w:hAnsi="Calibri" w:cs="Calibri"/>
        </w:rPr>
        <w:t>24 miesiące.</w:t>
      </w:r>
    </w:p>
    <w:p w14:paraId="2185B6B6" w14:textId="406259A4" w:rsidR="00770ECF" w:rsidRPr="00460124" w:rsidRDefault="00770ECF" w:rsidP="0027353D">
      <w:pPr>
        <w:tabs>
          <w:tab w:val="left" w:pos="284"/>
        </w:tabs>
        <w:spacing w:after="0" w:line="240" w:lineRule="auto"/>
        <w:rPr>
          <w:rFonts w:ascii="Calibri" w:eastAsia="Times New Roman" w:hAnsi="Calibri" w:cs="Calibri"/>
        </w:rPr>
      </w:pPr>
      <w:r>
        <w:rPr>
          <w:rFonts w:ascii="Calibri" w:eastAsia="Times New Roman" w:hAnsi="Calibri" w:cs="Calibri"/>
        </w:rPr>
        <w:t>13.</w:t>
      </w:r>
      <w:r w:rsidR="00460124" w:rsidRPr="00460124">
        <w:rPr>
          <w:b/>
          <w:bCs/>
          <w:color w:val="000000" w:themeColor="text1"/>
          <w:kern w:val="0"/>
          <w:sz w:val="18"/>
          <w:szCs w:val="18"/>
          <w14:ligatures w14:val="none"/>
        </w:rPr>
        <w:t xml:space="preserve"> </w:t>
      </w:r>
      <w:r w:rsidR="00460124" w:rsidRPr="00460124">
        <w:rPr>
          <w:rFonts w:ascii="Calibri" w:eastAsia="Times New Roman" w:hAnsi="Calibri" w:cs="Calibri"/>
        </w:rPr>
        <w:t>Zaoferowany sprzęt musi spełniać europejskie wymogi bezpieczeństwa, w tym posiadać certyfikat CE.</w:t>
      </w:r>
    </w:p>
    <w:p w14:paraId="33FA542E" w14:textId="77777777" w:rsidR="00864A0D" w:rsidRPr="000F7F72" w:rsidRDefault="00864A0D" w:rsidP="0027353D">
      <w:pPr>
        <w:tabs>
          <w:tab w:val="left" w:pos="284"/>
        </w:tabs>
        <w:spacing w:after="0" w:line="240" w:lineRule="auto"/>
        <w:rPr>
          <w:rFonts w:ascii="Calibri" w:eastAsia="Times New Roman" w:hAnsi="Calibri" w:cs="Calibri"/>
        </w:rPr>
      </w:pPr>
    </w:p>
    <w:p w14:paraId="7FD465CF" w14:textId="77777777" w:rsidR="00864A0D" w:rsidRPr="00864A0D" w:rsidRDefault="00864A0D" w:rsidP="00864A0D">
      <w:pPr>
        <w:rPr>
          <w:rFonts w:ascii="Calibri" w:eastAsia="Times New Roman" w:hAnsi="Calibri" w:cs="Calibri"/>
          <w:bCs/>
        </w:rPr>
      </w:pPr>
      <w:r w:rsidRPr="00864A0D">
        <w:rPr>
          <w:rFonts w:ascii="Calibri" w:eastAsia="Times New Roman" w:hAnsi="Calibri" w:cs="Calibri"/>
          <w:b/>
          <w:bCs/>
        </w:rPr>
        <w:t>Kryteria równoważności – ocena, zasady, wymagania</w:t>
      </w:r>
    </w:p>
    <w:p w14:paraId="1252B5BB" w14:textId="77777777" w:rsidR="00864A0D" w:rsidRPr="00864A0D" w:rsidRDefault="00864A0D" w:rsidP="00864A0D">
      <w:pPr>
        <w:numPr>
          <w:ilvl w:val="0"/>
          <w:numId w:val="7"/>
        </w:numPr>
        <w:rPr>
          <w:rFonts w:ascii="Calibri" w:eastAsia="Times New Roman" w:hAnsi="Calibri" w:cs="Calibri"/>
          <w:bCs/>
        </w:rPr>
      </w:pPr>
      <w:r w:rsidRPr="00864A0D">
        <w:rPr>
          <w:rFonts w:ascii="Calibri" w:eastAsia="Times New Roman" w:hAnsi="Calibri" w:cs="Calibri"/>
          <w:bCs/>
        </w:rPr>
        <w:t xml:space="preserve">We wszystkich miejscach niniejszego dokumentu, w których użyto przykładowego znaku towarowego, patentu lub pochodzenia, jest to uzasadnione specyfiką przedmiotu zamówienia i Zamawiający nie może opisać przedmiotu zamówienia za pomocą dostatecznie dokładnych określeń. </w:t>
      </w:r>
    </w:p>
    <w:p w14:paraId="0A128068" w14:textId="77777777" w:rsidR="00864A0D" w:rsidRPr="00864A0D" w:rsidRDefault="00864A0D" w:rsidP="00864A0D">
      <w:pPr>
        <w:numPr>
          <w:ilvl w:val="0"/>
          <w:numId w:val="7"/>
        </w:numPr>
        <w:rPr>
          <w:rFonts w:ascii="Calibri" w:eastAsia="Times New Roman" w:hAnsi="Calibri" w:cs="Calibri"/>
          <w:bCs/>
        </w:rPr>
      </w:pPr>
      <w:r w:rsidRPr="00864A0D">
        <w:rPr>
          <w:rFonts w:ascii="Calibri" w:eastAsia="Times New Roman" w:hAnsi="Calibri" w:cs="Calibri"/>
          <w:bCs/>
        </w:rPr>
        <w:t xml:space="preserve">Wykonawca, który powoła się na rozwiązania równoważne opisywanym przez Zamawiającego, jest obowiązany wykazać w ofercie, że oferowany przez niego przedmiot dostawy spełnia wymagania określone przez Zamawiającego. </w:t>
      </w:r>
    </w:p>
    <w:p w14:paraId="02D4D579" w14:textId="77777777" w:rsidR="00864A0D" w:rsidRPr="00864A0D" w:rsidRDefault="00864A0D" w:rsidP="00864A0D">
      <w:pPr>
        <w:numPr>
          <w:ilvl w:val="0"/>
          <w:numId w:val="7"/>
        </w:numPr>
        <w:rPr>
          <w:rFonts w:ascii="Calibri" w:eastAsia="Times New Roman" w:hAnsi="Calibri" w:cs="Calibri"/>
          <w:bCs/>
        </w:rPr>
      </w:pPr>
      <w:r w:rsidRPr="00864A0D">
        <w:rPr>
          <w:rFonts w:ascii="Calibri" w:eastAsia="Times New Roman" w:hAnsi="Calibri" w:cs="Calibri"/>
          <w:bCs/>
        </w:rPr>
        <w:t xml:space="preserve">Ciężar dowodowy w zakresie udowodnienia równoważności zaoferowanych rozwiązań z rozwiązaniami opisanymi poprzez wskazanie przykładowego znaku towarowego, patentu lub pochodzenia, spoczywa na Wykonawcy, składającym ofertę równoważną. </w:t>
      </w:r>
    </w:p>
    <w:p w14:paraId="3A0E4592" w14:textId="77777777" w:rsidR="00864A0D" w:rsidRPr="00864A0D" w:rsidRDefault="00864A0D" w:rsidP="00864A0D">
      <w:pPr>
        <w:numPr>
          <w:ilvl w:val="0"/>
          <w:numId w:val="7"/>
        </w:numPr>
        <w:rPr>
          <w:rFonts w:ascii="Calibri" w:eastAsia="Times New Roman" w:hAnsi="Calibri" w:cs="Calibri"/>
          <w:bCs/>
        </w:rPr>
      </w:pPr>
      <w:r w:rsidRPr="00864A0D">
        <w:rPr>
          <w:rFonts w:ascii="Calibri" w:eastAsia="Times New Roman" w:hAnsi="Calibri" w:cs="Calibri"/>
          <w:bCs/>
        </w:rPr>
        <w:t xml:space="preserve">Zamawiający wymaga, aby zaoferowane przez Wykonawcę rozwiązania równoważne nie wiązały się z koniecznością wykonania dodatkowych prac po stronie Zamawiającego, tym samym poniesienia dodatkowych, niezaplanowanych kosztów. </w:t>
      </w:r>
    </w:p>
    <w:p w14:paraId="508FB7E0" w14:textId="77777777" w:rsidR="00864A0D" w:rsidRPr="00864A0D" w:rsidRDefault="00864A0D" w:rsidP="00864A0D">
      <w:pPr>
        <w:numPr>
          <w:ilvl w:val="0"/>
          <w:numId w:val="7"/>
        </w:numPr>
        <w:rPr>
          <w:rFonts w:ascii="Calibri" w:eastAsia="Times New Roman" w:hAnsi="Calibri" w:cs="Calibri"/>
          <w:bCs/>
        </w:rPr>
      </w:pPr>
      <w:r w:rsidRPr="00864A0D">
        <w:rPr>
          <w:rFonts w:ascii="Calibri" w:eastAsia="Times New Roman" w:hAnsi="Calibri" w:cs="Calibri"/>
          <w:bCs/>
        </w:rPr>
        <w:t xml:space="preserve">W przypadku oferowania rozwiązania równoważnego, wykonawca zobowiązany jest wykazać, że oferowane przez niego rozwiązanie równoważne spełnia wymagania określone przez Zamawiającego, załączając do oferty dowody potwierdzające, że rozwiązanie równoważne spełnia wszystkie parametry równoważności. Dowody powinny zawierać informacje umożliwiające Zamawiającemu weryfikację spełniania przez rozwiązanie równoważne poszczególnych parametrów równoważności. </w:t>
      </w:r>
    </w:p>
    <w:p w14:paraId="17388411" w14:textId="77777777" w:rsidR="004C3C37" w:rsidRPr="000F7F72" w:rsidRDefault="004C3C37" w:rsidP="004C3C37">
      <w:pPr>
        <w:rPr>
          <w:rFonts w:ascii="Calibri" w:eastAsia="Times New Roman" w:hAnsi="Calibri" w:cs="Calibri"/>
        </w:rPr>
      </w:pPr>
    </w:p>
    <w:p w14:paraId="53183435" w14:textId="77777777" w:rsidR="004C3C37" w:rsidRPr="000F7F72" w:rsidRDefault="004C3C37" w:rsidP="004255A9">
      <w:pPr>
        <w:rPr>
          <w:rFonts w:ascii="Calibri" w:hAnsi="Calibri" w:cs="Calibri"/>
        </w:rPr>
      </w:pPr>
    </w:p>
    <w:sectPr w:rsidR="004C3C37" w:rsidRPr="000F7F7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8689" w14:textId="77777777" w:rsidR="00790831" w:rsidRDefault="00790831" w:rsidP="0027353D">
      <w:pPr>
        <w:spacing w:after="0" w:line="240" w:lineRule="auto"/>
      </w:pPr>
      <w:r>
        <w:separator/>
      </w:r>
    </w:p>
  </w:endnote>
  <w:endnote w:type="continuationSeparator" w:id="0">
    <w:p w14:paraId="023B141C" w14:textId="77777777" w:rsidR="00790831" w:rsidRDefault="00790831" w:rsidP="0027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01F0" w14:textId="77777777" w:rsidR="00790831" w:rsidRDefault="00790831" w:rsidP="0027353D">
      <w:pPr>
        <w:spacing w:after="0" w:line="240" w:lineRule="auto"/>
      </w:pPr>
      <w:r>
        <w:separator/>
      </w:r>
    </w:p>
  </w:footnote>
  <w:footnote w:type="continuationSeparator" w:id="0">
    <w:p w14:paraId="769DED31" w14:textId="77777777" w:rsidR="00790831" w:rsidRDefault="00790831" w:rsidP="00273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6462" w14:textId="77777777" w:rsidR="001B2775" w:rsidRPr="001B2775" w:rsidRDefault="001B2775" w:rsidP="001B2775">
    <w:pPr>
      <w:pStyle w:val="Nagwek"/>
      <w:rPr>
        <w:b/>
      </w:rPr>
    </w:pPr>
    <w:bookmarkStart w:id="0" w:name="_Hlk83384803"/>
    <w:r w:rsidRPr="001B2775">
      <w:rPr>
        <w:b/>
      </w:rPr>
      <w:t>numer sprawy OR-D-III.272.65.2024.MK</w:t>
    </w:r>
  </w:p>
  <w:p w14:paraId="4301FCD6" w14:textId="606C82D7" w:rsidR="001B2775" w:rsidRPr="001B2775" w:rsidRDefault="001B2775" w:rsidP="001B2775">
    <w:pPr>
      <w:pStyle w:val="Nagwek"/>
      <w:rPr>
        <w:b/>
        <w:bCs/>
      </w:rPr>
    </w:pPr>
    <w:r w:rsidRPr="001B2775">
      <w:rPr>
        <w:b/>
        <w:iCs/>
      </w:rPr>
      <w:t>załącznik nr 2</w:t>
    </w:r>
    <w:r>
      <w:rPr>
        <w:b/>
        <w:iCs/>
      </w:rPr>
      <w:t>c</w:t>
    </w:r>
    <w:r w:rsidRPr="001B2775">
      <w:rPr>
        <w:b/>
        <w:iCs/>
      </w:rPr>
      <w:t xml:space="preserve"> do SWZ </w:t>
    </w:r>
  </w:p>
  <w:bookmarkEnd w:id="0"/>
  <w:p w14:paraId="48435D08" w14:textId="77777777" w:rsidR="001B2775" w:rsidRDefault="001B27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42E2E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304B82"/>
    <w:multiLevelType w:val="hybridMultilevel"/>
    <w:tmpl w:val="BD169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6D2031"/>
    <w:multiLevelType w:val="hybridMultilevel"/>
    <w:tmpl w:val="53CE7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80746A"/>
    <w:multiLevelType w:val="hybridMultilevel"/>
    <w:tmpl w:val="2904E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395E49"/>
    <w:multiLevelType w:val="hybridMultilevel"/>
    <w:tmpl w:val="C1FA33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8E761C4"/>
    <w:multiLevelType w:val="hybridMultilevel"/>
    <w:tmpl w:val="E1A4C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BA41E5"/>
    <w:multiLevelType w:val="hybridMultilevel"/>
    <w:tmpl w:val="635A0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0401414">
    <w:abstractNumId w:val="0"/>
  </w:num>
  <w:num w:numId="2" w16cid:durableId="1831166307">
    <w:abstractNumId w:val="5"/>
  </w:num>
  <w:num w:numId="3" w16cid:durableId="1339229469">
    <w:abstractNumId w:val="6"/>
  </w:num>
  <w:num w:numId="4" w16cid:durableId="1813715666">
    <w:abstractNumId w:val="3"/>
  </w:num>
  <w:num w:numId="5" w16cid:durableId="18897403">
    <w:abstractNumId w:val="2"/>
  </w:num>
  <w:num w:numId="6" w16cid:durableId="578829589">
    <w:abstractNumId w:val="1"/>
  </w:num>
  <w:num w:numId="7" w16cid:durableId="1229418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0A"/>
    <w:rsid w:val="000509DF"/>
    <w:rsid w:val="000F7F72"/>
    <w:rsid w:val="001B2775"/>
    <w:rsid w:val="001D73C8"/>
    <w:rsid w:val="0027353D"/>
    <w:rsid w:val="0038243A"/>
    <w:rsid w:val="004255A9"/>
    <w:rsid w:val="00460124"/>
    <w:rsid w:val="004C3C37"/>
    <w:rsid w:val="004C67D6"/>
    <w:rsid w:val="00583D5F"/>
    <w:rsid w:val="00594DC5"/>
    <w:rsid w:val="00665835"/>
    <w:rsid w:val="00695EB6"/>
    <w:rsid w:val="00705C7C"/>
    <w:rsid w:val="00763D61"/>
    <w:rsid w:val="00770ECF"/>
    <w:rsid w:val="00790831"/>
    <w:rsid w:val="0080148F"/>
    <w:rsid w:val="00850EBE"/>
    <w:rsid w:val="008561F5"/>
    <w:rsid w:val="00864A0D"/>
    <w:rsid w:val="008E18FC"/>
    <w:rsid w:val="00AD313C"/>
    <w:rsid w:val="00AE6FD3"/>
    <w:rsid w:val="00C2690A"/>
    <w:rsid w:val="00CB394C"/>
    <w:rsid w:val="00CF63F5"/>
    <w:rsid w:val="00D74B83"/>
    <w:rsid w:val="00D94684"/>
    <w:rsid w:val="00FA3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F811F"/>
  <w15:chartTrackingRefBased/>
  <w15:docId w15:val="{69DE5434-5605-40A8-9A5A-EC005BA5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269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269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2690A"/>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2690A"/>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C2690A"/>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2690A"/>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2690A"/>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2690A"/>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2690A"/>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690A"/>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2690A"/>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2690A"/>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2690A"/>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2690A"/>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2690A"/>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2690A"/>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2690A"/>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2690A"/>
    <w:rPr>
      <w:rFonts w:eastAsiaTheme="majorEastAsia" w:cstheme="majorBidi"/>
      <w:color w:val="272727" w:themeColor="text1" w:themeTint="D8"/>
    </w:rPr>
  </w:style>
  <w:style w:type="paragraph" w:styleId="Tytu">
    <w:name w:val="Title"/>
    <w:basedOn w:val="Normalny"/>
    <w:next w:val="Normalny"/>
    <w:link w:val="TytuZnak"/>
    <w:uiPriority w:val="10"/>
    <w:qFormat/>
    <w:rsid w:val="00C2690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2690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2690A"/>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2690A"/>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2690A"/>
    <w:pPr>
      <w:spacing w:before="160"/>
      <w:jc w:val="center"/>
    </w:pPr>
    <w:rPr>
      <w:i/>
      <w:iCs/>
      <w:color w:val="404040" w:themeColor="text1" w:themeTint="BF"/>
    </w:rPr>
  </w:style>
  <w:style w:type="character" w:customStyle="1" w:styleId="CytatZnak">
    <w:name w:val="Cytat Znak"/>
    <w:basedOn w:val="Domylnaczcionkaakapitu"/>
    <w:link w:val="Cytat"/>
    <w:uiPriority w:val="29"/>
    <w:rsid w:val="00C2690A"/>
    <w:rPr>
      <w:i/>
      <w:iCs/>
      <w:color w:val="404040" w:themeColor="text1" w:themeTint="BF"/>
    </w:rPr>
  </w:style>
  <w:style w:type="paragraph" w:styleId="Akapitzlist">
    <w:name w:val="List Paragraph"/>
    <w:basedOn w:val="Normalny"/>
    <w:uiPriority w:val="34"/>
    <w:qFormat/>
    <w:rsid w:val="00C2690A"/>
    <w:pPr>
      <w:ind w:left="720"/>
      <w:contextualSpacing/>
    </w:pPr>
  </w:style>
  <w:style w:type="character" w:styleId="Wyrnienieintensywne">
    <w:name w:val="Intense Emphasis"/>
    <w:basedOn w:val="Domylnaczcionkaakapitu"/>
    <w:uiPriority w:val="21"/>
    <w:qFormat/>
    <w:rsid w:val="00C2690A"/>
    <w:rPr>
      <w:i/>
      <w:iCs/>
      <w:color w:val="0F4761" w:themeColor="accent1" w:themeShade="BF"/>
    </w:rPr>
  </w:style>
  <w:style w:type="paragraph" w:styleId="Cytatintensywny">
    <w:name w:val="Intense Quote"/>
    <w:basedOn w:val="Normalny"/>
    <w:next w:val="Normalny"/>
    <w:link w:val="CytatintensywnyZnak"/>
    <w:uiPriority w:val="30"/>
    <w:qFormat/>
    <w:rsid w:val="00C269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2690A"/>
    <w:rPr>
      <w:i/>
      <w:iCs/>
      <w:color w:val="0F4761" w:themeColor="accent1" w:themeShade="BF"/>
    </w:rPr>
  </w:style>
  <w:style w:type="character" w:styleId="Odwoanieintensywne">
    <w:name w:val="Intense Reference"/>
    <w:basedOn w:val="Domylnaczcionkaakapitu"/>
    <w:uiPriority w:val="32"/>
    <w:qFormat/>
    <w:rsid w:val="00C2690A"/>
    <w:rPr>
      <w:b/>
      <w:bCs/>
      <w:smallCaps/>
      <w:color w:val="0F4761" w:themeColor="accent1" w:themeShade="BF"/>
      <w:spacing w:val="5"/>
    </w:rPr>
  </w:style>
  <w:style w:type="paragraph" w:styleId="Nagwek">
    <w:name w:val="header"/>
    <w:basedOn w:val="Normalny"/>
    <w:link w:val="NagwekZnak"/>
    <w:uiPriority w:val="99"/>
    <w:unhideWhenUsed/>
    <w:rsid w:val="001B27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775"/>
  </w:style>
  <w:style w:type="paragraph" w:styleId="Stopka">
    <w:name w:val="footer"/>
    <w:basedOn w:val="Normalny"/>
    <w:link w:val="StopkaZnak"/>
    <w:uiPriority w:val="99"/>
    <w:unhideWhenUsed/>
    <w:rsid w:val="001B27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775"/>
  </w:style>
  <w:style w:type="paragraph" w:styleId="Poprawka">
    <w:name w:val="Revision"/>
    <w:hidden/>
    <w:uiPriority w:val="99"/>
    <w:semiHidden/>
    <w:rsid w:val="001B27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8792">
      <w:bodyDiv w:val="1"/>
      <w:marLeft w:val="0"/>
      <w:marRight w:val="0"/>
      <w:marTop w:val="0"/>
      <w:marBottom w:val="0"/>
      <w:divBdr>
        <w:top w:val="none" w:sz="0" w:space="0" w:color="auto"/>
        <w:left w:val="none" w:sz="0" w:space="0" w:color="auto"/>
        <w:bottom w:val="none" w:sz="0" w:space="0" w:color="auto"/>
        <w:right w:val="none" w:sz="0" w:space="0" w:color="auto"/>
      </w:divBdr>
    </w:div>
    <w:div w:id="70753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8e1c9ea0f199e8a4a0386a99f4a940cc">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734e7468b1d47df2c62266df6267bc1f"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6C9AAC-6EEA-49DD-92B2-A1A6F40CE10F}">
  <ds:schemaRefs>
    <ds:schemaRef ds:uri="http://schemas.microsoft.com/sharepoint/v3/contenttype/forms"/>
  </ds:schemaRefs>
</ds:datastoreItem>
</file>

<file path=customXml/itemProps2.xml><?xml version="1.0" encoding="utf-8"?>
<ds:datastoreItem xmlns:ds="http://schemas.openxmlformats.org/officeDocument/2006/customXml" ds:itemID="{281E144E-A60B-4A99-AC4C-734C96179F38}"/>
</file>

<file path=customXml/itemProps3.xml><?xml version="1.0" encoding="utf-8"?>
<ds:datastoreItem xmlns:ds="http://schemas.openxmlformats.org/officeDocument/2006/customXml" ds:itemID="{F117B543-3F26-4A65-A9BD-B26B564EB6E8}">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513</Words>
  <Characters>3082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Rudnik Agnieszka</dc:creator>
  <cp:keywords/>
  <dc:description/>
  <cp:lastModifiedBy>Kowalczyk Marta</cp:lastModifiedBy>
  <cp:revision>10</cp:revision>
  <cp:lastPrinted>2024-05-21T11:39:00Z</cp:lastPrinted>
  <dcterms:created xsi:type="dcterms:W3CDTF">2024-07-04T05:42:00Z</dcterms:created>
  <dcterms:modified xsi:type="dcterms:W3CDTF">2024-07-18T08:17:00Z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