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70EF4DBE" w14:textId="0A6EC3A4" w:rsidR="00967817" w:rsidRDefault="00473C05" w:rsidP="00967817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="007E148F">
        <w:rPr>
          <w:rFonts w:ascii="Verdana" w:hAnsi="Verdana"/>
          <w:sz w:val="20"/>
          <w:szCs w:val="20"/>
        </w:rPr>
        <w:t xml:space="preserve"> </w:t>
      </w:r>
      <w:r w:rsidR="007C3015" w:rsidRPr="007C3015">
        <w:rPr>
          <w:rFonts w:ascii="Verdana" w:hAnsi="Verdana"/>
          <w:sz w:val="20"/>
          <w:szCs w:val="20"/>
        </w:rPr>
        <w:t>PRZ/00061/2023 „Kompleksowa organizacja Spotkania Świątecznego na rzecz Sieć Badawcza Łukasiewicz – Poznańskiego Instytutu Technologicznego”</w:t>
      </w:r>
    </w:p>
    <w:p w14:paraId="6B0CA297" w14:textId="5B88240D" w:rsidR="00473C05" w:rsidRPr="00473C05" w:rsidRDefault="00473C05" w:rsidP="00967817">
      <w:pPr>
        <w:jc w:val="both"/>
      </w:pPr>
      <w:r w:rsidRPr="00AF0E1B">
        <w:rPr>
          <w:rFonts w:ascii="Verdana" w:hAnsi="Verdana"/>
          <w:sz w:val="20"/>
          <w:szCs w:val="20"/>
        </w:rPr>
        <w:t>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Pr="00E12E88">
        <w:rPr>
          <w:rFonts w:ascii="Verdana" w:hAnsi="Verdana"/>
          <w:sz w:val="20"/>
          <w:szCs w:val="20"/>
        </w:rPr>
        <w:t>Poznański Instytut</w:t>
      </w:r>
      <w:r w:rsidR="00967817">
        <w:rPr>
          <w:rFonts w:ascii="Verdana" w:hAnsi="Verdana"/>
          <w:sz w:val="20"/>
          <w:szCs w:val="20"/>
        </w:rPr>
        <w:t xml:space="preserve"> </w:t>
      </w:r>
      <w:r w:rsidRPr="00E12E88">
        <w:rPr>
          <w:rFonts w:ascii="Verdana" w:hAnsi="Verdana"/>
          <w:sz w:val="20"/>
          <w:szCs w:val="20"/>
        </w:rPr>
        <w:t>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40E9BC40" w:rsidR="001F4FED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E7BAC4" w14:textId="11F4D10A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8042C52" w14:textId="53252EC3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47FDB1C" w14:textId="4805AD1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CCD5499" w14:textId="0C3328E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1B41B87" w14:textId="1590D11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FB1A73B" w14:textId="0D6980C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37D9C46" w14:textId="24E0DE55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BE1F7F" w14:textId="55CB22F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08BFFB" w14:textId="03B9FC1E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109CF29" w14:textId="405D1D9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F448DC2" w14:textId="13FF20E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D9DCDBA" w14:textId="69EA3EE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A7CC238" w14:textId="7F33BA0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E759182" w14:textId="7F5C341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F484189" w14:textId="6206E821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E041F24" w14:textId="3F2B8A2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6017D2" w14:textId="757E8D5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301D37F" w14:textId="481B774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0BC4F03" w14:textId="33300CF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56E48A1" w14:textId="02E52D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D17AE88" w14:textId="008F64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8043D11" w14:textId="75A779A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4F32E7C" w14:textId="704B246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DC1AAEB" w14:textId="59C69EC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3C56AD1" w14:textId="379FB4C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E83DB9" w14:textId="5C94917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A9E337D" w14:textId="322A1C6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49054AB" w14:textId="000CCEE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66A6942" w14:textId="3B54CDB0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F63AFB9" w14:textId="6E592B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DBC31B" w14:textId="22D8D2D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31CD7C5" w14:textId="348E88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5C9AE72" w14:textId="77777777" w:rsidR="00967817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                </w:t>
      </w:r>
    </w:p>
    <w:p w14:paraId="0B1A4AF3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p w14:paraId="1E196F54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sectPr w:rsidR="009678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78CE" w14:textId="77777777" w:rsidR="00D467C4" w:rsidRDefault="00D467C4" w:rsidP="00272DDF">
      <w:r>
        <w:separator/>
      </w:r>
    </w:p>
  </w:endnote>
  <w:endnote w:type="continuationSeparator" w:id="0">
    <w:p w14:paraId="0C7BFC37" w14:textId="77777777" w:rsidR="00D467C4" w:rsidRDefault="00D467C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5232" w14:textId="77777777" w:rsidR="00D467C4" w:rsidRDefault="00D467C4" w:rsidP="00272DDF">
      <w:r>
        <w:separator/>
      </w:r>
    </w:p>
  </w:footnote>
  <w:footnote w:type="continuationSeparator" w:id="0">
    <w:p w14:paraId="5D9986BE" w14:textId="77777777" w:rsidR="00D467C4" w:rsidRDefault="00D467C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0B39" w14:textId="04ED42D1" w:rsidR="00272DDF" w:rsidRPr="007C3015" w:rsidRDefault="007C3015" w:rsidP="007C3015">
    <w:pPr>
      <w:pStyle w:val="Nagwek"/>
    </w:pPr>
    <w:r w:rsidRPr="007C3015">
      <w:t>PRZ/00061/2023 „Kompleksowa organizacja Spotkania Świątecznego na rzecz Sieć Badawcza Łukasiewicz – Poznańskiego Instytutu Technologicznego”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D0611"/>
    <w:rsid w:val="001F4FED"/>
    <w:rsid w:val="00272DDF"/>
    <w:rsid w:val="0031798E"/>
    <w:rsid w:val="00420E4C"/>
    <w:rsid w:val="00473C05"/>
    <w:rsid w:val="005655AD"/>
    <w:rsid w:val="00582399"/>
    <w:rsid w:val="005C139B"/>
    <w:rsid w:val="006835DF"/>
    <w:rsid w:val="00690D34"/>
    <w:rsid w:val="006E0082"/>
    <w:rsid w:val="00720048"/>
    <w:rsid w:val="007C3015"/>
    <w:rsid w:val="007E148F"/>
    <w:rsid w:val="007E22EB"/>
    <w:rsid w:val="007E7AC5"/>
    <w:rsid w:val="008D7E18"/>
    <w:rsid w:val="0092494D"/>
    <w:rsid w:val="00967817"/>
    <w:rsid w:val="00A27AAB"/>
    <w:rsid w:val="00A33563"/>
    <w:rsid w:val="00A83714"/>
    <w:rsid w:val="00AC0AD4"/>
    <w:rsid w:val="00B37021"/>
    <w:rsid w:val="00B94D9E"/>
    <w:rsid w:val="00C329E7"/>
    <w:rsid w:val="00CB2C53"/>
    <w:rsid w:val="00D15DB4"/>
    <w:rsid w:val="00D467C4"/>
    <w:rsid w:val="00D5593A"/>
    <w:rsid w:val="00E06614"/>
    <w:rsid w:val="00F0752A"/>
    <w:rsid w:val="00F263ED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11</cp:revision>
  <dcterms:created xsi:type="dcterms:W3CDTF">2022-10-31T11:57:00Z</dcterms:created>
  <dcterms:modified xsi:type="dcterms:W3CDTF">2023-11-14T11:49:00Z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