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0CF" w14:textId="048A601F" w:rsidR="00F41841" w:rsidRDefault="00F41841" w:rsidP="00F41841">
      <w:pPr>
        <w:pStyle w:val="Nagwek2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85DC316" wp14:editId="0011EBC0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4F97" w14:textId="11DE4AED" w:rsidR="0077041F" w:rsidRPr="000345A4" w:rsidRDefault="0077041F" w:rsidP="0077041F">
      <w:pPr>
        <w:pStyle w:val="Nagwek2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Załącznik nr 1 do SWZ</w:t>
      </w:r>
    </w:p>
    <w:p w14:paraId="241B3768" w14:textId="1761AE1C" w:rsidR="000D36CF" w:rsidRDefault="000D36CF" w:rsidP="0017501B">
      <w:pPr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Nr postępowania: ZP/</w:t>
      </w:r>
      <w:r w:rsidR="00E419CC">
        <w:rPr>
          <w:rFonts w:asciiTheme="minorHAnsi" w:hAnsiTheme="minorHAnsi" w:cstheme="minorHAnsi"/>
        </w:rPr>
        <w:t>11</w:t>
      </w:r>
      <w:r w:rsidRPr="000345A4">
        <w:rPr>
          <w:rFonts w:asciiTheme="minorHAnsi" w:hAnsiTheme="minorHAnsi" w:cstheme="minorHAnsi"/>
        </w:rPr>
        <w:t>/202</w:t>
      </w:r>
      <w:r w:rsidR="0010721D">
        <w:rPr>
          <w:rFonts w:asciiTheme="minorHAnsi" w:hAnsiTheme="minorHAnsi" w:cstheme="minorHAnsi"/>
        </w:rPr>
        <w:t>4</w:t>
      </w:r>
    </w:p>
    <w:p w14:paraId="78822A60" w14:textId="709D1190" w:rsidR="005750EF" w:rsidRPr="005750EF" w:rsidRDefault="005750EF" w:rsidP="0017501B">
      <w:pPr>
        <w:rPr>
          <w:rFonts w:asciiTheme="minorHAnsi" w:hAnsiTheme="minorHAnsi" w:cstheme="minorHAnsi"/>
          <w:color w:val="FF0000"/>
        </w:rPr>
      </w:pPr>
      <w:r w:rsidRPr="005750EF">
        <w:rPr>
          <w:rFonts w:asciiTheme="minorHAnsi" w:hAnsiTheme="minorHAnsi" w:cstheme="minorHAnsi"/>
          <w:color w:val="FF0000"/>
        </w:rPr>
        <w:t>Modyfikacja z dnia 10.04.2024</w:t>
      </w:r>
    </w:p>
    <w:p w14:paraId="37015959" w14:textId="77777777" w:rsidR="00AC0F4F" w:rsidRDefault="00AC0F4F" w:rsidP="00B5164F">
      <w:pPr>
        <w:pStyle w:val="Normalny2"/>
        <w:ind w:left="0"/>
        <w:rPr>
          <w:rFonts w:asciiTheme="minorHAnsi" w:hAnsiTheme="minorHAnsi" w:cstheme="minorHAnsi"/>
        </w:rPr>
      </w:pPr>
    </w:p>
    <w:p w14:paraId="43295185" w14:textId="72A4CAB4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Uniwersytet Medyczny w Łodzi</w:t>
      </w:r>
    </w:p>
    <w:p w14:paraId="232932C3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Al. Kościuszki 4, 90-419 Łódź</w:t>
      </w:r>
    </w:p>
    <w:p w14:paraId="7E8D1557" w14:textId="5765DC5F" w:rsidR="0017501B" w:rsidRPr="000345A4" w:rsidRDefault="0017501B" w:rsidP="0077041F">
      <w:pPr>
        <w:pStyle w:val="Nagwek3"/>
        <w:rPr>
          <w:rFonts w:asciiTheme="minorHAnsi" w:hAnsiTheme="minorHAnsi" w:cstheme="minorHAnsi"/>
        </w:rPr>
      </w:pPr>
      <w:r w:rsidRPr="000345A4">
        <w:rPr>
          <w:rStyle w:val="Nagwek3Znak"/>
          <w:rFonts w:asciiTheme="minorHAnsi" w:hAnsiTheme="minorHAnsi" w:cstheme="minorHAnsi"/>
          <w:b/>
        </w:rPr>
        <w:t>F</w:t>
      </w:r>
      <w:r w:rsidR="00F224B2" w:rsidRPr="000345A4">
        <w:rPr>
          <w:rStyle w:val="Nagwek3Znak"/>
          <w:rFonts w:asciiTheme="minorHAnsi" w:hAnsiTheme="minorHAnsi" w:cstheme="minorHAnsi"/>
          <w:b/>
        </w:rPr>
        <w:t>ormularz oferty</w:t>
      </w:r>
    </w:p>
    <w:p w14:paraId="057894C8" w14:textId="369B47E1" w:rsidR="00683257" w:rsidRPr="000345A4" w:rsidRDefault="00A35758" w:rsidP="00521A55">
      <w:pPr>
        <w:pStyle w:val="Nagwek4"/>
      </w:pPr>
      <w:r w:rsidRPr="000345A4">
        <w:t>Dane Wykonawcy</w:t>
      </w:r>
      <w:r w:rsidR="00DE2593" w:rsidRPr="000345A4">
        <w:t>:</w:t>
      </w:r>
    </w:p>
    <w:p w14:paraId="7DF07EF7" w14:textId="02919FD5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….</w:t>
      </w:r>
    </w:p>
    <w:p w14:paraId="0E43C06C" w14:textId="5B8242CF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Adres: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</w:t>
      </w:r>
    </w:p>
    <w:p w14:paraId="583997EB" w14:textId="679CE33C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NIP: ……………………………………………………………………. REGON: …………………………………….…………………………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</w:t>
      </w:r>
    </w:p>
    <w:p w14:paraId="3486046A" w14:textId="089A1AF4" w:rsidR="00DE2593" w:rsidRPr="000345A4" w:rsidRDefault="00D81C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Osoba odpowiedzialna</w:t>
      </w:r>
      <w:r w:rsidR="00DE2593" w:rsidRPr="000345A4">
        <w:rPr>
          <w:rFonts w:cstheme="minorHAnsi"/>
        </w:rPr>
        <w:t xml:space="preserve"> za kontakty z Zamawiającym:</w:t>
      </w:r>
    </w:p>
    <w:p w14:paraId="14641B85" w14:textId="08C66EA2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………</w:t>
      </w:r>
    </w:p>
    <w:p w14:paraId="5F807BF4" w14:textId="641EE35D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Nr telefonu: ………………………………………………………, e-mail: 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……...</w:t>
      </w:r>
    </w:p>
    <w:p w14:paraId="5F203A26" w14:textId="77777777" w:rsidR="00683257" w:rsidRPr="000345A4" w:rsidRDefault="00862FEE" w:rsidP="00521A55">
      <w:pPr>
        <w:pStyle w:val="Nagwek4"/>
      </w:pPr>
      <w:r w:rsidRPr="000345A4">
        <w:t>Oferta Wykonawcy</w:t>
      </w:r>
      <w:r w:rsidR="0084300E" w:rsidRPr="000345A4">
        <w:t>:</w:t>
      </w:r>
    </w:p>
    <w:p w14:paraId="72639CF7" w14:textId="040BB799" w:rsidR="0084300E" w:rsidRPr="000345A4" w:rsidRDefault="00862FEE" w:rsidP="000B75E2">
      <w:pPr>
        <w:pStyle w:val="Normalny3"/>
        <w:jc w:val="both"/>
        <w:rPr>
          <w:rFonts w:cstheme="minorHAnsi"/>
        </w:rPr>
      </w:pPr>
      <w:r w:rsidRPr="000345A4">
        <w:rPr>
          <w:rFonts w:cstheme="minorHAnsi"/>
        </w:rPr>
        <w:t xml:space="preserve">w postępowaniu o udzielenie zamówienia publicznego prowadzonego w trybie </w:t>
      </w:r>
      <w:r w:rsidR="009F394B">
        <w:rPr>
          <w:rFonts w:cstheme="minorHAnsi"/>
        </w:rPr>
        <w:t xml:space="preserve">przetargu nieograniczonego </w:t>
      </w:r>
      <w:r w:rsidR="003A6A69">
        <w:rPr>
          <w:rFonts w:cstheme="minorHAnsi"/>
        </w:rPr>
        <w:t xml:space="preserve">zgodnie z </w:t>
      </w:r>
      <w:r w:rsidR="009F394B">
        <w:rPr>
          <w:rFonts w:cstheme="minorHAnsi"/>
        </w:rPr>
        <w:t>ustaw</w:t>
      </w:r>
      <w:r w:rsidR="003A6A69">
        <w:rPr>
          <w:rFonts w:cstheme="minorHAnsi"/>
        </w:rPr>
        <w:t>ą</w:t>
      </w:r>
      <w:r w:rsidR="009F394B">
        <w:rPr>
          <w:rFonts w:cstheme="minorHAnsi"/>
        </w:rPr>
        <w:t xml:space="preserve"> </w:t>
      </w:r>
      <w:r w:rsidRPr="000345A4">
        <w:rPr>
          <w:rFonts w:cstheme="minorHAnsi"/>
        </w:rPr>
        <w:t>z dnia 11 września 2019 r. Prawo zamówień publicznych</w:t>
      </w:r>
      <w:r w:rsidR="0084300E" w:rsidRPr="000345A4">
        <w:rPr>
          <w:rFonts w:cstheme="minorHAnsi"/>
        </w:rPr>
        <w:t xml:space="preserve"> na:</w:t>
      </w:r>
    </w:p>
    <w:p w14:paraId="538939A1" w14:textId="476D0427" w:rsidR="00031368" w:rsidRPr="00DC30C7" w:rsidRDefault="00DC30C7" w:rsidP="000B75E2">
      <w:pPr>
        <w:pStyle w:val="Tekstpogrubiony"/>
        <w:tabs>
          <w:tab w:val="clear" w:pos="6480"/>
          <w:tab w:val="num" w:pos="6237"/>
        </w:tabs>
        <w:ind w:left="0" w:firstLine="0"/>
        <w:jc w:val="both"/>
        <w:rPr>
          <w:rFonts w:ascii="Calibri" w:hAnsi="Calibri" w:cs="Calibri"/>
          <w:bCs/>
        </w:rPr>
      </w:pPr>
      <w:r w:rsidRPr="009F743B">
        <w:rPr>
          <w:rFonts w:ascii="Calibri" w:hAnsi="Calibri" w:cs="Calibri"/>
          <w:bCs/>
        </w:rPr>
        <w:t xml:space="preserve">Dostawa, konfiguracja i wdrożenie infrastruktury IT na potrzeby projektu </w:t>
      </w:r>
      <w:r w:rsidR="000B75E2">
        <w:rPr>
          <w:rFonts w:ascii="Calibri" w:hAnsi="Calibri" w:cs="Calibri"/>
          <w:bCs/>
        </w:rPr>
        <w:t>„</w:t>
      </w:r>
      <w:r w:rsidRPr="009F743B">
        <w:rPr>
          <w:rFonts w:ascii="Calibri" w:hAnsi="Calibri" w:cs="Calibri"/>
          <w:bCs/>
        </w:rPr>
        <w:t>Medical University of Lodz- Digital Medicine Center (MULDiMediC)</w:t>
      </w:r>
      <w:r w:rsidR="000B75E2">
        <w:rPr>
          <w:rFonts w:ascii="Calibri" w:hAnsi="Calibri" w:cs="Calibri"/>
          <w:bCs/>
        </w:rPr>
        <w:t xml:space="preserve">” </w:t>
      </w:r>
      <w:r w:rsidRPr="009F743B">
        <w:rPr>
          <w:rFonts w:ascii="Calibri" w:hAnsi="Calibri" w:cs="Calibri"/>
          <w:bCs/>
        </w:rPr>
        <w:t>- ZP/11/2024</w:t>
      </w:r>
      <w:r w:rsidR="00031368" w:rsidRPr="000345A4">
        <w:t>,</w:t>
      </w:r>
    </w:p>
    <w:p w14:paraId="140667BA" w14:textId="2B5AC01F" w:rsidR="00F04661" w:rsidRPr="000345A4" w:rsidRDefault="00F04661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oferujemy wykonanie </w:t>
      </w:r>
      <w:r w:rsidR="002117E9" w:rsidRPr="000345A4">
        <w:rPr>
          <w:rFonts w:cstheme="minorHAnsi"/>
        </w:rPr>
        <w:t xml:space="preserve">zamówienia </w:t>
      </w:r>
      <w:r w:rsidRPr="000345A4">
        <w:rPr>
          <w:rFonts w:cstheme="minorHAnsi"/>
        </w:rPr>
        <w:t>według kryteriów:</w:t>
      </w:r>
    </w:p>
    <w:p w14:paraId="54C602EA" w14:textId="21E70A6F" w:rsidR="00F04661" w:rsidRPr="000345A4" w:rsidRDefault="00F04661" w:rsidP="00A963CA">
      <w:pPr>
        <w:pStyle w:val="11"/>
      </w:pPr>
      <w:r w:rsidRPr="000345A4">
        <w:t>Kryterium nr 1 – Cena</w:t>
      </w:r>
      <w:r w:rsidR="00F028FB" w:rsidRPr="000345A4">
        <w:t xml:space="preserve"> – Waga: </w:t>
      </w:r>
      <w:r w:rsidR="00A951B1">
        <w:t>60</w:t>
      </w:r>
      <w:r w:rsidR="00F028FB" w:rsidRPr="000345A4">
        <w:t>%</w:t>
      </w:r>
      <w:r w:rsidRPr="000345A4">
        <w:t>:</w:t>
      </w:r>
    </w:p>
    <w:p w14:paraId="49D71CD8" w14:textId="7881D790" w:rsidR="00831AB2" w:rsidRPr="000345A4" w:rsidRDefault="00831AB2" w:rsidP="00CB54F3">
      <w:pPr>
        <w:pStyle w:val="Normalny41"/>
      </w:pPr>
      <w:r w:rsidRPr="000345A4">
        <w:t xml:space="preserve">Cena netto: ………………………….. zł, stawka </w:t>
      </w:r>
      <w:r w:rsidRPr="000345A4">
        <w:rPr>
          <w:b/>
          <w:bCs/>
        </w:rPr>
        <w:t xml:space="preserve">VAT: </w:t>
      </w:r>
      <w:r w:rsidR="005738BE" w:rsidRPr="000345A4">
        <w:rPr>
          <w:b/>
          <w:bCs/>
        </w:rPr>
        <w:t>23</w:t>
      </w:r>
      <w:r w:rsidR="00B5164F" w:rsidRPr="000345A4">
        <w:rPr>
          <w:b/>
          <w:bCs/>
        </w:rPr>
        <w:t xml:space="preserve"> </w:t>
      </w:r>
      <w:r w:rsidRPr="000345A4">
        <w:rPr>
          <w:b/>
          <w:bCs/>
        </w:rPr>
        <w:t>%,</w:t>
      </w:r>
      <w:r w:rsidRPr="000345A4">
        <w:t xml:space="preserve"> co stanowi:</w:t>
      </w:r>
    </w:p>
    <w:p w14:paraId="1C747FBD" w14:textId="738B6E59" w:rsidR="005738BE" w:rsidRDefault="00831AB2" w:rsidP="00CB54F3">
      <w:pPr>
        <w:pStyle w:val="Normalny41"/>
      </w:pPr>
      <w:r w:rsidRPr="000345A4">
        <w:t>Cena brutto: …………………………. Zł</w:t>
      </w:r>
    </w:p>
    <w:p w14:paraId="4715536D" w14:textId="7C00FED1" w:rsidR="0094480B" w:rsidRDefault="0094480B" w:rsidP="00CB54F3">
      <w:pPr>
        <w:pStyle w:val="Normalny41"/>
      </w:pPr>
      <w:r w:rsidRPr="000345A4">
        <w:t>(słownie zł brutto: …………………………………………………………………………………………………………………)</w:t>
      </w:r>
    </w:p>
    <w:p w14:paraId="04B92EF5" w14:textId="6561D6FE" w:rsidR="0094480B" w:rsidRPr="000345A4" w:rsidRDefault="0094480B" w:rsidP="00CB54F3">
      <w:pPr>
        <w:pStyle w:val="Normalny41"/>
      </w:pPr>
      <w:r>
        <w:t>W tym:</w:t>
      </w: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591"/>
        <w:gridCol w:w="2102"/>
        <w:gridCol w:w="1701"/>
        <w:gridCol w:w="1418"/>
        <w:gridCol w:w="1134"/>
        <w:gridCol w:w="1276"/>
        <w:gridCol w:w="1417"/>
      </w:tblGrid>
      <w:tr w:rsidR="005750EF" w:rsidRPr="00EA6BB9" w14:paraId="2BC31F1F" w14:textId="77777777" w:rsidTr="005750EF">
        <w:trPr>
          <w:trHeight w:val="808"/>
        </w:trPr>
        <w:tc>
          <w:tcPr>
            <w:tcW w:w="591" w:type="dxa"/>
          </w:tcPr>
          <w:p w14:paraId="59CF9271" w14:textId="77777777" w:rsidR="005750EF" w:rsidRPr="00EA6BB9" w:rsidRDefault="005750EF" w:rsidP="00CB54F3">
            <w:pPr>
              <w:pStyle w:val="Normalny41"/>
            </w:pPr>
            <w:r w:rsidRPr="00EA6BB9">
              <w:lastRenderedPageBreak/>
              <w:t>Nr poz.</w:t>
            </w:r>
          </w:p>
        </w:tc>
        <w:tc>
          <w:tcPr>
            <w:tcW w:w="2102" w:type="dxa"/>
          </w:tcPr>
          <w:p w14:paraId="0B31D238" w14:textId="77777777" w:rsidR="005750EF" w:rsidRPr="00EA6BB9" w:rsidRDefault="005750EF" w:rsidP="00CB54F3">
            <w:pPr>
              <w:pStyle w:val="Normalny41"/>
            </w:pPr>
            <w:r w:rsidRPr="00EA6BB9">
              <w:t>Nazwa</w:t>
            </w:r>
          </w:p>
        </w:tc>
        <w:tc>
          <w:tcPr>
            <w:tcW w:w="1701" w:type="dxa"/>
          </w:tcPr>
          <w:p w14:paraId="1C52ABDE" w14:textId="0F6DEC07" w:rsidR="005750EF" w:rsidRPr="00EA6BB9" w:rsidRDefault="00F338D8" w:rsidP="00CB54F3">
            <w:pPr>
              <w:pStyle w:val="Normalny41"/>
            </w:pPr>
            <w:r w:rsidRPr="00CD118D">
              <w:rPr>
                <w:color w:val="FF0000"/>
              </w:rPr>
              <w:t>Model</w:t>
            </w:r>
            <w:r w:rsidR="00CD118D">
              <w:rPr>
                <w:color w:val="FF0000"/>
              </w:rPr>
              <w:t xml:space="preserve">: </w:t>
            </w:r>
            <w:r w:rsidR="00055F7A" w:rsidRPr="00CD118D">
              <w:rPr>
                <w:color w:val="FF0000"/>
              </w:rPr>
              <w:t>Producent</w:t>
            </w:r>
            <w:r w:rsidR="00CD118D">
              <w:rPr>
                <w:color w:val="FF0000"/>
              </w:rPr>
              <w:t>:</w:t>
            </w:r>
          </w:p>
        </w:tc>
        <w:tc>
          <w:tcPr>
            <w:tcW w:w="1418" w:type="dxa"/>
          </w:tcPr>
          <w:p w14:paraId="115A67AB" w14:textId="516EA23C" w:rsidR="005750EF" w:rsidRPr="00EA6BB9" w:rsidRDefault="005750EF" w:rsidP="00CB54F3">
            <w:pPr>
              <w:pStyle w:val="Normalny41"/>
            </w:pPr>
            <w:r w:rsidRPr="00EA6BB9">
              <w:t>Cena jednostkowa netto (zł)</w:t>
            </w:r>
          </w:p>
        </w:tc>
        <w:tc>
          <w:tcPr>
            <w:tcW w:w="1134" w:type="dxa"/>
          </w:tcPr>
          <w:p w14:paraId="5447BCDF" w14:textId="34D0D7CF" w:rsidR="005750EF" w:rsidRPr="00EA6BB9" w:rsidRDefault="005750EF" w:rsidP="00CB54F3">
            <w:pPr>
              <w:pStyle w:val="Normalny41"/>
            </w:pPr>
            <w:r w:rsidRPr="00EA6BB9">
              <w:t>Liczba</w:t>
            </w:r>
          </w:p>
        </w:tc>
        <w:tc>
          <w:tcPr>
            <w:tcW w:w="1276" w:type="dxa"/>
          </w:tcPr>
          <w:p w14:paraId="5F25A83A" w14:textId="77777777" w:rsidR="005750EF" w:rsidRPr="00EA6BB9" w:rsidRDefault="005750EF" w:rsidP="00CB54F3">
            <w:pPr>
              <w:pStyle w:val="Normalny41"/>
            </w:pPr>
            <w:r w:rsidRPr="00EA6BB9">
              <w:t>Wartość netto (zł)</w:t>
            </w:r>
          </w:p>
        </w:tc>
        <w:tc>
          <w:tcPr>
            <w:tcW w:w="1417" w:type="dxa"/>
          </w:tcPr>
          <w:p w14:paraId="42B3A485" w14:textId="77777777" w:rsidR="005750EF" w:rsidRPr="00EA6BB9" w:rsidRDefault="005750EF" w:rsidP="00CB54F3">
            <w:pPr>
              <w:pStyle w:val="Normalny41"/>
            </w:pPr>
            <w:r w:rsidRPr="00EA6BB9">
              <w:t>Wartość brutto (zł)</w:t>
            </w:r>
          </w:p>
        </w:tc>
      </w:tr>
      <w:tr w:rsidR="005750EF" w:rsidRPr="00EA6BB9" w14:paraId="635CC502" w14:textId="77777777" w:rsidTr="005750EF">
        <w:trPr>
          <w:trHeight w:val="327"/>
        </w:trPr>
        <w:tc>
          <w:tcPr>
            <w:tcW w:w="591" w:type="dxa"/>
          </w:tcPr>
          <w:p w14:paraId="778DC1CD" w14:textId="77777777" w:rsidR="005750EF" w:rsidRPr="00EA6BB9" w:rsidRDefault="005750EF" w:rsidP="00CB54F3">
            <w:pPr>
              <w:pStyle w:val="Normalny41"/>
            </w:pPr>
            <w:r w:rsidRPr="00EA6BB9">
              <w:t xml:space="preserve">1. </w:t>
            </w:r>
          </w:p>
        </w:tc>
        <w:tc>
          <w:tcPr>
            <w:tcW w:w="2102" w:type="dxa"/>
          </w:tcPr>
          <w:p w14:paraId="1450BD24" w14:textId="133A7AAB" w:rsidR="005750EF" w:rsidRPr="00EA6BB9" w:rsidRDefault="005750EF" w:rsidP="00CB54F3">
            <w:pPr>
              <w:pStyle w:val="Normalny41"/>
            </w:pPr>
            <w:r w:rsidRPr="00EA6BB9">
              <w:t>Serwer kasetowy do obudowy HPE C7000</w:t>
            </w:r>
          </w:p>
        </w:tc>
        <w:tc>
          <w:tcPr>
            <w:tcW w:w="1701" w:type="dxa"/>
          </w:tcPr>
          <w:p w14:paraId="4AE514FF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7874B9E8" w14:textId="16BC2506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310D0373" w14:textId="621C428F" w:rsidR="005750EF" w:rsidRPr="00EA6BB9" w:rsidRDefault="005750EF" w:rsidP="00CB54F3">
            <w:pPr>
              <w:pStyle w:val="Normalny41"/>
            </w:pPr>
            <w:r w:rsidRPr="00EA6BB9">
              <w:t>2 szt.</w:t>
            </w:r>
          </w:p>
        </w:tc>
        <w:tc>
          <w:tcPr>
            <w:tcW w:w="1276" w:type="dxa"/>
          </w:tcPr>
          <w:p w14:paraId="5B4A2A84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474DFEB1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2FDDD98B" w14:textId="77777777" w:rsidTr="005750EF">
        <w:tc>
          <w:tcPr>
            <w:tcW w:w="591" w:type="dxa"/>
          </w:tcPr>
          <w:p w14:paraId="3AB2F882" w14:textId="5EC46126" w:rsidR="005750EF" w:rsidRPr="00EA6BB9" w:rsidRDefault="005750EF" w:rsidP="00CB54F3">
            <w:pPr>
              <w:pStyle w:val="Normalny41"/>
            </w:pPr>
            <w:r>
              <w:t>2</w:t>
            </w:r>
            <w:r w:rsidRPr="00EA6BB9">
              <w:t>.</w:t>
            </w:r>
          </w:p>
        </w:tc>
        <w:tc>
          <w:tcPr>
            <w:tcW w:w="2102" w:type="dxa"/>
          </w:tcPr>
          <w:p w14:paraId="7EF46977" w14:textId="69B01248" w:rsidR="005750EF" w:rsidRPr="00EA6BB9" w:rsidRDefault="005750EF" w:rsidP="00CB54F3">
            <w:pPr>
              <w:pStyle w:val="Normalny41"/>
              <w:rPr>
                <w:rFonts w:cstheme="minorHAnsi"/>
              </w:rPr>
            </w:pPr>
            <w:r w:rsidRPr="00E54EA9">
              <w:t>Oprogramowanie systemowe do serwerów kasetowych z poz. 1</w:t>
            </w:r>
          </w:p>
        </w:tc>
        <w:tc>
          <w:tcPr>
            <w:tcW w:w="1701" w:type="dxa"/>
          </w:tcPr>
          <w:p w14:paraId="684FB2C6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017EFD0F" w14:textId="2C94ECDD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7FBEE19E" w14:textId="35CFD4AF" w:rsidR="005750EF" w:rsidRPr="00EA6BB9" w:rsidRDefault="005750EF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276" w:type="dxa"/>
          </w:tcPr>
          <w:p w14:paraId="58E25AF1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7EC7AE2F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7618FC2E" w14:textId="77777777" w:rsidTr="005750EF">
        <w:tc>
          <w:tcPr>
            <w:tcW w:w="591" w:type="dxa"/>
          </w:tcPr>
          <w:p w14:paraId="6CEF7745" w14:textId="601194B3" w:rsidR="005750EF" w:rsidRPr="00EA6BB9" w:rsidRDefault="005750EF" w:rsidP="00CB54F3">
            <w:pPr>
              <w:pStyle w:val="Normalny41"/>
            </w:pPr>
            <w:r>
              <w:t>3</w:t>
            </w:r>
            <w:r w:rsidRPr="00EA6BB9">
              <w:t>.</w:t>
            </w:r>
          </w:p>
        </w:tc>
        <w:tc>
          <w:tcPr>
            <w:tcW w:w="2102" w:type="dxa"/>
          </w:tcPr>
          <w:p w14:paraId="4AD663FB" w14:textId="77777777" w:rsidR="005750EF" w:rsidRDefault="005750EF" w:rsidP="00CB54F3">
            <w:pPr>
              <w:pStyle w:val="Normalny41"/>
            </w:pPr>
            <w:r w:rsidRPr="00EA6BB9">
              <w:t>Karta FC do posiadanych serwerów kasetowych</w:t>
            </w:r>
          </w:p>
          <w:p w14:paraId="622F7A10" w14:textId="1E465D45" w:rsidR="005750EF" w:rsidRPr="00FB480C" w:rsidRDefault="005750EF" w:rsidP="00CB54F3">
            <w:pPr>
              <w:pStyle w:val="Normalny41"/>
            </w:pPr>
            <w:r w:rsidRPr="00FB480C">
              <w:t>1 zestaw w skład którego wchodzi:</w:t>
            </w:r>
          </w:p>
          <w:p w14:paraId="526AA6DB" w14:textId="77777777" w:rsidR="005750EF" w:rsidRPr="00FB480C" w:rsidRDefault="005750EF" w:rsidP="00CB54F3">
            <w:pPr>
              <w:pStyle w:val="Normalny41"/>
            </w:pPr>
            <w:r w:rsidRPr="00FB480C">
              <w:t>Łącznie 14 szt.</w:t>
            </w:r>
          </w:p>
          <w:p w14:paraId="609000BD" w14:textId="77777777" w:rsidR="005750EF" w:rsidRPr="00FB480C" w:rsidRDefault="005750EF" w:rsidP="00CB54F3">
            <w:pPr>
              <w:pStyle w:val="Normalny41"/>
            </w:pPr>
            <w:r w:rsidRPr="00FB480C">
              <w:t>12 szt. Do serwerów ProLiant BL460c Gen10</w:t>
            </w:r>
          </w:p>
          <w:p w14:paraId="39BF80BC" w14:textId="0F79430E" w:rsidR="005750EF" w:rsidRPr="00EA6BB9" w:rsidRDefault="005750EF" w:rsidP="00CB54F3">
            <w:pPr>
              <w:pStyle w:val="Normalny41"/>
            </w:pPr>
            <w:r w:rsidRPr="00FB480C">
              <w:t>2 szt. Do serwerów ProLiant BL460c Gen9</w:t>
            </w:r>
          </w:p>
        </w:tc>
        <w:tc>
          <w:tcPr>
            <w:tcW w:w="1701" w:type="dxa"/>
          </w:tcPr>
          <w:p w14:paraId="7790182E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02BA9114" w14:textId="5F771C93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4A5C6B81" w14:textId="75BE334F" w:rsidR="005750EF" w:rsidRPr="00CB54F3" w:rsidRDefault="005750EF" w:rsidP="00CB54F3">
            <w:pPr>
              <w:pStyle w:val="Normalny41"/>
            </w:pPr>
            <w:r w:rsidRPr="00CB54F3">
              <w:t>1 zestaw</w:t>
            </w:r>
          </w:p>
        </w:tc>
        <w:tc>
          <w:tcPr>
            <w:tcW w:w="1276" w:type="dxa"/>
          </w:tcPr>
          <w:p w14:paraId="56951964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30FC06E4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1118B50F" w14:textId="77777777" w:rsidTr="005750EF">
        <w:trPr>
          <w:trHeight w:val="1203"/>
        </w:trPr>
        <w:tc>
          <w:tcPr>
            <w:tcW w:w="591" w:type="dxa"/>
          </w:tcPr>
          <w:p w14:paraId="378F5677" w14:textId="53399BFB" w:rsidR="005750EF" w:rsidRPr="00EA6BB9" w:rsidRDefault="005750EF" w:rsidP="00CB54F3">
            <w:pPr>
              <w:pStyle w:val="Normalny41"/>
            </w:pPr>
            <w:r>
              <w:t>4</w:t>
            </w:r>
            <w:r w:rsidRPr="00EA6BB9">
              <w:t>.</w:t>
            </w:r>
          </w:p>
        </w:tc>
        <w:tc>
          <w:tcPr>
            <w:tcW w:w="2102" w:type="dxa"/>
          </w:tcPr>
          <w:p w14:paraId="356C3692" w14:textId="77777777" w:rsidR="005750EF" w:rsidRDefault="005750EF" w:rsidP="00CB54F3">
            <w:pPr>
              <w:pStyle w:val="Normalny41"/>
            </w:pPr>
            <w:r w:rsidRPr="00EA6BB9">
              <w:t>Pamięć RAM do posiadanych serwerów kasetowych</w:t>
            </w:r>
          </w:p>
          <w:p w14:paraId="2C48934F" w14:textId="77777777" w:rsidR="005750EF" w:rsidRPr="00FB480C" w:rsidRDefault="005750EF" w:rsidP="00CB54F3">
            <w:pPr>
              <w:pStyle w:val="Normalny41"/>
            </w:pPr>
            <w:r w:rsidRPr="00FB480C">
              <w:t>1 zestaw w skład którego wchodzi: Łącznie 112 szt.</w:t>
            </w:r>
          </w:p>
          <w:p w14:paraId="77480780" w14:textId="77777777" w:rsidR="005750EF" w:rsidRPr="00FB480C" w:rsidRDefault="005750EF" w:rsidP="00CB54F3">
            <w:pPr>
              <w:pStyle w:val="Normalny41"/>
            </w:pPr>
            <w:r w:rsidRPr="00FB480C">
              <w:t>96 szt. Do serwerów ProLiant BL460c Gen10</w:t>
            </w:r>
          </w:p>
          <w:p w14:paraId="10F4E07C" w14:textId="2154B67C" w:rsidR="005750EF" w:rsidRPr="00EA6BB9" w:rsidRDefault="005750EF" w:rsidP="00CB54F3">
            <w:pPr>
              <w:pStyle w:val="Normalny41"/>
            </w:pPr>
            <w:r w:rsidRPr="00FB480C">
              <w:t>16 szt. Do serwerów ProLiant BL460c Gen9</w:t>
            </w:r>
          </w:p>
        </w:tc>
        <w:tc>
          <w:tcPr>
            <w:tcW w:w="1701" w:type="dxa"/>
          </w:tcPr>
          <w:p w14:paraId="10C0C410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1D54B2F1" w14:textId="69F5AB7D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55617C60" w14:textId="22528B53" w:rsidR="005750EF" w:rsidRPr="00CB54F3" w:rsidRDefault="005750EF" w:rsidP="00CB54F3">
            <w:pPr>
              <w:pStyle w:val="Normalny41"/>
            </w:pPr>
            <w:r w:rsidRPr="00CB54F3">
              <w:t>1 zestaw</w:t>
            </w:r>
          </w:p>
        </w:tc>
        <w:tc>
          <w:tcPr>
            <w:tcW w:w="1276" w:type="dxa"/>
          </w:tcPr>
          <w:p w14:paraId="17ED4AE4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055EC268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035E33E9" w14:textId="77777777" w:rsidTr="005750EF">
        <w:trPr>
          <w:trHeight w:val="868"/>
        </w:trPr>
        <w:tc>
          <w:tcPr>
            <w:tcW w:w="591" w:type="dxa"/>
          </w:tcPr>
          <w:p w14:paraId="7BE6B2CC" w14:textId="7E520A60" w:rsidR="005750EF" w:rsidRPr="00EA6BB9" w:rsidRDefault="005750EF" w:rsidP="00CB54F3">
            <w:pPr>
              <w:pStyle w:val="Normalny41"/>
            </w:pPr>
            <w:r>
              <w:t>5</w:t>
            </w:r>
            <w:r w:rsidRPr="00EA6BB9">
              <w:t>.</w:t>
            </w:r>
          </w:p>
        </w:tc>
        <w:tc>
          <w:tcPr>
            <w:tcW w:w="2102" w:type="dxa"/>
          </w:tcPr>
          <w:p w14:paraId="5C663EB5" w14:textId="3358FA68" w:rsidR="005750EF" w:rsidRPr="00EA6BB9" w:rsidRDefault="005750EF" w:rsidP="00CB54F3">
            <w:pPr>
              <w:pStyle w:val="Normalny41"/>
            </w:pPr>
            <w:r w:rsidRPr="00EA6BB9">
              <w:t xml:space="preserve">Przełącznik FC do </w:t>
            </w:r>
            <w:r w:rsidRPr="009751FF">
              <w:t xml:space="preserve">posiadanej obudowy </w:t>
            </w:r>
            <w:r w:rsidRPr="009751FF">
              <w:rPr>
                <w:rFonts w:cstheme="minorHAnsi"/>
              </w:rPr>
              <w:t>HPE C7000</w:t>
            </w:r>
          </w:p>
        </w:tc>
        <w:tc>
          <w:tcPr>
            <w:tcW w:w="1701" w:type="dxa"/>
          </w:tcPr>
          <w:p w14:paraId="74BEB9CE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598096AB" w14:textId="7F68DBA1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3521140F" w14:textId="2A2E78C6" w:rsidR="005750EF" w:rsidRPr="00EA6BB9" w:rsidRDefault="005750EF" w:rsidP="00CB54F3">
            <w:pPr>
              <w:pStyle w:val="Normalny41"/>
            </w:pPr>
            <w:r w:rsidRPr="00EA6BB9">
              <w:t>2 szt.</w:t>
            </w:r>
          </w:p>
        </w:tc>
        <w:tc>
          <w:tcPr>
            <w:tcW w:w="1276" w:type="dxa"/>
          </w:tcPr>
          <w:p w14:paraId="510B598B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3B76F806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0E64CB43" w14:textId="77777777" w:rsidTr="005750EF">
        <w:tc>
          <w:tcPr>
            <w:tcW w:w="591" w:type="dxa"/>
          </w:tcPr>
          <w:p w14:paraId="4FFA2DA9" w14:textId="390DD2C5" w:rsidR="005750EF" w:rsidRPr="00EA6BB9" w:rsidRDefault="005750EF" w:rsidP="00CB54F3">
            <w:pPr>
              <w:pStyle w:val="Normalny41"/>
            </w:pPr>
            <w:r>
              <w:t>6</w:t>
            </w:r>
            <w:r w:rsidRPr="00EA6BB9">
              <w:t>.</w:t>
            </w:r>
          </w:p>
        </w:tc>
        <w:tc>
          <w:tcPr>
            <w:tcW w:w="2102" w:type="dxa"/>
          </w:tcPr>
          <w:p w14:paraId="4BB69931" w14:textId="54E00344" w:rsidR="005750EF" w:rsidRPr="00EA6BB9" w:rsidRDefault="005750EF" w:rsidP="00CB54F3">
            <w:pPr>
              <w:pStyle w:val="Normalny41"/>
            </w:pPr>
            <w:r w:rsidRPr="00EA6BB9">
              <w:t xml:space="preserve">Półka z dyskami do posiadanej macierzy dyskowej </w:t>
            </w:r>
            <w:r w:rsidRPr="00EA6BB9">
              <w:rPr>
                <w:rFonts w:ascii="Calibri" w:hAnsi="Calibri" w:cs="Calibri"/>
                <w:color w:val="000000"/>
              </w:rPr>
              <w:t>Fujitsu Eternus DX200</w:t>
            </w:r>
          </w:p>
        </w:tc>
        <w:tc>
          <w:tcPr>
            <w:tcW w:w="1701" w:type="dxa"/>
          </w:tcPr>
          <w:p w14:paraId="03029277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371FBCC0" w14:textId="4BD9F115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5798E452" w14:textId="100EA920" w:rsidR="005750EF" w:rsidRPr="00EA6BB9" w:rsidRDefault="005750EF" w:rsidP="00CB54F3">
            <w:pPr>
              <w:pStyle w:val="Normalny41"/>
            </w:pPr>
            <w:r w:rsidRPr="00EA6BB9">
              <w:t>1 szt.</w:t>
            </w:r>
          </w:p>
        </w:tc>
        <w:tc>
          <w:tcPr>
            <w:tcW w:w="1276" w:type="dxa"/>
          </w:tcPr>
          <w:p w14:paraId="1F7BFE13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72CEE209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1F0A37B5" w14:textId="77777777" w:rsidTr="005750EF">
        <w:trPr>
          <w:trHeight w:val="1473"/>
        </w:trPr>
        <w:tc>
          <w:tcPr>
            <w:tcW w:w="591" w:type="dxa"/>
          </w:tcPr>
          <w:p w14:paraId="4BD679BE" w14:textId="72B25E9D" w:rsidR="005750EF" w:rsidRPr="00EA6BB9" w:rsidRDefault="005750EF" w:rsidP="00CB54F3">
            <w:pPr>
              <w:pStyle w:val="Normalny41"/>
            </w:pPr>
            <w:r>
              <w:lastRenderedPageBreak/>
              <w:t>7</w:t>
            </w:r>
            <w:r w:rsidRPr="00EA6BB9">
              <w:t>.</w:t>
            </w:r>
          </w:p>
        </w:tc>
        <w:tc>
          <w:tcPr>
            <w:tcW w:w="2102" w:type="dxa"/>
          </w:tcPr>
          <w:p w14:paraId="7E0954E6" w14:textId="158F6AD7" w:rsidR="005750EF" w:rsidRPr="00EA6BB9" w:rsidRDefault="005750EF" w:rsidP="00CB54F3">
            <w:pPr>
              <w:pStyle w:val="Normalny41"/>
            </w:pPr>
            <w:r w:rsidRPr="00EA6BB9">
              <w:t xml:space="preserve">Półka z dyskami nr 2 do posiadanej macierzy dyskowej </w:t>
            </w:r>
            <w:r w:rsidRPr="00EA6BB9">
              <w:rPr>
                <w:rFonts w:ascii="Calibri" w:hAnsi="Calibri" w:cs="Calibri"/>
                <w:color w:val="000000"/>
              </w:rPr>
              <w:t>Fujitsu Eternus DX200</w:t>
            </w:r>
          </w:p>
        </w:tc>
        <w:tc>
          <w:tcPr>
            <w:tcW w:w="1701" w:type="dxa"/>
          </w:tcPr>
          <w:p w14:paraId="3CA30A7C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470AE474" w14:textId="51B8E12B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07EB1B5F" w14:textId="4E86250D" w:rsidR="005750EF" w:rsidRPr="00EA6BB9" w:rsidRDefault="005750EF" w:rsidP="00CB54F3">
            <w:pPr>
              <w:pStyle w:val="Normalny41"/>
            </w:pPr>
            <w:r w:rsidRPr="00EA6BB9">
              <w:t>1 szt.</w:t>
            </w:r>
          </w:p>
        </w:tc>
        <w:tc>
          <w:tcPr>
            <w:tcW w:w="1276" w:type="dxa"/>
          </w:tcPr>
          <w:p w14:paraId="6185CE32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65444754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66AB8044" w14:textId="77777777" w:rsidTr="005750EF">
        <w:tc>
          <w:tcPr>
            <w:tcW w:w="591" w:type="dxa"/>
          </w:tcPr>
          <w:p w14:paraId="6607CE27" w14:textId="3FEE5054" w:rsidR="005750EF" w:rsidRPr="00EA6BB9" w:rsidRDefault="005750EF" w:rsidP="00CB54F3">
            <w:pPr>
              <w:pStyle w:val="Normalny41"/>
            </w:pPr>
            <w:r>
              <w:t>8</w:t>
            </w:r>
            <w:r w:rsidRPr="00EA6BB9">
              <w:t>.</w:t>
            </w:r>
          </w:p>
        </w:tc>
        <w:tc>
          <w:tcPr>
            <w:tcW w:w="2102" w:type="dxa"/>
          </w:tcPr>
          <w:p w14:paraId="547C9F3C" w14:textId="4F85C560" w:rsidR="005750EF" w:rsidRPr="00EA6BB9" w:rsidRDefault="005750EF" w:rsidP="00CB54F3">
            <w:pPr>
              <w:pStyle w:val="Normalny41"/>
            </w:pPr>
            <w:r w:rsidRPr="00EA6BB9">
              <w:t xml:space="preserve">Półka z dyskami do posiadanej macierzy dyskowej </w:t>
            </w:r>
            <w:r w:rsidRPr="00EA6BB9">
              <w:rPr>
                <w:rStyle w:val="spelle"/>
              </w:rPr>
              <w:t>NetAPP</w:t>
            </w:r>
            <w:r w:rsidRPr="00EA6BB9">
              <w:t xml:space="preserve"> E2812HA </w:t>
            </w:r>
          </w:p>
        </w:tc>
        <w:tc>
          <w:tcPr>
            <w:tcW w:w="1701" w:type="dxa"/>
          </w:tcPr>
          <w:p w14:paraId="468C67FF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4BF59E4F" w14:textId="3E470B61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28C70A8D" w14:textId="7022D0A0" w:rsidR="005750EF" w:rsidRPr="00EA6BB9" w:rsidRDefault="005750EF" w:rsidP="00CB54F3">
            <w:pPr>
              <w:pStyle w:val="Normalny41"/>
            </w:pPr>
            <w:r w:rsidRPr="00EA6BB9">
              <w:t>1 szt.</w:t>
            </w:r>
          </w:p>
        </w:tc>
        <w:tc>
          <w:tcPr>
            <w:tcW w:w="1276" w:type="dxa"/>
          </w:tcPr>
          <w:p w14:paraId="76EC927E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6CBCF2B8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6294CD93" w14:textId="77777777" w:rsidTr="005750EF">
        <w:tc>
          <w:tcPr>
            <w:tcW w:w="591" w:type="dxa"/>
            <w:vMerge w:val="restart"/>
          </w:tcPr>
          <w:p w14:paraId="6E2A4425" w14:textId="34A1697C" w:rsidR="005750EF" w:rsidRDefault="005750EF" w:rsidP="00CB54F3">
            <w:pPr>
              <w:pStyle w:val="Normalny41"/>
            </w:pPr>
            <w:r>
              <w:t>9</w:t>
            </w:r>
            <w:r w:rsidRPr="00EA6BB9">
              <w:t>.</w:t>
            </w:r>
          </w:p>
        </w:tc>
        <w:tc>
          <w:tcPr>
            <w:tcW w:w="2102" w:type="dxa"/>
          </w:tcPr>
          <w:p w14:paraId="66852B43" w14:textId="4C0361F3" w:rsidR="005750EF" w:rsidRPr="00B94DE9" w:rsidRDefault="005750EF" w:rsidP="00CB54F3">
            <w:pPr>
              <w:pStyle w:val="Normalny41"/>
            </w:pPr>
            <w:r>
              <w:t xml:space="preserve">9.1- </w:t>
            </w:r>
            <w:r w:rsidRPr="00B94DE9">
              <w:t>Obudowa do serwerów kasetowych wraz z oprogramowaniem do zarządzania 4 szt. Serwerów kasetowych</w:t>
            </w:r>
          </w:p>
        </w:tc>
        <w:tc>
          <w:tcPr>
            <w:tcW w:w="1701" w:type="dxa"/>
          </w:tcPr>
          <w:p w14:paraId="6C88E340" w14:textId="77777777" w:rsidR="005750EF" w:rsidRPr="00B94DE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1DD991DE" w14:textId="2E938603" w:rsidR="005750EF" w:rsidRPr="00B94DE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3EBDB409" w14:textId="3F1AA17A" w:rsidR="005750EF" w:rsidRPr="00B94DE9" w:rsidRDefault="005750EF" w:rsidP="00CB54F3">
            <w:pPr>
              <w:pStyle w:val="Normalny41"/>
            </w:pPr>
            <w:r w:rsidRPr="00B94DE9">
              <w:t xml:space="preserve">1 </w:t>
            </w:r>
            <w:r>
              <w:t>zestaw</w:t>
            </w:r>
          </w:p>
        </w:tc>
        <w:tc>
          <w:tcPr>
            <w:tcW w:w="1276" w:type="dxa"/>
          </w:tcPr>
          <w:p w14:paraId="0EB09490" w14:textId="77777777" w:rsidR="005750EF" w:rsidRPr="00B94DE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2740233E" w14:textId="77777777" w:rsidR="005750EF" w:rsidRPr="00B94DE9" w:rsidRDefault="005750EF" w:rsidP="00CB54F3">
            <w:pPr>
              <w:pStyle w:val="Normalny41"/>
            </w:pPr>
          </w:p>
        </w:tc>
      </w:tr>
      <w:tr w:rsidR="005750EF" w:rsidRPr="00EA6BB9" w14:paraId="20D45F34" w14:textId="77777777" w:rsidTr="005750EF">
        <w:tc>
          <w:tcPr>
            <w:tcW w:w="591" w:type="dxa"/>
            <w:vMerge/>
          </w:tcPr>
          <w:p w14:paraId="5C64A37E" w14:textId="59EEAE4B" w:rsidR="005750EF" w:rsidRPr="00EA6BB9" w:rsidRDefault="005750EF" w:rsidP="00CB54F3">
            <w:pPr>
              <w:pStyle w:val="Normalny41"/>
            </w:pPr>
          </w:p>
        </w:tc>
        <w:tc>
          <w:tcPr>
            <w:tcW w:w="2102" w:type="dxa"/>
          </w:tcPr>
          <w:p w14:paraId="1BE0FD1B" w14:textId="5AE7CDB8" w:rsidR="005750EF" w:rsidRPr="00B94DE9" w:rsidRDefault="005750EF" w:rsidP="00CB54F3">
            <w:pPr>
              <w:pStyle w:val="Normalny41"/>
            </w:pPr>
            <w:r>
              <w:t xml:space="preserve">9.2- </w:t>
            </w:r>
            <w:r w:rsidRPr="00B94DE9">
              <w:t xml:space="preserve">Serwer kasetowy </w:t>
            </w:r>
          </w:p>
        </w:tc>
        <w:tc>
          <w:tcPr>
            <w:tcW w:w="1701" w:type="dxa"/>
          </w:tcPr>
          <w:p w14:paraId="2BE1E855" w14:textId="77777777" w:rsidR="005750EF" w:rsidRPr="00B94DE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215AB09B" w14:textId="60E0D1EA" w:rsidR="005750EF" w:rsidRPr="00B94DE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2F35DBD6" w14:textId="40773F47" w:rsidR="005750EF" w:rsidRPr="00B94DE9" w:rsidRDefault="005750EF" w:rsidP="00CB54F3">
            <w:pPr>
              <w:pStyle w:val="Normalny41"/>
            </w:pPr>
            <w:r w:rsidRPr="00B94DE9">
              <w:t>4 szt.</w:t>
            </w:r>
          </w:p>
        </w:tc>
        <w:tc>
          <w:tcPr>
            <w:tcW w:w="1276" w:type="dxa"/>
          </w:tcPr>
          <w:p w14:paraId="403F7D0E" w14:textId="77777777" w:rsidR="005750EF" w:rsidRPr="00B94DE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5EAD5388" w14:textId="77777777" w:rsidR="005750EF" w:rsidRPr="00B94DE9" w:rsidRDefault="005750EF" w:rsidP="00CB54F3">
            <w:pPr>
              <w:pStyle w:val="Normalny41"/>
            </w:pPr>
          </w:p>
        </w:tc>
      </w:tr>
      <w:tr w:rsidR="005750EF" w:rsidRPr="00EA6BB9" w14:paraId="7F1B9B21" w14:textId="77777777" w:rsidTr="005750EF">
        <w:tc>
          <w:tcPr>
            <w:tcW w:w="591" w:type="dxa"/>
          </w:tcPr>
          <w:p w14:paraId="1A057B2E" w14:textId="147D4901" w:rsidR="005750EF" w:rsidRPr="00EA6BB9" w:rsidRDefault="005750EF" w:rsidP="00CB54F3">
            <w:pPr>
              <w:pStyle w:val="Normalny41"/>
            </w:pPr>
            <w:r w:rsidRPr="00EA6BB9">
              <w:t>1</w:t>
            </w:r>
            <w:r>
              <w:t>0</w:t>
            </w:r>
            <w:r w:rsidRPr="00EA6BB9">
              <w:t>.</w:t>
            </w:r>
          </w:p>
        </w:tc>
        <w:tc>
          <w:tcPr>
            <w:tcW w:w="2102" w:type="dxa"/>
          </w:tcPr>
          <w:p w14:paraId="5F535652" w14:textId="66A6E95E" w:rsidR="005750EF" w:rsidRPr="00EA6BB9" w:rsidRDefault="005750EF" w:rsidP="00CB54F3">
            <w:pPr>
              <w:pStyle w:val="Normalny41"/>
            </w:pPr>
            <w:r w:rsidRPr="00EA6BB9">
              <w:t xml:space="preserve">Oprogramowanie systemowe do serwerów kasetowych opisanych w punkcie </w:t>
            </w:r>
            <w:r>
              <w:t>9</w:t>
            </w:r>
          </w:p>
        </w:tc>
        <w:tc>
          <w:tcPr>
            <w:tcW w:w="1701" w:type="dxa"/>
          </w:tcPr>
          <w:p w14:paraId="4366EB0A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1B2373FD" w14:textId="0BA7E773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3A256F7A" w14:textId="0F078167" w:rsidR="005750EF" w:rsidRPr="00EA6BB9" w:rsidRDefault="005750EF" w:rsidP="00CB54F3">
            <w:pPr>
              <w:pStyle w:val="Normalny41"/>
            </w:pPr>
            <w:r w:rsidRPr="00EA6BB9">
              <w:t>4 zestawy</w:t>
            </w:r>
          </w:p>
        </w:tc>
        <w:tc>
          <w:tcPr>
            <w:tcW w:w="1276" w:type="dxa"/>
          </w:tcPr>
          <w:p w14:paraId="4932687F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2DDFAD6D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0A687C55" w14:textId="77777777" w:rsidTr="005750EF">
        <w:tc>
          <w:tcPr>
            <w:tcW w:w="591" w:type="dxa"/>
          </w:tcPr>
          <w:p w14:paraId="07511EA2" w14:textId="0956AE94" w:rsidR="005750EF" w:rsidRPr="00EA6BB9" w:rsidRDefault="005750EF" w:rsidP="00CB54F3">
            <w:pPr>
              <w:pStyle w:val="Normalny41"/>
            </w:pPr>
            <w:r w:rsidRPr="00EA6BB9">
              <w:t>1</w:t>
            </w:r>
            <w:r>
              <w:t>1</w:t>
            </w:r>
            <w:r w:rsidRPr="00EA6BB9">
              <w:t xml:space="preserve">. </w:t>
            </w:r>
          </w:p>
        </w:tc>
        <w:tc>
          <w:tcPr>
            <w:tcW w:w="2102" w:type="dxa"/>
          </w:tcPr>
          <w:p w14:paraId="4E10DE3B" w14:textId="60246067" w:rsidR="005750EF" w:rsidRPr="00EA6BB9" w:rsidRDefault="005750EF" w:rsidP="00CB54F3">
            <w:pPr>
              <w:pStyle w:val="Normalny41"/>
            </w:pPr>
            <w:r w:rsidRPr="00EA6BB9">
              <w:t>Silnik bazy danych</w:t>
            </w:r>
          </w:p>
        </w:tc>
        <w:tc>
          <w:tcPr>
            <w:tcW w:w="1701" w:type="dxa"/>
          </w:tcPr>
          <w:p w14:paraId="5679176B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782A4BCE" w14:textId="540B744A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09AB1DE4" w14:textId="2A3BD91B" w:rsidR="005750EF" w:rsidRPr="00EA6BB9" w:rsidRDefault="005750EF" w:rsidP="00CB54F3">
            <w:pPr>
              <w:pStyle w:val="Normalny41"/>
            </w:pPr>
            <w:r>
              <w:t>1 szt.</w:t>
            </w:r>
          </w:p>
        </w:tc>
        <w:tc>
          <w:tcPr>
            <w:tcW w:w="1276" w:type="dxa"/>
          </w:tcPr>
          <w:p w14:paraId="04A677A4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014890D2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3743BA7C" w14:textId="77777777" w:rsidTr="005750EF">
        <w:tc>
          <w:tcPr>
            <w:tcW w:w="591" w:type="dxa"/>
          </w:tcPr>
          <w:p w14:paraId="353FCDE6" w14:textId="4A58EF6F" w:rsidR="005750EF" w:rsidRPr="00EA6BB9" w:rsidRDefault="005750EF" w:rsidP="00CB54F3">
            <w:pPr>
              <w:pStyle w:val="Normalny41"/>
            </w:pPr>
            <w:r w:rsidRPr="00EA6BB9">
              <w:t>1</w:t>
            </w:r>
            <w:r>
              <w:t>2</w:t>
            </w:r>
            <w:r w:rsidRPr="00EA6BB9">
              <w:t>.</w:t>
            </w:r>
          </w:p>
        </w:tc>
        <w:tc>
          <w:tcPr>
            <w:tcW w:w="2102" w:type="dxa"/>
          </w:tcPr>
          <w:p w14:paraId="6BCAAEBE" w14:textId="3C55F50C" w:rsidR="005750EF" w:rsidRPr="00EA6BB9" w:rsidRDefault="005750EF" w:rsidP="00CB54F3">
            <w:pPr>
              <w:pStyle w:val="Normalny41"/>
              <w:rPr>
                <w:rFonts w:ascii="Calibri" w:hAnsi="Calibri" w:cs="Calibri"/>
                <w:color w:val="000000"/>
              </w:rPr>
            </w:pPr>
            <w:r w:rsidRPr="00EA6BB9">
              <w:t>Przełącznik FC</w:t>
            </w:r>
          </w:p>
        </w:tc>
        <w:tc>
          <w:tcPr>
            <w:tcW w:w="1701" w:type="dxa"/>
          </w:tcPr>
          <w:p w14:paraId="2AC5D1E4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599EA615" w14:textId="55F17296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36566599" w14:textId="4042C24B" w:rsidR="005750EF" w:rsidRPr="00EA6BB9" w:rsidRDefault="005750EF" w:rsidP="00CB54F3">
            <w:pPr>
              <w:pStyle w:val="Normalny41"/>
            </w:pPr>
            <w:r w:rsidRPr="00EA6BB9">
              <w:t>2 szt.</w:t>
            </w:r>
          </w:p>
        </w:tc>
        <w:tc>
          <w:tcPr>
            <w:tcW w:w="1276" w:type="dxa"/>
          </w:tcPr>
          <w:p w14:paraId="2B845CA0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0FE228E4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602578DF" w14:textId="77777777" w:rsidTr="005750EF">
        <w:tc>
          <w:tcPr>
            <w:tcW w:w="591" w:type="dxa"/>
          </w:tcPr>
          <w:p w14:paraId="76C8213F" w14:textId="3196EBFA" w:rsidR="005750EF" w:rsidRPr="00EA6BB9" w:rsidRDefault="005750EF" w:rsidP="00CB54F3">
            <w:pPr>
              <w:pStyle w:val="Normalny41"/>
            </w:pPr>
            <w:r w:rsidRPr="00EA6BB9">
              <w:t>1</w:t>
            </w:r>
            <w:r>
              <w:t>3</w:t>
            </w:r>
            <w:r w:rsidRPr="00EA6BB9">
              <w:t>.</w:t>
            </w:r>
          </w:p>
        </w:tc>
        <w:tc>
          <w:tcPr>
            <w:tcW w:w="2102" w:type="dxa"/>
          </w:tcPr>
          <w:p w14:paraId="76B0774D" w14:textId="1F35F7F9" w:rsidR="005750EF" w:rsidRPr="00EA6BB9" w:rsidRDefault="005750EF" w:rsidP="00CB54F3">
            <w:pPr>
              <w:pStyle w:val="Normalny41"/>
            </w:pPr>
            <w:r w:rsidRPr="00EA6BB9">
              <w:t>Biblioteka taśmowa LTO</w:t>
            </w:r>
          </w:p>
        </w:tc>
        <w:tc>
          <w:tcPr>
            <w:tcW w:w="1701" w:type="dxa"/>
          </w:tcPr>
          <w:p w14:paraId="4A748F66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6ADDCA45" w14:textId="6199202F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59A5984D" w14:textId="1C6B9B80" w:rsidR="005750EF" w:rsidRPr="00EA6BB9" w:rsidRDefault="005750EF" w:rsidP="00CB54F3">
            <w:pPr>
              <w:pStyle w:val="Normalny41"/>
            </w:pPr>
            <w:r>
              <w:t>1 szt.</w:t>
            </w:r>
          </w:p>
        </w:tc>
        <w:tc>
          <w:tcPr>
            <w:tcW w:w="1276" w:type="dxa"/>
          </w:tcPr>
          <w:p w14:paraId="40D096B8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1D32D508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59E35A9E" w14:textId="77777777" w:rsidTr="005750EF">
        <w:trPr>
          <w:trHeight w:val="1162"/>
        </w:trPr>
        <w:tc>
          <w:tcPr>
            <w:tcW w:w="591" w:type="dxa"/>
          </w:tcPr>
          <w:p w14:paraId="449E8BA6" w14:textId="2502AFCB" w:rsidR="005750EF" w:rsidRPr="00EA6BB9" w:rsidRDefault="005750EF" w:rsidP="00CB54F3">
            <w:pPr>
              <w:pStyle w:val="Normalny41"/>
            </w:pPr>
            <w:r w:rsidRPr="00EA6BB9">
              <w:t>1</w:t>
            </w:r>
            <w:r>
              <w:t>4</w:t>
            </w:r>
            <w:r w:rsidRPr="00EA6BB9">
              <w:t>.</w:t>
            </w:r>
          </w:p>
        </w:tc>
        <w:tc>
          <w:tcPr>
            <w:tcW w:w="2102" w:type="dxa"/>
          </w:tcPr>
          <w:p w14:paraId="1160321B" w14:textId="3C1F99DF" w:rsidR="005750EF" w:rsidRPr="00EA6BB9" w:rsidRDefault="005750EF" w:rsidP="00CB54F3">
            <w:pPr>
              <w:pStyle w:val="Normalny41"/>
            </w:pPr>
            <w:r w:rsidRPr="00EA6BB9">
              <w:t>Klaster obliczeniowy (2 szt. serwerów obliczeniowych)</w:t>
            </w:r>
          </w:p>
        </w:tc>
        <w:tc>
          <w:tcPr>
            <w:tcW w:w="1701" w:type="dxa"/>
          </w:tcPr>
          <w:p w14:paraId="0B86339F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326EF546" w14:textId="3FED3E92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65C4527F" w14:textId="436559CA" w:rsidR="005750EF" w:rsidRPr="00EA6BB9" w:rsidRDefault="005750EF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276" w:type="dxa"/>
          </w:tcPr>
          <w:p w14:paraId="379DCAB2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3B75F278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EA6BB9" w14:paraId="3F41F22D" w14:textId="77777777" w:rsidTr="005750EF">
        <w:tc>
          <w:tcPr>
            <w:tcW w:w="591" w:type="dxa"/>
          </w:tcPr>
          <w:p w14:paraId="135E1048" w14:textId="7E2FEF11" w:rsidR="005750EF" w:rsidRPr="00EA6BB9" w:rsidRDefault="005750EF" w:rsidP="00CB54F3">
            <w:pPr>
              <w:pStyle w:val="Normalny41"/>
            </w:pPr>
            <w:r w:rsidRPr="00EA6BB9">
              <w:t>1</w:t>
            </w:r>
            <w:r>
              <w:t>5</w:t>
            </w:r>
            <w:r w:rsidRPr="00EA6BB9">
              <w:t>.</w:t>
            </w:r>
          </w:p>
        </w:tc>
        <w:tc>
          <w:tcPr>
            <w:tcW w:w="2102" w:type="dxa"/>
          </w:tcPr>
          <w:p w14:paraId="1AA34851" w14:textId="6CFDBAF8" w:rsidR="005750EF" w:rsidRPr="00EA6BB9" w:rsidRDefault="005750EF" w:rsidP="00CB54F3">
            <w:pPr>
              <w:pStyle w:val="Normalny41"/>
            </w:pPr>
            <w:r w:rsidRPr="00EA6BB9">
              <w:t xml:space="preserve">Oprogramowanie systemowe dla klastra obliczeniowego opisanego w punkcie </w:t>
            </w:r>
            <w:r>
              <w:t>14</w:t>
            </w:r>
          </w:p>
        </w:tc>
        <w:tc>
          <w:tcPr>
            <w:tcW w:w="1701" w:type="dxa"/>
          </w:tcPr>
          <w:p w14:paraId="1C74E514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0519FAB6" w14:textId="302BD41B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50B3BCD5" w14:textId="148227B8" w:rsidR="005750EF" w:rsidRPr="00EA6BB9" w:rsidRDefault="005750EF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276" w:type="dxa"/>
          </w:tcPr>
          <w:p w14:paraId="1A60115F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728722C1" w14:textId="77777777" w:rsidR="005750EF" w:rsidRPr="00EA6BB9" w:rsidRDefault="005750EF" w:rsidP="00CB54F3">
            <w:pPr>
              <w:pStyle w:val="Normalny41"/>
            </w:pPr>
          </w:p>
        </w:tc>
      </w:tr>
      <w:tr w:rsidR="005750EF" w:rsidRPr="000345A4" w14:paraId="13FC47D2" w14:textId="77777777" w:rsidTr="005750EF">
        <w:tc>
          <w:tcPr>
            <w:tcW w:w="591" w:type="dxa"/>
          </w:tcPr>
          <w:p w14:paraId="15B8B978" w14:textId="07DB0FC3" w:rsidR="005750EF" w:rsidRPr="00EA6BB9" w:rsidRDefault="005750EF" w:rsidP="00CB54F3">
            <w:pPr>
              <w:pStyle w:val="Normalny41"/>
            </w:pPr>
            <w:r w:rsidRPr="00EA6BB9">
              <w:t>1</w:t>
            </w:r>
            <w:r>
              <w:t>6</w:t>
            </w:r>
            <w:r w:rsidRPr="00EA6BB9">
              <w:t>.</w:t>
            </w:r>
          </w:p>
        </w:tc>
        <w:tc>
          <w:tcPr>
            <w:tcW w:w="2102" w:type="dxa"/>
          </w:tcPr>
          <w:p w14:paraId="6AAFE32B" w14:textId="1F62750A" w:rsidR="005750EF" w:rsidRPr="00032461" w:rsidRDefault="005750EF" w:rsidP="00032461">
            <w:pPr>
              <w:spacing w:line="259" w:lineRule="auto"/>
              <w:ind w:left="0" w:firstLine="0"/>
              <w:contextualSpacing/>
              <w:rPr>
                <w:rFonts w:cs="Calibri"/>
                <w:b w:val="0"/>
                <w:bCs/>
                <w:color w:val="000000"/>
              </w:rPr>
            </w:pPr>
            <w:r w:rsidRPr="00E54EA9">
              <w:rPr>
                <w:rFonts w:cs="Calibri"/>
                <w:b w:val="0"/>
                <w:bCs/>
                <w:color w:val="000000"/>
              </w:rPr>
              <w:t>Zasób dyskowy z półkami i  modułem rozszerzającym</w:t>
            </w:r>
          </w:p>
        </w:tc>
        <w:tc>
          <w:tcPr>
            <w:tcW w:w="1701" w:type="dxa"/>
          </w:tcPr>
          <w:p w14:paraId="693587B6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8" w:type="dxa"/>
          </w:tcPr>
          <w:p w14:paraId="78AAD9C2" w14:textId="4DA25F79" w:rsidR="005750EF" w:rsidRPr="00EA6BB9" w:rsidRDefault="005750EF" w:rsidP="00CB54F3">
            <w:pPr>
              <w:pStyle w:val="Normalny41"/>
            </w:pPr>
          </w:p>
        </w:tc>
        <w:tc>
          <w:tcPr>
            <w:tcW w:w="1134" w:type="dxa"/>
            <w:vAlign w:val="bottom"/>
          </w:tcPr>
          <w:p w14:paraId="4D70F251" w14:textId="18252B56" w:rsidR="005750EF" w:rsidRPr="00EA6BB9" w:rsidRDefault="005750EF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276" w:type="dxa"/>
          </w:tcPr>
          <w:p w14:paraId="010CFD99" w14:textId="77777777" w:rsidR="005750EF" w:rsidRPr="00EA6BB9" w:rsidRDefault="005750EF" w:rsidP="00CB54F3">
            <w:pPr>
              <w:pStyle w:val="Normalny41"/>
            </w:pPr>
          </w:p>
        </w:tc>
        <w:tc>
          <w:tcPr>
            <w:tcW w:w="1417" w:type="dxa"/>
          </w:tcPr>
          <w:p w14:paraId="6A6986D5" w14:textId="77777777" w:rsidR="005750EF" w:rsidRPr="00EA6BB9" w:rsidRDefault="005750EF" w:rsidP="00CB54F3">
            <w:pPr>
              <w:pStyle w:val="Normalny41"/>
            </w:pPr>
          </w:p>
        </w:tc>
      </w:tr>
    </w:tbl>
    <w:p w14:paraId="51BA4B2C" w14:textId="77777777" w:rsidR="0020622D" w:rsidRDefault="0020622D" w:rsidP="00A963CA">
      <w:pPr>
        <w:pStyle w:val="11"/>
      </w:pPr>
    </w:p>
    <w:p w14:paraId="13AD4AAB" w14:textId="6BA82CF4" w:rsidR="00F05FFF" w:rsidRDefault="00CD01E5" w:rsidP="00A963CA">
      <w:pPr>
        <w:pStyle w:val="11"/>
      </w:pPr>
      <w:r w:rsidRPr="00F05FFF">
        <w:t xml:space="preserve">Kryterium nr 2 – </w:t>
      </w:r>
      <w:r w:rsidR="00435557" w:rsidRPr="00F05FFF">
        <w:t>Parametry jakościowe</w:t>
      </w:r>
      <w:r w:rsidRPr="00F05FFF">
        <w:t xml:space="preserve"> – Waga: </w:t>
      </w:r>
      <w:r w:rsidR="00435557" w:rsidRPr="00F05FFF">
        <w:t>4</w:t>
      </w:r>
      <w:r w:rsidRPr="00F05FFF">
        <w:t>0%:</w:t>
      </w: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4536"/>
        <w:gridCol w:w="1134"/>
        <w:gridCol w:w="1134"/>
      </w:tblGrid>
      <w:tr w:rsidR="00FC10FF" w:rsidRPr="009250A0" w14:paraId="465EFCCA" w14:textId="77777777" w:rsidTr="00A641E1">
        <w:tc>
          <w:tcPr>
            <w:tcW w:w="2835" w:type="dxa"/>
          </w:tcPr>
          <w:p w14:paraId="62BEBD4F" w14:textId="2B2BFF09" w:rsidR="00FC10FF" w:rsidRPr="00A963CA" w:rsidRDefault="009136F7" w:rsidP="00A963CA">
            <w:pPr>
              <w:pStyle w:val="11"/>
            </w:pPr>
            <w:r w:rsidRPr="00A963CA">
              <w:t>Lp.</w:t>
            </w:r>
          </w:p>
        </w:tc>
        <w:tc>
          <w:tcPr>
            <w:tcW w:w="4536" w:type="dxa"/>
          </w:tcPr>
          <w:p w14:paraId="4A7171BD" w14:textId="709EBC7B" w:rsidR="00FC10FF" w:rsidRPr="00A963CA" w:rsidRDefault="00FC10FF" w:rsidP="00A963CA">
            <w:pPr>
              <w:pStyle w:val="11"/>
            </w:pPr>
            <w:r w:rsidRPr="00A963CA">
              <w:t>Parametr jakościowy</w:t>
            </w:r>
          </w:p>
        </w:tc>
        <w:tc>
          <w:tcPr>
            <w:tcW w:w="1134" w:type="dxa"/>
          </w:tcPr>
          <w:p w14:paraId="7D254B07" w14:textId="5185589C" w:rsidR="00FC10FF" w:rsidRPr="00A963CA" w:rsidRDefault="00FC10FF" w:rsidP="00A963CA">
            <w:pPr>
              <w:pStyle w:val="11"/>
            </w:pPr>
            <w:r w:rsidRPr="00A963CA">
              <w:t>TAK</w:t>
            </w:r>
          </w:p>
        </w:tc>
        <w:tc>
          <w:tcPr>
            <w:tcW w:w="1134" w:type="dxa"/>
          </w:tcPr>
          <w:p w14:paraId="1ABC56EA" w14:textId="4D61FA9E" w:rsidR="00FC10FF" w:rsidRPr="00A963CA" w:rsidRDefault="00FC10FF" w:rsidP="00A963CA">
            <w:pPr>
              <w:pStyle w:val="11"/>
            </w:pPr>
            <w:r w:rsidRPr="00A963CA">
              <w:t>NIE</w:t>
            </w:r>
          </w:p>
        </w:tc>
      </w:tr>
      <w:tr w:rsidR="00FF715C" w:rsidRPr="009250A0" w14:paraId="06DDB3BA" w14:textId="77777777" w:rsidTr="00A641E1">
        <w:tc>
          <w:tcPr>
            <w:tcW w:w="2835" w:type="dxa"/>
            <w:vMerge w:val="restart"/>
          </w:tcPr>
          <w:p w14:paraId="71062D4B" w14:textId="77777777" w:rsidR="00FF715C" w:rsidRPr="00A963CA" w:rsidRDefault="00FF715C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2.1</w:t>
            </w:r>
          </w:p>
          <w:p w14:paraId="7D9D27AA" w14:textId="5519BFDF" w:rsidR="00FF3BCE" w:rsidRPr="009250A0" w:rsidRDefault="00FF3BCE" w:rsidP="00A963CA">
            <w:pPr>
              <w:pStyle w:val="11"/>
              <w:rPr>
                <w:rFonts w:asciiTheme="minorHAnsi" w:hAnsiTheme="minorHAnsi"/>
                <w:szCs w:val="22"/>
              </w:rPr>
            </w:pPr>
            <w:r w:rsidRPr="009250A0">
              <w:lastRenderedPageBreak/>
              <w:t>*spośród dwóch opcji należy wybrać jedną</w:t>
            </w:r>
            <w:r w:rsidR="00C84C21" w:rsidRPr="009250A0">
              <w:t xml:space="preserve"> wpisując TAK</w:t>
            </w:r>
            <w:r w:rsidR="005A5BB6">
              <w:t>, w drugiej należy wpisać NIE</w:t>
            </w:r>
          </w:p>
        </w:tc>
        <w:tc>
          <w:tcPr>
            <w:tcW w:w="4536" w:type="dxa"/>
          </w:tcPr>
          <w:p w14:paraId="11078D10" w14:textId="7251F8F5" w:rsidR="00FF715C" w:rsidRPr="009250A0" w:rsidRDefault="009250A0" w:rsidP="00A61E63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0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="00A61E63" w:rsidRPr="009250A0">
              <w:rPr>
                <w:rFonts w:asciiTheme="minorHAnsi" w:hAnsiTheme="minorHAnsi" w:cstheme="minorHAnsi"/>
                <w:sz w:val="22"/>
                <w:szCs w:val="22"/>
              </w:rPr>
              <w:t xml:space="preserve">inimum 10 serwerów dwuprocesorowych bez konieczności rozbudowy o kolejne elementy </w:t>
            </w:r>
            <w:r w:rsidR="00A61E63" w:rsidRPr="009250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sprzętowe. Wysokość obudowy nie więcej niż 10U*– </w:t>
            </w:r>
            <w:r w:rsidR="00A61E63" w:rsidRPr="00D93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punktów</w:t>
            </w:r>
          </w:p>
        </w:tc>
        <w:tc>
          <w:tcPr>
            <w:tcW w:w="1134" w:type="dxa"/>
          </w:tcPr>
          <w:p w14:paraId="69BB4C4B" w14:textId="77777777" w:rsidR="00FF715C" w:rsidRPr="009250A0" w:rsidRDefault="00FF715C" w:rsidP="00A963CA">
            <w:pPr>
              <w:pStyle w:val="11"/>
            </w:pPr>
          </w:p>
        </w:tc>
        <w:tc>
          <w:tcPr>
            <w:tcW w:w="1134" w:type="dxa"/>
          </w:tcPr>
          <w:p w14:paraId="516ABCE6" w14:textId="77777777" w:rsidR="00FF715C" w:rsidRPr="009250A0" w:rsidRDefault="00FF715C" w:rsidP="00A963CA">
            <w:pPr>
              <w:pStyle w:val="11"/>
            </w:pPr>
          </w:p>
        </w:tc>
      </w:tr>
      <w:tr w:rsidR="00FF715C" w:rsidRPr="009250A0" w14:paraId="4A6485D3" w14:textId="77777777" w:rsidTr="00A641E1">
        <w:trPr>
          <w:trHeight w:val="1350"/>
        </w:trPr>
        <w:tc>
          <w:tcPr>
            <w:tcW w:w="2835" w:type="dxa"/>
            <w:vMerge/>
          </w:tcPr>
          <w:p w14:paraId="5192D074" w14:textId="2D6B21A6" w:rsidR="00FF715C" w:rsidRPr="009250A0" w:rsidRDefault="00FF715C" w:rsidP="00A963CA">
            <w:pPr>
              <w:pStyle w:val="11"/>
            </w:pPr>
          </w:p>
        </w:tc>
        <w:tc>
          <w:tcPr>
            <w:tcW w:w="4536" w:type="dxa"/>
          </w:tcPr>
          <w:p w14:paraId="0853DA25" w14:textId="207285EC" w:rsidR="00FF715C" w:rsidRPr="009250A0" w:rsidRDefault="009250A0" w:rsidP="00A963CA">
            <w:pPr>
              <w:pStyle w:val="11"/>
            </w:pPr>
            <w:r w:rsidRPr="009250A0">
              <w:t>M</w:t>
            </w:r>
            <w:r w:rsidR="00FF715C" w:rsidRPr="009250A0">
              <w:t>inimum 12 serwerów dwuprocesorowych bez konieczności rozbudowy o kolejne elementy sprzętowe. Wysokość obudowy nie więcej niż 10U</w:t>
            </w:r>
            <w:r w:rsidR="000B75E2">
              <w:t xml:space="preserve"> </w:t>
            </w:r>
            <w:r w:rsidR="00A61E63" w:rsidRPr="009250A0">
              <w:t xml:space="preserve">- </w:t>
            </w:r>
            <w:r w:rsidR="00FF715C" w:rsidRPr="00D938F5">
              <w:rPr>
                <w:b/>
                <w:bCs/>
              </w:rPr>
              <w:t>5 p</w:t>
            </w:r>
            <w:r w:rsidR="00A61E63" w:rsidRPr="00D938F5">
              <w:rPr>
                <w:b/>
                <w:bCs/>
              </w:rPr>
              <w:t>unktów</w:t>
            </w:r>
          </w:p>
        </w:tc>
        <w:tc>
          <w:tcPr>
            <w:tcW w:w="1134" w:type="dxa"/>
          </w:tcPr>
          <w:p w14:paraId="13E4756A" w14:textId="42D84F7F" w:rsidR="00FF715C" w:rsidRPr="009250A0" w:rsidRDefault="00FF715C" w:rsidP="00A963CA">
            <w:pPr>
              <w:pStyle w:val="11"/>
            </w:pPr>
          </w:p>
        </w:tc>
        <w:tc>
          <w:tcPr>
            <w:tcW w:w="1134" w:type="dxa"/>
          </w:tcPr>
          <w:p w14:paraId="3E793149" w14:textId="77777777" w:rsidR="00FF715C" w:rsidRPr="009250A0" w:rsidRDefault="00FF715C" w:rsidP="00A963CA">
            <w:pPr>
              <w:pStyle w:val="11"/>
            </w:pPr>
          </w:p>
        </w:tc>
      </w:tr>
      <w:tr w:rsidR="00A641E1" w:rsidRPr="009250A0" w14:paraId="2AB83CE3" w14:textId="77777777" w:rsidTr="00A641E1">
        <w:tc>
          <w:tcPr>
            <w:tcW w:w="2835" w:type="dxa"/>
          </w:tcPr>
          <w:p w14:paraId="2529FB29" w14:textId="77777777" w:rsidR="00F05FFF" w:rsidRPr="00A963CA" w:rsidRDefault="002D753E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2.2</w:t>
            </w:r>
          </w:p>
          <w:p w14:paraId="638A83D0" w14:textId="1897E48C" w:rsidR="00DD615A" w:rsidRPr="00A641E1" w:rsidRDefault="00C84C21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2BDF7B1D" w14:textId="765E879F" w:rsidR="00DD615A" w:rsidRPr="00A641E1" w:rsidRDefault="00DD615A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 w:rsidR="00441724"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135464C8" w14:textId="168FABC6" w:rsidR="00DD615A" w:rsidRPr="00A641E1" w:rsidRDefault="00DD615A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569527F7" w14:textId="5ABFEBE2" w:rsidR="00C84C21" w:rsidRPr="00A641E1" w:rsidRDefault="00C84C21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 w:rsidR="00441724"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 w:rsidR="00441724">
              <w:rPr>
                <w:rFonts w:cstheme="minorHAnsi"/>
                <w:b w:val="0"/>
                <w:bCs/>
                <w:color w:val="000000"/>
              </w:rPr>
              <w:t xml:space="preserve"> </w:t>
            </w:r>
            <w:r w:rsidR="00A86E07">
              <w:rPr>
                <w:rFonts w:cstheme="minorHAnsi"/>
                <w:b w:val="0"/>
                <w:bCs/>
                <w:color w:val="000000"/>
              </w:rPr>
              <w:t>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  <w:p w14:paraId="0D6ED45C" w14:textId="17F4CB5A" w:rsidR="00C84C21" w:rsidRPr="009250A0" w:rsidRDefault="00C84C21" w:rsidP="00A963CA">
            <w:pPr>
              <w:pStyle w:val="11"/>
            </w:pPr>
          </w:p>
        </w:tc>
        <w:tc>
          <w:tcPr>
            <w:tcW w:w="4536" w:type="dxa"/>
          </w:tcPr>
          <w:p w14:paraId="630503CC" w14:textId="0B3A42B4" w:rsidR="00F05FFF" w:rsidRDefault="005B2DC0" w:rsidP="00A963CA">
            <w:pPr>
              <w:pStyle w:val="11"/>
            </w:pPr>
            <w:r w:rsidRPr="009250A0">
              <w:t xml:space="preserve">Ze względu na bezpieczeństwo inwestycji, wymagana jest obsługa serwerów z procesorami o mocy powyżej 330W (parametr TDP – Thermal Design Power) bez jakichkolwiek ograniczeń technologicznych takich jak brak możliwości stosowania kontrolera i dysków lokalnych w serwerze przy zastosowaniu takich procesorów </w:t>
            </w:r>
            <w:r w:rsidR="0042736D">
              <w:t>–</w:t>
            </w:r>
            <w:r w:rsidR="00FF3BCE" w:rsidRPr="009250A0">
              <w:t xml:space="preserve"> </w:t>
            </w:r>
            <w:r w:rsidR="0042736D" w:rsidRPr="00D938F5">
              <w:rPr>
                <w:b/>
                <w:bCs/>
              </w:rPr>
              <w:t>TAK</w:t>
            </w:r>
            <w:r w:rsidR="00D938F5" w:rsidRPr="00D938F5">
              <w:rPr>
                <w:b/>
                <w:bCs/>
              </w:rPr>
              <w:t xml:space="preserve"> -</w:t>
            </w:r>
            <w:r w:rsidR="0042736D" w:rsidRPr="00D938F5">
              <w:rPr>
                <w:b/>
                <w:bCs/>
              </w:rPr>
              <w:t xml:space="preserve"> </w:t>
            </w:r>
            <w:r w:rsidR="00FF3BCE" w:rsidRPr="00D938F5">
              <w:rPr>
                <w:b/>
                <w:bCs/>
              </w:rPr>
              <w:t>5 punktów</w:t>
            </w:r>
            <w:r w:rsidR="00672818" w:rsidRPr="00D938F5">
              <w:rPr>
                <w:b/>
                <w:bCs/>
              </w:rPr>
              <w:t xml:space="preserve">, NIE </w:t>
            </w:r>
            <w:r w:rsidR="00D938F5" w:rsidRPr="00D938F5">
              <w:rPr>
                <w:b/>
                <w:bCs/>
              </w:rPr>
              <w:t xml:space="preserve">- </w:t>
            </w:r>
            <w:r w:rsidR="00672818" w:rsidRPr="00D938F5">
              <w:rPr>
                <w:b/>
                <w:bCs/>
              </w:rPr>
              <w:t>0 punktó</w:t>
            </w:r>
            <w:r w:rsidR="00D938F5" w:rsidRPr="00D938F5">
              <w:rPr>
                <w:b/>
                <w:bCs/>
              </w:rPr>
              <w:t>w</w:t>
            </w:r>
          </w:p>
          <w:p w14:paraId="6FD585B1" w14:textId="42A4E101" w:rsidR="00521A55" w:rsidRPr="009250A0" w:rsidRDefault="00521A55" w:rsidP="00A963CA">
            <w:pPr>
              <w:pStyle w:val="11"/>
            </w:pPr>
          </w:p>
        </w:tc>
        <w:tc>
          <w:tcPr>
            <w:tcW w:w="1134" w:type="dxa"/>
          </w:tcPr>
          <w:p w14:paraId="6D76C0F2" w14:textId="77777777" w:rsidR="00F05FFF" w:rsidRPr="009250A0" w:rsidRDefault="00F05FFF" w:rsidP="00A963CA">
            <w:pPr>
              <w:pStyle w:val="11"/>
            </w:pPr>
          </w:p>
        </w:tc>
        <w:tc>
          <w:tcPr>
            <w:tcW w:w="1134" w:type="dxa"/>
          </w:tcPr>
          <w:p w14:paraId="7FD5089C" w14:textId="77777777" w:rsidR="00F05FFF" w:rsidRPr="009250A0" w:rsidRDefault="00F05FFF" w:rsidP="00A963CA">
            <w:pPr>
              <w:pStyle w:val="11"/>
            </w:pPr>
          </w:p>
        </w:tc>
      </w:tr>
      <w:tr w:rsidR="00830E0F" w:rsidRPr="009250A0" w14:paraId="4AFFC680" w14:textId="77777777" w:rsidTr="00A641E1">
        <w:tc>
          <w:tcPr>
            <w:tcW w:w="2835" w:type="dxa"/>
            <w:vMerge w:val="restart"/>
          </w:tcPr>
          <w:p w14:paraId="2C7E97F2" w14:textId="77777777" w:rsidR="00830E0F" w:rsidRPr="00A963CA" w:rsidRDefault="00830E0F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2.3</w:t>
            </w:r>
          </w:p>
          <w:p w14:paraId="79049FD0" w14:textId="60D45DE5" w:rsidR="00830E0F" w:rsidRPr="00A641E1" w:rsidRDefault="005A5BB6" w:rsidP="00A963CA">
            <w:pPr>
              <w:pStyle w:val="11"/>
              <w:rPr>
                <w:rFonts w:asciiTheme="minorHAnsi" w:hAnsiTheme="minorHAnsi"/>
                <w:szCs w:val="22"/>
              </w:rPr>
            </w:pPr>
            <w:r w:rsidRPr="009250A0">
              <w:t>*spośród dwóch opcji należy wybrać jedną wpisując TAK</w:t>
            </w:r>
            <w:r>
              <w:t>, w drugiej należy wpisać NIE</w:t>
            </w:r>
          </w:p>
        </w:tc>
        <w:tc>
          <w:tcPr>
            <w:tcW w:w="4536" w:type="dxa"/>
          </w:tcPr>
          <w:p w14:paraId="4173D61D" w14:textId="4134C4E6" w:rsidR="00830E0F" w:rsidRPr="009250A0" w:rsidRDefault="00830E0F" w:rsidP="00830E0F">
            <w:pPr>
              <w:spacing w:after="0"/>
              <w:ind w:left="0" w:firstLine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 xml:space="preserve">Każdy moduł posiadający minimum 12 portów do serwerów (downlink), każdy min 25Gb zapewniające brak oversubscription oraz min. 6 portów wychodzących  (uplink) o sumarycznym pasmie 600Gb* - </w:t>
            </w:r>
            <w:r w:rsidRPr="00D938F5">
              <w:rPr>
                <w:rFonts w:cstheme="minorHAnsi"/>
                <w:bCs/>
                <w:color w:val="000000"/>
              </w:rPr>
              <w:t>0 punktów</w:t>
            </w:r>
          </w:p>
        </w:tc>
        <w:tc>
          <w:tcPr>
            <w:tcW w:w="1134" w:type="dxa"/>
          </w:tcPr>
          <w:p w14:paraId="13E9F193" w14:textId="77777777" w:rsidR="00830E0F" w:rsidRPr="009250A0" w:rsidRDefault="00830E0F" w:rsidP="00A963CA">
            <w:pPr>
              <w:pStyle w:val="11"/>
            </w:pPr>
          </w:p>
        </w:tc>
        <w:tc>
          <w:tcPr>
            <w:tcW w:w="1134" w:type="dxa"/>
          </w:tcPr>
          <w:p w14:paraId="10E5627B" w14:textId="77777777" w:rsidR="00830E0F" w:rsidRPr="009250A0" w:rsidRDefault="00830E0F" w:rsidP="00A963CA">
            <w:pPr>
              <w:pStyle w:val="11"/>
            </w:pPr>
          </w:p>
        </w:tc>
      </w:tr>
      <w:tr w:rsidR="00830E0F" w:rsidRPr="009250A0" w14:paraId="6E49540C" w14:textId="77777777" w:rsidTr="00A641E1">
        <w:tc>
          <w:tcPr>
            <w:tcW w:w="2835" w:type="dxa"/>
            <w:vMerge/>
          </w:tcPr>
          <w:p w14:paraId="516EF0B8" w14:textId="77777777" w:rsidR="00830E0F" w:rsidRPr="009250A0" w:rsidRDefault="00830E0F" w:rsidP="00A963CA">
            <w:pPr>
              <w:pStyle w:val="11"/>
            </w:pPr>
          </w:p>
        </w:tc>
        <w:tc>
          <w:tcPr>
            <w:tcW w:w="4536" w:type="dxa"/>
          </w:tcPr>
          <w:p w14:paraId="2815A2FB" w14:textId="64AA7A17" w:rsidR="00830E0F" w:rsidRPr="009250A0" w:rsidRDefault="00830E0F" w:rsidP="00A963CA">
            <w:pPr>
              <w:pStyle w:val="11"/>
              <w:rPr>
                <w:rFonts w:asciiTheme="minorHAnsi" w:hAnsiTheme="minorHAnsi"/>
                <w:szCs w:val="22"/>
              </w:rPr>
            </w:pPr>
            <w:r w:rsidRPr="009250A0">
              <w:t xml:space="preserve">Każdy moduł posiadający minimum 12 portów do serwerów (downlink), każdy min 50Gb zapewniające brak oversubscription oraz min. 6 portów wychodzących  (uplink) o sumarycznym pasmie 600Gb* - </w:t>
            </w:r>
            <w:r w:rsidRPr="00D938F5">
              <w:rPr>
                <w:b/>
                <w:bCs/>
              </w:rPr>
              <w:t>5 punktów</w:t>
            </w:r>
          </w:p>
        </w:tc>
        <w:tc>
          <w:tcPr>
            <w:tcW w:w="1134" w:type="dxa"/>
          </w:tcPr>
          <w:p w14:paraId="611A2C62" w14:textId="77777777" w:rsidR="00830E0F" w:rsidRPr="009250A0" w:rsidRDefault="00830E0F" w:rsidP="00A963CA">
            <w:pPr>
              <w:pStyle w:val="11"/>
            </w:pPr>
          </w:p>
        </w:tc>
        <w:tc>
          <w:tcPr>
            <w:tcW w:w="1134" w:type="dxa"/>
          </w:tcPr>
          <w:p w14:paraId="44258418" w14:textId="77777777" w:rsidR="00830E0F" w:rsidRPr="009250A0" w:rsidRDefault="00830E0F" w:rsidP="00A963CA">
            <w:pPr>
              <w:pStyle w:val="11"/>
            </w:pPr>
          </w:p>
        </w:tc>
      </w:tr>
      <w:tr w:rsidR="009B2153" w:rsidRPr="009250A0" w14:paraId="74A50D5E" w14:textId="77777777" w:rsidTr="00251EBE">
        <w:trPr>
          <w:trHeight w:val="2221"/>
        </w:trPr>
        <w:tc>
          <w:tcPr>
            <w:tcW w:w="2835" w:type="dxa"/>
          </w:tcPr>
          <w:p w14:paraId="0A13D776" w14:textId="77777777" w:rsidR="00220B3B" w:rsidRPr="00A963CA" w:rsidRDefault="00220B3B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2.4</w:t>
            </w:r>
          </w:p>
          <w:p w14:paraId="071A9499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21C3747F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6258E77A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7A7546DF" w14:textId="11FB4609" w:rsidR="009B2153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4A3E5F61" w14:textId="77777777" w:rsidR="00F2754B" w:rsidRPr="009250A0" w:rsidRDefault="00F2754B" w:rsidP="00F2754B">
            <w:pPr>
              <w:spacing w:after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>Moduły SAS</w:t>
            </w:r>
          </w:p>
          <w:p w14:paraId="002CDCBD" w14:textId="2AD6CF9E" w:rsidR="009B2153" w:rsidRPr="000B75E2" w:rsidRDefault="00F2754B" w:rsidP="000B75E2">
            <w:pPr>
              <w:spacing w:after="0"/>
              <w:ind w:left="0" w:firstLine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>Możliwość doposażenia obudowy w moduły składowania danych , każdy posiadający 40 slotów na dyski SFF z opcją ich wymiany w trakcie pracy urządzenia (hot-plug).  Możliwość instalacji modułów SAS*</w:t>
            </w:r>
            <w:r w:rsidR="000B75E2">
              <w:rPr>
                <w:rFonts w:cstheme="minorHAnsi"/>
                <w:b w:val="0"/>
                <w:color w:val="000000"/>
              </w:rPr>
              <w:t xml:space="preserve"> </w:t>
            </w:r>
            <w:r w:rsidRPr="000B75E2">
              <w:rPr>
                <w:b w:val="0"/>
                <w:bCs/>
              </w:rPr>
              <w:t xml:space="preserve">- </w:t>
            </w:r>
            <w:r w:rsidR="00D938F5">
              <w:t xml:space="preserve">TAK - </w:t>
            </w:r>
            <w:r w:rsidR="00D938F5" w:rsidRPr="009250A0">
              <w:t>5 punktów</w:t>
            </w:r>
            <w:r w:rsidR="00D938F5">
              <w:t>, NIE - 0 punktów</w:t>
            </w:r>
          </w:p>
        </w:tc>
        <w:tc>
          <w:tcPr>
            <w:tcW w:w="1134" w:type="dxa"/>
          </w:tcPr>
          <w:p w14:paraId="541CFEB9" w14:textId="77777777" w:rsidR="009B2153" w:rsidRPr="009250A0" w:rsidRDefault="009B2153" w:rsidP="00A963CA">
            <w:pPr>
              <w:pStyle w:val="11"/>
            </w:pPr>
          </w:p>
        </w:tc>
        <w:tc>
          <w:tcPr>
            <w:tcW w:w="1134" w:type="dxa"/>
          </w:tcPr>
          <w:p w14:paraId="7764E4A9" w14:textId="77777777" w:rsidR="009B2153" w:rsidRPr="009250A0" w:rsidRDefault="009B2153" w:rsidP="00A963CA">
            <w:pPr>
              <w:pStyle w:val="11"/>
            </w:pPr>
          </w:p>
        </w:tc>
      </w:tr>
      <w:tr w:rsidR="005E2A12" w:rsidRPr="009250A0" w14:paraId="359DC7D4" w14:textId="77777777" w:rsidTr="00251EBE">
        <w:trPr>
          <w:trHeight w:val="2150"/>
        </w:trPr>
        <w:tc>
          <w:tcPr>
            <w:tcW w:w="2835" w:type="dxa"/>
          </w:tcPr>
          <w:p w14:paraId="792C2085" w14:textId="70922775" w:rsidR="003F3229" w:rsidRPr="00A963CA" w:rsidRDefault="00F0584D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</w:t>
            </w:r>
            <w:r w:rsidR="003F3229" w:rsidRPr="00A963CA">
              <w:rPr>
                <w:b/>
                <w:bCs/>
              </w:rPr>
              <w:t>5</w:t>
            </w:r>
          </w:p>
          <w:p w14:paraId="2D0576B2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45A74508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3D1030DA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1CDD809D" w14:textId="17B9C9C9" w:rsidR="005E2A12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789BBA6F" w14:textId="568BBBE0" w:rsidR="005E2A12" w:rsidRPr="009250A0" w:rsidRDefault="00F0584D" w:rsidP="008C2B41">
            <w:pPr>
              <w:spacing w:after="0"/>
              <w:ind w:left="36" w:firstLine="0"/>
              <w:rPr>
                <w:rFonts w:cstheme="minorHAnsi"/>
                <w:b w:val="0"/>
                <w:color w:val="000000"/>
              </w:rPr>
            </w:pP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>Wentylatory muszą zapewnić obsługę serwerów z procesorami Intel Xeon 4. Generacji lub</w:t>
            </w:r>
            <w:r w:rsidR="00625A90"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procesorami</w:t>
            </w: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równoważnymi zgodnymi z procesorami zaoferowanymi w serwerach opisanych w tabeli nr</w:t>
            </w:r>
            <w:r w:rsidR="00A963CA"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>3 oferowanych przez producenta obudowy*</w:t>
            </w:r>
            <w:r w:rsidR="000B75E2"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–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</w:tc>
        <w:tc>
          <w:tcPr>
            <w:tcW w:w="1134" w:type="dxa"/>
          </w:tcPr>
          <w:p w14:paraId="094C2565" w14:textId="77777777" w:rsidR="005E2A12" w:rsidRPr="009250A0" w:rsidRDefault="005E2A12" w:rsidP="00A963CA">
            <w:pPr>
              <w:pStyle w:val="11"/>
            </w:pPr>
          </w:p>
        </w:tc>
        <w:tc>
          <w:tcPr>
            <w:tcW w:w="1134" w:type="dxa"/>
          </w:tcPr>
          <w:p w14:paraId="49434AEA" w14:textId="77777777" w:rsidR="005E2A12" w:rsidRPr="009250A0" w:rsidRDefault="005E2A12" w:rsidP="00A963CA">
            <w:pPr>
              <w:pStyle w:val="11"/>
            </w:pPr>
          </w:p>
        </w:tc>
      </w:tr>
      <w:tr w:rsidR="00356E30" w:rsidRPr="009250A0" w14:paraId="14D2FFFC" w14:textId="77777777" w:rsidTr="00251EBE">
        <w:trPr>
          <w:trHeight w:val="2236"/>
        </w:trPr>
        <w:tc>
          <w:tcPr>
            <w:tcW w:w="2835" w:type="dxa"/>
          </w:tcPr>
          <w:p w14:paraId="4DDC589F" w14:textId="24E076D4" w:rsidR="00823CD8" w:rsidRPr="00A963CA" w:rsidRDefault="00823CD8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2.6</w:t>
            </w:r>
          </w:p>
          <w:p w14:paraId="5ABADAFC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4D6FED82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59F766A5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2BB389A2" w14:textId="57E2707F" w:rsidR="00356E30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21B3CE04" w14:textId="0202F15D" w:rsidR="00356E30" w:rsidRPr="009250A0" w:rsidRDefault="00823CD8" w:rsidP="00DD615A">
            <w:pPr>
              <w:ind w:left="36" w:firstLine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 xml:space="preserve">Trzeci slot  PCIe 4.0, każdy o szybkości x16 (bus width)* –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</w:tc>
        <w:tc>
          <w:tcPr>
            <w:tcW w:w="1134" w:type="dxa"/>
          </w:tcPr>
          <w:p w14:paraId="09F331D8" w14:textId="77777777" w:rsidR="00356E30" w:rsidRPr="009250A0" w:rsidRDefault="00356E30" w:rsidP="00A963CA">
            <w:pPr>
              <w:pStyle w:val="11"/>
            </w:pPr>
          </w:p>
        </w:tc>
        <w:tc>
          <w:tcPr>
            <w:tcW w:w="1134" w:type="dxa"/>
          </w:tcPr>
          <w:p w14:paraId="51CBDC65" w14:textId="77777777" w:rsidR="00356E30" w:rsidRPr="009250A0" w:rsidRDefault="00356E30" w:rsidP="00A963CA">
            <w:pPr>
              <w:pStyle w:val="11"/>
            </w:pPr>
          </w:p>
        </w:tc>
      </w:tr>
      <w:tr w:rsidR="00480F2B" w:rsidRPr="009250A0" w14:paraId="1F3785F6" w14:textId="77777777" w:rsidTr="00251EBE">
        <w:trPr>
          <w:trHeight w:val="2308"/>
        </w:trPr>
        <w:tc>
          <w:tcPr>
            <w:tcW w:w="2835" w:type="dxa"/>
          </w:tcPr>
          <w:p w14:paraId="3CF25C0B" w14:textId="4520738E" w:rsidR="00480F2B" w:rsidRPr="00A963CA" w:rsidRDefault="00480F2B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lastRenderedPageBreak/>
              <w:t>Kryterium nr 2.</w:t>
            </w:r>
            <w:r w:rsidR="005507D0" w:rsidRPr="00A963CA">
              <w:rPr>
                <w:b/>
                <w:bCs/>
              </w:rPr>
              <w:t>7</w:t>
            </w:r>
          </w:p>
          <w:p w14:paraId="3892843C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67E7C557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418A88C0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514141D9" w14:textId="49ABD2CF" w:rsidR="00480F2B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550F1C44" w14:textId="740D7039" w:rsidR="0061053B" w:rsidRPr="009250A0" w:rsidRDefault="0061053B" w:rsidP="008C2B41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 w:val="0"/>
              </w:rPr>
            </w:pPr>
            <w:r w:rsidRPr="009250A0">
              <w:rPr>
                <w:rFonts w:cstheme="minorHAnsi"/>
                <w:b w:val="0"/>
              </w:rPr>
              <w:t xml:space="preserve">Dyski twarde NVMe podłączone do procesora bez kontrolera RAID* –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  <w:p w14:paraId="4F87FBAC" w14:textId="77777777" w:rsidR="00480F2B" w:rsidRPr="009250A0" w:rsidRDefault="00480F2B" w:rsidP="0061053B">
            <w:pPr>
              <w:ind w:left="0" w:firstLine="0"/>
              <w:rPr>
                <w:rFonts w:cstheme="minorHAnsi"/>
                <w:b w:val="0"/>
                <w:color w:val="000000"/>
              </w:rPr>
            </w:pPr>
          </w:p>
        </w:tc>
        <w:tc>
          <w:tcPr>
            <w:tcW w:w="1134" w:type="dxa"/>
          </w:tcPr>
          <w:p w14:paraId="2ECEC728" w14:textId="77777777" w:rsidR="00480F2B" w:rsidRPr="009250A0" w:rsidRDefault="00480F2B" w:rsidP="00A963CA">
            <w:pPr>
              <w:pStyle w:val="11"/>
            </w:pPr>
          </w:p>
        </w:tc>
        <w:tc>
          <w:tcPr>
            <w:tcW w:w="1134" w:type="dxa"/>
          </w:tcPr>
          <w:p w14:paraId="4DBB22EC" w14:textId="77777777" w:rsidR="00480F2B" w:rsidRPr="009250A0" w:rsidRDefault="00480F2B" w:rsidP="00A963CA">
            <w:pPr>
              <w:pStyle w:val="11"/>
            </w:pPr>
          </w:p>
        </w:tc>
      </w:tr>
      <w:tr w:rsidR="00D6064B" w:rsidRPr="009250A0" w14:paraId="72FBFA55" w14:textId="77777777" w:rsidTr="00251EBE">
        <w:trPr>
          <w:trHeight w:val="2238"/>
        </w:trPr>
        <w:tc>
          <w:tcPr>
            <w:tcW w:w="2835" w:type="dxa"/>
          </w:tcPr>
          <w:p w14:paraId="47BF8351" w14:textId="1CB0E44C" w:rsidR="00D6064B" w:rsidRPr="00A963CA" w:rsidRDefault="00D6064B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2.8</w:t>
            </w:r>
          </w:p>
          <w:p w14:paraId="1991C09C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0796D0DB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3FD70D2B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635D9BA3" w14:textId="5E343E35" w:rsidR="00D6064B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1928A7F7" w14:textId="3CD0446E" w:rsidR="00D6064B" w:rsidRPr="009250A0" w:rsidRDefault="008C2B41" w:rsidP="008C2B41">
            <w:pPr>
              <w:autoSpaceDE w:val="0"/>
              <w:autoSpaceDN w:val="0"/>
              <w:adjustRightInd w:val="0"/>
              <w:ind w:left="36" w:firstLine="0"/>
              <w:rPr>
                <w:rFonts w:cstheme="minorHAnsi"/>
                <w:b w:val="0"/>
              </w:rPr>
            </w:pPr>
            <w:r w:rsidRPr="009250A0">
              <w:rPr>
                <w:rFonts w:cstheme="minorHAnsi"/>
                <w:b w:val="0"/>
              </w:rPr>
              <w:t xml:space="preserve">Możliwość instalacji dodatkowych 5 szt. akceleratorów ( jak w punkcie wyżej) PCIe* -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</w:tc>
        <w:tc>
          <w:tcPr>
            <w:tcW w:w="1134" w:type="dxa"/>
          </w:tcPr>
          <w:p w14:paraId="47C069D9" w14:textId="77777777" w:rsidR="00D6064B" w:rsidRPr="009250A0" w:rsidRDefault="00D6064B" w:rsidP="00A963CA">
            <w:pPr>
              <w:pStyle w:val="11"/>
            </w:pPr>
          </w:p>
        </w:tc>
        <w:tc>
          <w:tcPr>
            <w:tcW w:w="1134" w:type="dxa"/>
          </w:tcPr>
          <w:p w14:paraId="3BA98FBC" w14:textId="77777777" w:rsidR="00D6064B" w:rsidRPr="009250A0" w:rsidRDefault="00D6064B" w:rsidP="00A963CA">
            <w:pPr>
              <w:pStyle w:val="11"/>
            </w:pPr>
          </w:p>
        </w:tc>
      </w:tr>
    </w:tbl>
    <w:p w14:paraId="68AEAE9A" w14:textId="77777777" w:rsidR="00251EBE" w:rsidRDefault="00F05FFF" w:rsidP="00251EB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05FFF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14:paraId="3C01D006" w14:textId="43993C64" w:rsidR="00F05FFF" w:rsidRPr="00F05FFF" w:rsidRDefault="00F05FFF" w:rsidP="00251EB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F05FFF">
        <w:rPr>
          <w:rFonts w:asciiTheme="minorHAnsi" w:hAnsiTheme="minorHAnsi" w:cstheme="minorHAnsi"/>
          <w:b/>
          <w:i/>
          <w:color w:val="FF0000"/>
          <w:sz w:val="22"/>
          <w:szCs w:val="22"/>
        </w:rPr>
        <w:t>Właściwe zaznaczyć znakiem „X”</w:t>
      </w:r>
    </w:p>
    <w:p w14:paraId="0CC6CE6E" w14:textId="5CD940E2" w:rsidR="00521A55" w:rsidRPr="00F05FFF" w:rsidRDefault="00F05FFF" w:rsidP="00521A55">
      <w:pPr>
        <w:pStyle w:val="Nagwek4"/>
      </w:pPr>
      <w:r w:rsidRPr="00F05FFF">
        <w:t>Jeżeli Wykonawca nie dokona odpowiedniego skreślenia Zamawiający uzna, że Wykonawca nie oferuje parametrów jakościowych</w:t>
      </w:r>
      <w:r w:rsidR="000B75E2">
        <w:t>.</w:t>
      </w:r>
    </w:p>
    <w:p w14:paraId="6CA6B012" w14:textId="32A8C01B" w:rsidR="008064B0" w:rsidRPr="000345A4" w:rsidRDefault="0047282A" w:rsidP="00521A55">
      <w:pPr>
        <w:pStyle w:val="Nagwek4"/>
      </w:pPr>
      <w:r w:rsidRPr="000345A4">
        <w:t>Oświadczenia Wykonawcy:</w:t>
      </w:r>
    </w:p>
    <w:p w14:paraId="6F0A1B1D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Zamówienie zostanie zrealizowane w terminie określonym w Specyfikacji Warunków Zamówienia (SWZ) oraz we Wzorze umowy.</w:t>
      </w:r>
    </w:p>
    <w:p w14:paraId="71BF22B7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W cenie naszej oferty zostały uwzględnione wszystkie koszty wykonania zamówienia.</w:t>
      </w:r>
    </w:p>
    <w:p w14:paraId="4CA3B7FF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Zapoznaliśmy się ze Specyfikacją Warunków Zamówienia (SWZ) wraz z załącznikami, w tym ze Wzorem umowy, akceptujemy je i nie wnosimy do nich zastrzeżeń oraz przyjmujemy warunki w nich zawarte.</w:t>
      </w:r>
    </w:p>
    <w:p w14:paraId="3FD692AB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Uważamy się za związanych niniejszą ofertą na okres wskazany w Specyfikacji Warunków Zamówienia (SWZ) w ust. 11.1.</w:t>
      </w:r>
    </w:p>
    <w:p w14:paraId="67551AFD" w14:textId="007A39C7" w:rsidR="00336E1C" w:rsidRPr="009E23B4" w:rsidRDefault="00336E1C" w:rsidP="00521A55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Akceptujemy, iż zapłata za zrealizowanie zamówienie nastąpi na zasadach opisanych we Wzorze umowy.</w:t>
      </w:r>
    </w:p>
    <w:p w14:paraId="6AFF1967" w14:textId="77777777" w:rsidR="009E23B4" w:rsidRPr="009E23B4" w:rsidRDefault="009E23B4" w:rsidP="009E23B4">
      <w:pPr>
        <w:pStyle w:val="Akapitzlist"/>
        <w:widowControl/>
        <w:numPr>
          <w:ilvl w:val="0"/>
          <w:numId w:val="0"/>
        </w:numPr>
        <w:suppressAutoHyphens w:val="0"/>
        <w:spacing w:before="40" w:after="40"/>
        <w:ind w:left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</w:p>
    <w:p w14:paraId="1A76FD08" w14:textId="294F6EA9" w:rsidR="00F01866" w:rsidRPr="000345A4" w:rsidRDefault="00842A7C" w:rsidP="00521A55">
      <w:pPr>
        <w:pStyle w:val="Nagwek4"/>
      </w:pPr>
      <w:r w:rsidRPr="000345A4">
        <w:t xml:space="preserve">Oświadczamy, że </w:t>
      </w:r>
      <w:r w:rsidR="00D536CB" w:rsidRPr="000345A4">
        <w:t>wykonujemy działalność jako</w:t>
      </w:r>
      <w:r w:rsidRPr="000345A4">
        <w:t xml:space="preserve"> (</w:t>
      </w:r>
      <w:r w:rsidR="00F01866" w:rsidRPr="000345A4">
        <w:t>zaznaczyć odpowiednie</w:t>
      </w:r>
      <w:r w:rsidRPr="000345A4"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345A4" w:rsidRPr="000345A4" w14:paraId="2A28A083" w14:textId="77777777" w:rsidTr="00251EBE">
        <w:trPr>
          <w:trHeight w:val="695"/>
        </w:trPr>
        <w:tc>
          <w:tcPr>
            <w:tcW w:w="1838" w:type="dxa"/>
          </w:tcPr>
          <w:p w14:paraId="28C97950" w14:textId="09F97BB1" w:rsidR="000345A4" w:rsidRPr="000345A4" w:rsidRDefault="000345A4" w:rsidP="00521A55">
            <w:pPr>
              <w:pStyle w:val="Nagwek4"/>
            </w:pPr>
            <w:r w:rsidRPr="000345A4">
              <w:t>Zaznaczyć rodzaj działalności</w:t>
            </w:r>
            <w:r w:rsidRPr="000345A4">
              <w:rPr>
                <w:b/>
              </w:rPr>
              <w:t xml:space="preserve"> </w:t>
            </w:r>
          </w:p>
        </w:tc>
        <w:tc>
          <w:tcPr>
            <w:tcW w:w="7898" w:type="dxa"/>
          </w:tcPr>
          <w:p w14:paraId="543FAEFA" w14:textId="430AE388" w:rsidR="000345A4" w:rsidRPr="000345A4" w:rsidRDefault="000345A4" w:rsidP="00521A55">
            <w:pPr>
              <w:pStyle w:val="Nagwek4"/>
            </w:pPr>
            <w:r w:rsidRPr="000345A4">
              <w:t>Rodzaj działalności</w:t>
            </w:r>
          </w:p>
        </w:tc>
      </w:tr>
      <w:tr w:rsidR="000345A4" w:rsidRPr="000345A4" w14:paraId="2D4EFB02" w14:textId="77777777" w:rsidTr="000345A4">
        <w:tc>
          <w:tcPr>
            <w:tcW w:w="1838" w:type="dxa"/>
          </w:tcPr>
          <w:p w14:paraId="73A28672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3D0CC0D8" w14:textId="13C7B505" w:rsidR="000345A4" w:rsidRPr="000345A4" w:rsidRDefault="000345A4" w:rsidP="00521A55">
            <w:pPr>
              <w:pStyle w:val="Nagwek4"/>
            </w:pPr>
            <w:r w:rsidRPr="000345A4"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0345A4" w:rsidRPr="000345A4" w14:paraId="3E8E1471" w14:textId="77777777" w:rsidTr="000345A4">
        <w:tc>
          <w:tcPr>
            <w:tcW w:w="1838" w:type="dxa"/>
          </w:tcPr>
          <w:p w14:paraId="4A003BB7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5FFB9F8" w14:textId="6F7847C5" w:rsidR="000345A4" w:rsidRPr="000345A4" w:rsidRDefault="000345A4" w:rsidP="00521A55">
            <w:pPr>
              <w:pStyle w:val="Nagwek4"/>
            </w:pPr>
            <w:r w:rsidRPr="000345A4"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0345A4" w:rsidRPr="000345A4" w14:paraId="063F7DAD" w14:textId="77777777" w:rsidTr="00A027A6">
        <w:trPr>
          <w:trHeight w:val="1205"/>
        </w:trPr>
        <w:tc>
          <w:tcPr>
            <w:tcW w:w="1838" w:type="dxa"/>
          </w:tcPr>
          <w:p w14:paraId="6BB3197A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50E542C6" w14:textId="7466514A" w:rsidR="000345A4" w:rsidRPr="000345A4" w:rsidRDefault="000345A4" w:rsidP="00521A55">
            <w:pPr>
              <w:pStyle w:val="Nagwek4"/>
            </w:pPr>
            <w:r w:rsidRPr="000345A4">
              <w:t>średnie przedsiębiorstwo</w:t>
            </w:r>
            <w:r w:rsidRPr="000345A4">
              <w:rPr>
                <w:b/>
              </w:rPr>
              <w:t xml:space="preserve"> </w:t>
            </w:r>
            <w:r w:rsidRPr="000345A4"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0345A4" w:rsidRPr="000345A4" w14:paraId="4042DCC5" w14:textId="77777777" w:rsidTr="000345A4">
        <w:tc>
          <w:tcPr>
            <w:tcW w:w="1838" w:type="dxa"/>
          </w:tcPr>
          <w:p w14:paraId="4CC4FDDC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3C4BBA9D" w14:textId="1449867C" w:rsidR="000345A4" w:rsidRPr="000345A4" w:rsidRDefault="000345A4" w:rsidP="00521A55">
            <w:pPr>
              <w:pStyle w:val="Nagwek4"/>
            </w:pPr>
            <w:r w:rsidRPr="000345A4">
              <w:t>jestem dużym przedsiębiorstwem,</w:t>
            </w:r>
          </w:p>
        </w:tc>
      </w:tr>
      <w:tr w:rsidR="000345A4" w:rsidRPr="000345A4" w14:paraId="46EA8E29" w14:textId="77777777" w:rsidTr="000345A4">
        <w:tc>
          <w:tcPr>
            <w:tcW w:w="1838" w:type="dxa"/>
          </w:tcPr>
          <w:p w14:paraId="601C5332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39B09901" w14:textId="63B90D99" w:rsidR="000345A4" w:rsidRPr="000345A4" w:rsidRDefault="000345A4" w:rsidP="00521A55">
            <w:pPr>
              <w:pStyle w:val="Nagwek4"/>
            </w:pPr>
            <w:r w:rsidRPr="000345A4">
              <w:t>prowadzę jednoosobową działalność gospodarczą.</w:t>
            </w:r>
          </w:p>
        </w:tc>
      </w:tr>
    </w:tbl>
    <w:p w14:paraId="2FC8524A" w14:textId="0167C8D5" w:rsidR="00DC4CE5" w:rsidRPr="000345A4" w:rsidRDefault="00C903F9" w:rsidP="00521A55">
      <w:pPr>
        <w:pStyle w:val="Nagwek4"/>
      </w:pPr>
      <w:r w:rsidRPr="000345A4">
        <w:t>Właściwe zaznaczyć znakiem „X”</w:t>
      </w:r>
    </w:p>
    <w:p w14:paraId="0DF0E1BE" w14:textId="0FE866DC" w:rsidR="00963F21" w:rsidRPr="000345A4" w:rsidRDefault="00963F21" w:rsidP="00521A55">
      <w:pPr>
        <w:pStyle w:val="Nagwek4"/>
      </w:pPr>
      <w:r w:rsidRPr="000345A4">
        <w:t>Oświadczamy, że (</w:t>
      </w:r>
      <w:r w:rsidR="00A00062" w:rsidRPr="000345A4">
        <w:t>jeżeli dotyczy</w:t>
      </w:r>
      <w:r w:rsidRPr="000345A4">
        <w:t>):</w:t>
      </w:r>
    </w:p>
    <w:p w14:paraId="3D89FD49" w14:textId="77777777" w:rsidR="00963F21" w:rsidRPr="000345A4" w:rsidRDefault="00963F21" w:rsidP="00251EBE">
      <w:pPr>
        <w:pStyle w:val="Normalny4"/>
        <w:spacing w:before="0" w:after="0"/>
        <w:jc w:val="left"/>
        <w:rPr>
          <w:rFonts w:cstheme="minorHAnsi"/>
        </w:rPr>
      </w:pPr>
      <w:r w:rsidRPr="000345A4">
        <w:rPr>
          <w:rFonts w:cstheme="minorHAnsi"/>
        </w:rPr>
        <w:t>zamierzamy powierzyć realizację zamówienia</w:t>
      </w:r>
      <w:r w:rsidR="008C79F7" w:rsidRPr="000345A4">
        <w:rPr>
          <w:rFonts w:cstheme="minorHAnsi"/>
        </w:rPr>
        <w:t xml:space="preserve"> p</w:t>
      </w:r>
      <w:r w:rsidR="00D536CB" w:rsidRPr="000345A4">
        <w:rPr>
          <w:rFonts w:cstheme="minorHAnsi"/>
        </w:rPr>
        <w:t>odwykonawcom</w:t>
      </w:r>
      <w:r w:rsidR="008C79F7" w:rsidRPr="000345A4">
        <w:rPr>
          <w:rFonts w:cstheme="minorHAnsi"/>
        </w:rPr>
        <w:t xml:space="preserve"> (wypełnić o ile są znani na tym etapie):</w:t>
      </w:r>
    </w:p>
    <w:p w14:paraId="71C69DC7" w14:textId="7DAC7AD5" w:rsidR="008C79F7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lastRenderedPageBreak/>
        <w:t>(1)</w:t>
      </w:r>
      <w:r w:rsidR="00D536CB" w:rsidRPr="000345A4">
        <w:rPr>
          <w:rFonts w:cstheme="minorHAnsi"/>
          <w:color w:val="auto"/>
        </w:rPr>
        <w:t>Nazwa i adres podwykonawcy:</w:t>
      </w:r>
      <w:r w:rsidR="00F749EC" w:rsidRPr="000345A4">
        <w:rPr>
          <w:rFonts w:cstheme="minorHAnsi"/>
          <w:color w:val="auto"/>
        </w:rPr>
        <w:t xml:space="preserve"> </w:t>
      </w:r>
      <w:r w:rsidR="00D536CB" w:rsidRPr="000345A4">
        <w:rPr>
          <w:rFonts w:cstheme="minorHAnsi"/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0345A4" w:rsidRDefault="006D5C06" w:rsidP="00521A55">
      <w:pPr>
        <w:pStyle w:val="Nagwek4"/>
      </w:pPr>
      <w:r w:rsidRPr="000345A4">
        <w:t>Zobowiązania w przypadku przyznania zamówienia:</w:t>
      </w:r>
    </w:p>
    <w:p w14:paraId="64663649" w14:textId="046FAE88" w:rsidR="007C3BC9" w:rsidRPr="000345A4" w:rsidRDefault="006D5C06" w:rsidP="00A963CA">
      <w:pPr>
        <w:pStyle w:val="11"/>
      </w:pPr>
      <w:r w:rsidRPr="000345A4">
        <w:t>Zobowiązujemy się do zawarcia umowy w miejscu i terminie wyznaczonym przez Zamawiającego.</w:t>
      </w:r>
    </w:p>
    <w:p w14:paraId="7F481CAE" w14:textId="77777777" w:rsidR="00F028FB" w:rsidRPr="000345A4" w:rsidRDefault="00F028FB" w:rsidP="00A963CA">
      <w:pPr>
        <w:pStyle w:val="11"/>
      </w:pPr>
      <w:r w:rsidRPr="000345A4">
        <w:t xml:space="preserve">Osobą upoważnioną do kontaktów z Zamawiającym w sprawach dotyczących realizacji umowy </w:t>
      </w:r>
    </w:p>
    <w:p w14:paraId="75B84428" w14:textId="2A202553" w:rsidR="00F028FB" w:rsidRPr="000345A4" w:rsidRDefault="00F028FB" w:rsidP="00A963CA">
      <w:pPr>
        <w:pStyle w:val="11"/>
      </w:pPr>
      <w:r w:rsidRPr="000345A4"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6739F1DA" w:rsidR="00F028FB" w:rsidRPr="000345A4" w:rsidRDefault="00F028FB" w:rsidP="00521A55">
      <w:pPr>
        <w:pStyle w:val="Nagwek4"/>
      </w:pPr>
      <w:r w:rsidRPr="000345A4">
        <w:t>Dotyczy wykonawców wspólnie ubiegających się o udzielenie zamówienia w zakresie warunku (doświadczeni</w:t>
      </w:r>
      <w:r w:rsidR="00B94DE9">
        <w:t>e</w:t>
      </w:r>
      <w:r w:rsidRPr="000345A4">
        <w:t>):</w:t>
      </w:r>
    </w:p>
    <w:p w14:paraId="677FC4FA" w14:textId="6E1E8EC7" w:rsidR="00F028FB" w:rsidRPr="000345A4" w:rsidRDefault="00F028FB" w:rsidP="00CB54F3">
      <w:pPr>
        <w:pStyle w:val="Normalny41"/>
      </w:pPr>
      <w:r w:rsidRPr="000345A4">
        <w:t>Zgodnie z artykułem 117 ust. 4 oświadczam, że roboty/usługi/dostawy zostaną wykonane przez:</w:t>
      </w:r>
    </w:p>
    <w:p w14:paraId="1ACCB638" w14:textId="33A7B598" w:rsidR="00F028FB" w:rsidRPr="000345A4" w:rsidRDefault="00F028FB" w:rsidP="00CB54F3">
      <w:pPr>
        <w:pStyle w:val="Normalny41"/>
      </w:pPr>
      <w:r w:rsidRPr="000345A4">
        <w:t>Wykonawca 1 - ………………………………………………. – zakres - ……………………………………………..</w:t>
      </w:r>
    </w:p>
    <w:p w14:paraId="24EEDE69" w14:textId="55E178DF" w:rsidR="00F028FB" w:rsidRPr="000345A4" w:rsidRDefault="00F028FB" w:rsidP="00CB54F3">
      <w:pPr>
        <w:pStyle w:val="Normalny41"/>
      </w:pPr>
      <w:r w:rsidRPr="000345A4">
        <w:t>Wykonawca 2 - ………………………………………………. – zakres - ……………………………………………..</w:t>
      </w:r>
    </w:p>
    <w:p w14:paraId="7AD72294" w14:textId="47F7E33C" w:rsidR="00F028FB" w:rsidRPr="000345A4" w:rsidRDefault="00F028FB" w:rsidP="00CB54F3">
      <w:pPr>
        <w:pStyle w:val="Normalny41"/>
      </w:pPr>
      <w:r w:rsidRPr="000345A4">
        <w:t>Wykonawca 3 - ………………………………………………. – zakres - ……………………………………………..</w:t>
      </w:r>
    </w:p>
    <w:p w14:paraId="0FA706DE" w14:textId="01E505FC" w:rsidR="00F028FB" w:rsidRPr="000345A4" w:rsidRDefault="00F028FB" w:rsidP="00521A55">
      <w:pPr>
        <w:pStyle w:val="Nagwek4"/>
      </w:pPr>
      <w:r w:rsidRPr="000345A4">
        <w:t>Spis treści:</w:t>
      </w:r>
    </w:p>
    <w:p w14:paraId="4607C5EF" w14:textId="64BBD4E5" w:rsidR="00F028FB" w:rsidRPr="000345A4" w:rsidRDefault="00F028FB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………………………………………………………….,</w:t>
      </w:r>
    </w:p>
    <w:p w14:paraId="51D457E0" w14:textId="1A633B3D" w:rsidR="00F028FB" w:rsidRPr="000345A4" w:rsidRDefault="006047FA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…………………………………………………………..,</w:t>
      </w:r>
    </w:p>
    <w:p w14:paraId="55E3F305" w14:textId="529304EE" w:rsidR="00F028FB" w:rsidRPr="000345A4" w:rsidRDefault="006047FA" w:rsidP="008064B0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</w:t>
      </w:r>
      <w:r w:rsidR="008064B0" w:rsidRPr="000345A4">
        <w:rPr>
          <w:rFonts w:asciiTheme="minorHAnsi" w:hAnsiTheme="minorHAnsi" w:cstheme="minorHAnsi"/>
          <w:b w:val="0"/>
          <w:bCs/>
        </w:rPr>
        <w:t>…</w:t>
      </w:r>
    </w:p>
    <w:p w14:paraId="403D8894" w14:textId="2468512C" w:rsidR="007C3BC9" w:rsidRPr="00832D53" w:rsidRDefault="004B31A2" w:rsidP="00832D53">
      <w:pPr>
        <w:pStyle w:val="NormalnyCzerwony"/>
      </w:pPr>
      <w:r w:rsidRPr="00832D53">
        <w:t>Formularz oferty</w:t>
      </w:r>
      <w:r w:rsidR="00974EE0">
        <w:t>- Załącznik nr 1 do SWZ</w:t>
      </w:r>
      <w:r w:rsidRPr="00832D53">
        <w:t xml:space="preserve"> </w:t>
      </w:r>
      <w:r w:rsidR="007C3BC9" w:rsidRPr="00832D53">
        <w:t>musi być podpisany kwalifikowanym podpisem elektronicznym</w:t>
      </w:r>
      <w:r w:rsidR="00426CEE" w:rsidRPr="00832D53">
        <w:t>.</w:t>
      </w:r>
    </w:p>
    <w:sectPr w:rsidR="007C3BC9" w:rsidRPr="00832D53" w:rsidSect="004A3649">
      <w:pgSz w:w="11906" w:h="16838"/>
      <w:pgMar w:top="28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A233" w14:textId="77777777" w:rsidR="00250C42" w:rsidRDefault="00250C42" w:rsidP="008D58C2">
      <w:pPr>
        <w:spacing w:after="0" w:line="240" w:lineRule="auto"/>
      </w:pPr>
      <w:r>
        <w:separator/>
      </w:r>
    </w:p>
  </w:endnote>
  <w:endnote w:type="continuationSeparator" w:id="0">
    <w:p w14:paraId="2A186AA2" w14:textId="77777777" w:rsidR="00250C42" w:rsidRDefault="00250C4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9869" w14:textId="77777777" w:rsidR="00250C42" w:rsidRDefault="00250C42" w:rsidP="008D58C2">
      <w:pPr>
        <w:spacing w:after="0" w:line="240" w:lineRule="auto"/>
      </w:pPr>
      <w:r>
        <w:separator/>
      </w:r>
    </w:p>
  </w:footnote>
  <w:footnote w:type="continuationSeparator" w:id="0">
    <w:p w14:paraId="551156F1" w14:textId="77777777" w:rsidR="00250C42" w:rsidRDefault="00250C4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C3471D"/>
    <w:multiLevelType w:val="hybridMultilevel"/>
    <w:tmpl w:val="E1A4D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6DDE"/>
    <w:multiLevelType w:val="multilevel"/>
    <w:tmpl w:val="85686B50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0"/>
  </w:num>
  <w:num w:numId="7">
    <w:abstractNumId w:val="5"/>
  </w:num>
  <w:num w:numId="8">
    <w:abstractNumId w:val="14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21"/>
  </w:num>
  <w:num w:numId="17">
    <w:abstractNumId w:val="18"/>
  </w:num>
  <w:num w:numId="18">
    <w:abstractNumId w:val="3"/>
  </w:num>
  <w:num w:numId="19">
    <w:abstractNumId w:val="7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4"/>
  </w:num>
  <w:num w:numId="25">
    <w:abstractNumId w:val="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30FE"/>
    <w:rsid w:val="00016669"/>
    <w:rsid w:val="00027240"/>
    <w:rsid w:val="00031368"/>
    <w:rsid w:val="00032461"/>
    <w:rsid w:val="000345A4"/>
    <w:rsid w:val="00037DF0"/>
    <w:rsid w:val="00053237"/>
    <w:rsid w:val="00055F7A"/>
    <w:rsid w:val="00073EF9"/>
    <w:rsid w:val="000B75E2"/>
    <w:rsid w:val="000D36CF"/>
    <w:rsid w:val="000F0AD8"/>
    <w:rsid w:val="0010721D"/>
    <w:rsid w:val="00113EA6"/>
    <w:rsid w:val="0011461F"/>
    <w:rsid w:val="00130FEC"/>
    <w:rsid w:val="0016185D"/>
    <w:rsid w:val="001621C2"/>
    <w:rsid w:val="0017501B"/>
    <w:rsid w:val="00177940"/>
    <w:rsid w:val="0019559A"/>
    <w:rsid w:val="0019596F"/>
    <w:rsid w:val="00197B6D"/>
    <w:rsid w:val="001C1CD6"/>
    <w:rsid w:val="001D6055"/>
    <w:rsid w:val="001F5C5C"/>
    <w:rsid w:val="0020622D"/>
    <w:rsid w:val="002117E9"/>
    <w:rsid w:val="002139F3"/>
    <w:rsid w:val="00214416"/>
    <w:rsid w:val="00220B3B"/>
    <w:rsid w:val="00250C42"/>
    <w:rsid w:val="00251EBE"/>
    <w:rsid w:val="00260153"/>
    <w:rsid w:val="00262949"/>
    <w:rsid w:val="002875E1"/>
    <w:rsid w:val="002A01CC"/>
    <w:rsid w:val="002C3B4B"/>
    <w:rsid w:val="002D1711"/>
    <w:rsid w:val="002D753E"/>
    <w:rsid w:val="002F048C"/>
    <w:rsid w:val="00304F62"/>
    <w:rsid w:val="003170A8"/>
    <w:rsid w:val="00327C4C"/>
    <w:rsid w:val="0033121F"/>
    <w:rsid w:val="00336E1C"/>
    <w:rsid w:val="00343B79"/>
    <w:rsid w:val="003568C4"/>
    <w:rsid w:val="00356E30"/>
    <w:rsid w:val="00360B56"/>
    <w:rsid w:val="0036285E"/>
    <w:rsid w:val="00385AA3"/>
    <w:rsid w:val="00396235"/>
    <w:rsid w:val="003A6A69"/>
    <w:rsid w:val="003B1774"/>
    <w:rsid w:val="003C0C6A"/>
    <w:rsid w:val="003C0E18"/>
    <w:rsid w:val="003D6B97"/>
    <w:rsid w:val="003F3229"/>
    <w:rsid w:val="003F43E9"/>
    <w:rsid w:val="003F7291"/>
    <w:rsid w:val="004059D3"/>
    <w:rsid w:val="00417A13"/>
    <w:rsid w:val="00426CEE"/>
    <w:rsid w:val="0042736D"/>
    <w:rsid w:val="00435557"/>
    <w:rsid w:val="00441724"/>
    <w:rsid w:val="0044354E"/>
    <w:rsid w:val="00453637"/>
    <w:rsid w:val="00462F80"/>
    <w:rsid w:val="004663F3"/>
    <w:rsid w:val="00466B15"/>
    <w:rsid w:val="0047282A"/>
    <w:rsid w:val="00480F2B"/>
    <w:rsid w:val="004831DD"/>
    <w:rsid w:val="004A3649"/>
    <w:rsid w:val="004B2E1E"/>
    <w:rsid w:val="004B31A2"/>
    <w:rsid w:val="004C0701"/>
    <w:rsid w:val="004D79E0"/>
    <w:rsid w:val="00501846"/>
    <w:rsid w:val="00503336"/>
    <w:rsid w:val="005203D2"/>
    <w:rsid w:val="00521A55"/>
    <w:rsid w:val="005273B1"/>
    <w:rsid w:val="00534055"/>
    <w:rsid w:val="005507D0"/>
    <w:rsid w:val="00556790"/>
    <w:rsid w:val="005738BE"/>
    <w:rsid w:val="005750EF"/>
    <w:rsid w:val="005A1A83"/>
    <w:rsid w:val="005A5BB6"/>
    <w:rsid w:val="005B0375"/>
    <w:rsid w:val="005B13F7"/>
    <w:rsid w:val="005B2DC0"/>
    <w:rsid w:val="005C5C82"/>
    <w:rsid w:val="005D535D"/>
    <w:rsid w:val="005E2A12"/>
    <w:rsid w:val="005F468A"/>
    <w:rsid w:val="005F6941"/>
    <w:rsid w:val="006047FA"/>
    <w:rsid w:val="0061053B"/>
    <w:rsid w:val="00611948"/>
    <w:rsid w:val="00625A90"/>
    <w:rsid w:val="006355C3"/>
    <w:rsid w:val="0064492E"/>
    <w:rsid w:val="00660309"/>
    <w:rsid w:val="00672818"/>
    <w:rsid w:val="00677DBE"/>
    <w:rsid w:val="00683257"/>
    <w:rsid w:val="006847B5"/>
    <w:rsid w:val="00685A26"/>
    <w:rsid w:val="006A4401"/>
    <w:rsid w:val="006B4DFC"/>
    <w:rsid w:val="006C333A"/>
    <w:rsid w:val="006D3676"/>
    <w:rsid w:val="006D5C06"/>
    <w:rsid w:val="006E1167"/>
    <w:rsid w:val="006E489D"/>
    <w:rsid w:val="00726BFC"/>
    <w:rsid w:val="00734ED0"/>
    <w:rsid w:val="00745925"/>
    <w:rsid w:val="0074726C"/>
    <w:rsid w:val="0077041F"/>
    <w:rsid w:val="007745D9"/>
    <w:rsid w:val="00781485"/>
    <w:rsid w:val="00781EE1"/>
    <w:rsid w:val="007B0616"/>
    <w:rsid w:val="007C3BC9"/>
    <w:rsid w:val="007C7835"/>
    <w:rsid w:val="007D0896"/>
    <w:rsid w:val="007D207F"/>
    <w:rsid w:val="007F3DFA"/>
    <w:rsid w:val="008064B0"/>
    <w:rsid w:val="00811A33"/>
    <w:rsid w:val="008121E1"/>
    <w:rsid w:val="00823BAF"/>
    <w:rsid w:val="00823CD8"/>
    <w:rsid w:val="00830E0F"/>
    <w:rsid w:val="00831AB2"/>
    <w:rsid w:val="00832D53"/>
    <w:rsid w:val="00842A7C"/>
    <w:rsid w:val="0084300E"/>
    <w:rsid w:val="00844F66"/>
    <w:rsid w:val="00862FEE"/>
    <w:rsid w:val="00896632"/>
    <w:rsid w:val="008B30B3"/>
    <w:rsid w:val="008B56F2"/>
    <w:rsid w:val="008B6978"/>
    <w:rsid w:val="008C2B41"/>
    <w:rsid w:val="008C79F7"/>
    <w:rsid w:val="008D58C2"/>
    <w:rsid w:val="008F0AA8"/>
    <w:rsid w:val="00903060"/>
    <w:rsid w:val="009136F7"/>
    <w:rsid w:val="009250A0"/>
    <w:rsid w:val="00931651"/>
    <w:rsid w:val="00943306"/>
    <w:rsid w:val="0094480B"/>
    <w:rsid w:val="00963892"/>
    <w:rsid w:val="00963F21"/>
    <w:rsid w:val="00967445"/>
    <w:rsid w:val="00974EE0"/>
    <w:rsid w:val="009751FF"/>
    <w:rsid w:val="00975315"/>
    <w:rsid w:val="009A28E3"/>
    <w:rsid w:val="009A5AAD"/>
    <w:rsid w:val="009A5D2C"/>
    <w:rsid w:val="009B2153"/>
    <w:rsid w:val="009E23B4"/>
    <w:rsid w:val="009E608D"/>
    <w:rsid w:val="009E616D"/>
    <w:rsid w:val="009F195B"/>
    <w:rsid w:val="009F2644"/>
    <w:rsid w:val="009F394B"/>
    <w:rsid w:val="009F3FFE"/>
    <w:rsid w:val="00A00062"/>
    <w:rsid w:val="00A027A6"/>
    <w:rsid w:val="00A0340C"/>
    <w:rsid w:val="00A134F7"/>
    <w:rsid w:val="00A31353"/>
    <w:rsid w:val="00A35758"/>
    <w:rsid w:val="00A42940"/>
    <w:rsid w:val="00A56318"/>
    <w:rsid w:val="00A60EB3"/>
    <w:rsid w:val="00A61E63"/>
    <w:rsid w:val="00A641E1"/>
    <w:rsid w:val="00A65D29"/>
    <w:rsid w:val="00A76F8E"/>
    <w:rsid w:val="00A86E07"/>
    <w:rsid w:val="00A951B1"/>
    <w:rsid w:val="00A963CA"/>
    <w:rsid w:val="00AA4ADA"/>
    <w:rsid w:val="00AB0EC0"/>
    <w:rsid w:val="00AC0F4F"/>
    <w:rsid w:val="00AD0E30"/>
    <w:rsid w:val="00AF22A3"/>
    <w:rsid w:val="00B1633A"/>
    <w:rsid w:val="00B5164F"/>
    <w:rsid w:val="00B55EFD"/>
    <w:rsid w:val="00B66E10"/>
    <w:rsid w:val="00B67DD7"/>
    <w:rsid w:val="00B772FF"/>
    <w:rsid w:val="00B84E6F"/>
    <w:rsid w:val="00B94DE9"/>
    <w:rsid w:val="00B9783E"/>
    <w:rsid w:val="00BB64AA"/>
    <w:rsid w:val="00BE226C"/>
    <w:rsid w:val="00BF6877"/>
    <w:rsid w:val="00C00122"/>
    <w:rsid w:val="00C42C79"/>
    <w:rsid w:val="00C62520"/>
    <w:rsid w:val="00C62522"/>
    <w:rsid w:val="00C822AE"/>
    <w:rsid w:val="00C84C21"/>
    <w:rsid w:val="00C850EB"/>
    <w:rsid w:val="00C903F9"/>
    <w:rsid w:val="00CA7A98"/>
    <w:rsid w:val="00CA7E6C"/>
    <w:rsid w:val="00CB402B"/>
    <w:rsid w:val="00CB54F3"/>
    <w:rsid w:val="00CB5D91"/>
    <w:rsid w:val="00CD0180"/>
    <w:rsid w:val="00CD01E5"/>
    <w:rsid w:val="00CD118D"/>
    <w:rsid w:val="00CE6C9B"/>
    <w:rsid w:val="00D1321B"/>
    <w:rsid w:val="00D1704B"/>
    <w:rsid w:val="00D323DA"/>
    <w:rsid w:val="00D41C8B"/>
    <w:rsid w:val="00D42325"/>
    <w:rsid w:val="00D52C5E"/>
    <w:rsid w:val="00D536CB"/>
    <w:rsid w:val="00D55896"/>
    <w:rsid w:val="00D6064B"/>
    <w:rsid w:val="00D6374F"/>
    <w:rsid w:val="00D81C2B"/>
    <w:rsid w:val="00D92F7B"/>
    <w:rsid w:val="00D938F5"/>
    <w:rsid w:val="00DC30C7"/>
    <w:rsid w:val="00DC4CE5"/>
    <w:rsid w:val="00DC6B0F"/>
    <w:rsid w:val="00DD4CFC"/>
    <w:rsid w:val="00DD615A"/>
    <w:rsid w:val="00DE121F"/>
    <w:rsid w:val="00DE2593"/>
    <w:rsid w:val="00E07110"/>
    <w:rsid w:val="00E15FB7"/>
    <w:rsid w:val="00E33680"/>
    <w:rsid w:val="00E34593"/>
    <w:rsid w:val="00E419CC"/>
    <w:rsid w:val="00E54EA9"/>
    <w:rsid w:val="00E63A21"/>
    <w:rsid w:val="00E813E4"/>
    <w:rsid w:val="00E823F8"/>
    <w:rsid w:val="00EA3341"/>
    <w:rsid w:val="00EA4DBD"/>
    <w:rsid w:val="00EA6BB9"/>
    <w:rsid w:val="00EC0ADC"/>
    <w:rsid w:val="00EC68B8"/>
    <w:rsid w:val="00ED4071"/>
    <w:rsid w:val="00ED4AC4"/>
    <w:rsid w:val="00EF3176"/>
    <w:rsid w:val="00EF660F"/>
    <w:rsid w:val="00F01866"/>
    <w:rsid w:val="00F019C0"/>
    <w:rsid w:val="00F028FB"/>
    <w:rsid w:val="00F04661"/>
    <w:rsid w:val="00F0584D"/>
    <w:rsid w:val="00F05FFF"/>
    <w:rsid w:val="00F224A9"/>
    <w:rsid w:val="00F224B2"/>
    <w:rsid w:val="00F2754B"/>
    <w:rsid w:val="00F338D8"/>
    <w:rsid w:val="00F41841"/>
    <w:rsid w:val="00F60410"/>
    <w:rsid w:val="00F6061B"/>
    <w:rsid w:val="00F749EC"/>
    <w:rsid w:val="00F9545B"/>
    <w:rsid w:val="00FA4BFC"/>
    <w:rsid w:val="00FB0DC6"/>
    <w:rsid w:val="00FB480C"/>
    <w:rsid w:val="00FB736F"/>
    <w:rsid w:val="00FC10FF"/>
    <w:rsid w:val="00FE7DD6"/>
    <w:rsid w:val="00FF20CF"/>
    <w:rsid w:val="00FF3BC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99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31368"/>
    <w:pPr>
      <w:spacing w:before="240"/>
      <w:ind w:left="0"/>
    </w:pPr>
    <w:rPr>
      <w:rFonts w:asciiTheme="minorHAnsi" w:hAnsiTheme="minorHAnsi"/>
      <w:bCs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31368"/>
    <w:rPr>
      <w:rFonts w:ascii="Calibri" w:hAnsi="Calibri"/>
      <w:b/>
      <w:bCs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 w:val="0"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B54F3"/>
    <w:pPr>
      <w:tabs>
        <w:tab w:val="clear" w:pos="284"/>
        <w:tab w:val="left" w:pos="0"/>
      </w:tabs>
      <w:spacing w:after="0"/>
      <w:jc w:val="left"/>
    </w:pPr>
    <w:rPr>
      <w:b w:val="0"/>
      <w:bCs w:val="0"/>
    </w:rPr>
  </w:style>
  <w:style w:type="paragraph" w:customStyle="1" w:styleId="11">
    <w:name w:val="1_1_"/>
    <w:basedOn w:val="Akapitzlist"/>
    <w:link w:val="11Znak"/>
    <w:autoRedefine/>
    <w:qFormat/>
    <w:rsid w:val="00A963CA"/>
    <w:pPr>
      <w:numPr>
        <w:numId w:val="0"/>
      </w:numPr>
      <w:spacing w:before="0" w:after="160" w:line="240" w:lineRule="auto"/>
    </w:pPr>
    <w:rPr>
      <w:rFonts w:cstheme="minorHAnsi"/>
      <w:b w:val="0"/>
      <w:color w:val="000000"/>
    </w:rPr>
  </w:style>
  <w:style w:type="character" w:customStyle="1" w:styleId="Normalny41Znak">
    <w:name w:val="Normalny 4.1 Znak"/>
    <w:basedOn w:val="Normalny4Znak"/>
    <w:link w:val="Normalny41"/>
    <w:rsid w:val="00CB54F3"/>
    <w:rPr>
      <w:rFonts w:ascii="Calibri" w:hAnsi="Calibri"/>
      <w:b w:val="0"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A963CA"/>
    <w:rPr>
      <w:rFonts w:ascii="Calibri" w:eastAsia="Calibri" w:hAnsi="Calibri" w:cstheme="minorHAnsi"/>
      <w:b w:val="0"/>
      <w:color w:val="00000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21A55"/>
    <w:pPr>
      <w:numPr>
        <w:numId w:val="0"/>
      </w:numPr>
      <w:spacing w:before="0" w:after="160" w:line="276" w:lineRule="auto"/>
      <w:jc w:val="both"/>
      <w:outlineLvl w:val="3"/>
    </w:pPr>
    <w:rPr>
      <w:b w:val="0"/>
      <w:bCs/>
      <w:color w:val="000000" w:themeColor="text1"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/>
      <w:bCs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21A55"/>
    <w:rPr>
      <w:rFonts w:ascii="Calibri" w:eastAsia="Calibri" w:hAnsi="Calibri" w:cs="Times New Roman"/>
      <w:b w:val="0"/>
      <w:bCs/>
      <w:color w:val="000000" w:themeColor="text1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32D53"/>
    <w:pPr>
      <w:tabs>
        <w:tab w:val="left" w:pos="5400"/>
      </w:tabs>
      <w:spacing w:before="600"/>
      <w:ind w:left="0" w:firstLine="0"/>
    </w:pPr>
    <w:rPr>
      <w:rFonts w:asciiTheme="minorHAnsi" w:hAnsiTheme="minorHAnsi" w:cstheme="minorHAnsi"/>
      <w:color w:val="C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832D53"/>
    <w:rPr>
      <w:rFonts w:cstheme="minorHAnsi"/>
      <w:b/>
      <w:color w:val="C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AB0EC0"/>
    <w:pPr>
      <w:keepNext w:val="0"/>
      <w:keepLines w:val="0"/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03060"/>
  </w:style>
  <w:style w:type="paragraph" w:customStyle="1" w:styleId="Tekstpogrubiony">
    <w:name w:val="Tekst pogrubiony"/>
    <w:basedOn w:val="pkt"/>
    <w:link w:val="TekstpogrubionyZnak"/>
    <w:qFormat/>
    <w:rsid w:val="00DC30C7"/>
    <w:pPr>
      <w:numPr>
        <w:ilvl w:val="0"/>
      </w:numPr>
      <w:tabs>
        <w:tab w:val="num" w:pos="6480"/>
      </w:tabs>
      <w:spacing w:before="0" w:after="0" w:line="271" w:lineRule="auto"/>
      <w:ind w:left="6480" w:hanging="360"/>
      <w:jc w:val="left"/>
    </w:pPr>
    <w:rPr>
      <w:rFonts w:asciiTheme="minorHAnsi" w:hAnsiTheme="minorHAnsi" w:cstheme="minorHAnsi"/>
      <w:b/>
      <w:sz w:val="22"/>
      <w:szCs w:val="22"/>
    </w:rPr>
  </w:style>
  <w:style w:type="character" w:customStyle="1" w:styleId="TekstpogrubionyZnak">
    <w:name w:val="Tekst pogrubiony Znak"/>
    <w:basedOn w:val="Domylnaczcionkaakapitu"/>
    <w:link w:val="Tekstpogrubiony"/>
    <w:rsid w:val="00DC30C7"/>
    <w:rPr>
      <w:rFonts w:eastAsia="Times New Roman" w:cstheme="minorHAnsi"/>
      <w:b/>
      <w:lang w:eastAsia="pl-PL"/>
    </w:rPr>
  </w:style>
  <w:style w:type="paragraph" w:customStyle="1" w:styleId="Default">
    <w:name w:val="Default"/>
    <w:qFormat/>
    <w:rsid w:val="00A61E63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21</cp:revision>
  <dcterms:created xsi:type="dcterms:W3CDTF">2024-03-15T11:07:00Z</dcterms:created>
  <dcterms:modified xsi:type="dcterms:W3CDTF">2024-04-10T12:37:00Z</dcterms:modified>
</cp:coreProperties>
</file>