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AD17" w14:textId="77777777" w:rsidR="006F1872" w:rsidRDefault="006F1872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44DF5AF8" w:rsidR="00961B9B" w:rsidRPr="007E7CA0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D0A8B">
        <w:rPr>
          <w:rFonts w:cs="Calibri"/>
        </w:rPr>
        <w:t>GUM202</w:t>
      </w:r>
      <w:r w:rsidR="00ED16DC">
        <w:rPr>
          <w:rFonts w:cs="Calibri"/>
        </w:rPr>
        <w:t>4</w:t>
      </w:r>
      <w:r w:rsidRPr="00ED0A8B">
        <w:rPr>
          <w:rFonts w:cs="Calibri"/>
        </w:rPr>
        <w:t>ZP00</w:t>
      </w:r>
      <w:r w:rsidR="004167BB">
        <w:rPr>
          <w:rFonts w:cs="Calibri"/>
        </w:rPr>
        <w:t>10</w:t>
      </w:r>
      <w:r w:rsidR="00961B9B" w:rsidRPr="00ED0A8B">
        <w:rPr>
          <w:rFonts w:cs="Calibri"/>
        </w:rPr>
        <w:t xml:space="preserve">  </w:t>
      </w:r>
      <w:r w:rsidR="00950648" w:rsidRPr="00ED0A8B">
        <w:rPr>
          <w:rFonts w:cs="Calibri"/>
        </w:rPr>
        <w:t xml:space="preserve">                                                                                            </w:t>
      </w:r>
      <w:r w:rsidR="003C7C0A" w:rsidRPr="00ED0A8B">
        <w:rPr>
          <w:rFonts w:cs="Calibri"/>
        </w:rPr>
        <w:t xml:space="preserve">      </w:t>
      </w:r>
      <w:r w:rsidR="00950648" w:rsidRPr="00ED0A8B">
        <w:rPr>
          <w:rFonts w:cs="Calibri"/>
        </w:rPr>
        <w:t xml:space="preserve">Gdańsk, dnia </w:t>
      </w:r>
      <w:r w:rsidR="006C4E94">
        <w:rPr>
          <w:rFonts w:cs="Calibri"/>
        </w:rPr>
        <w:t>01</w:t>
      </w:r>
      <w:r w:rsidR="00ED16DC">
        <w:rPr>
          <w:rFonts w:cs="Calibri"/>
        </w:rPr>
        <w:t>.0</w:t>
      </w:r>
      <w:r w:rsidR="006C4E94">
        <w:rPr>
          <w:rFonts w:cs="Calibri"/>
        </w:rPr>
        <w:t>3</w:t>
      </w:r>
      <w:r w:rsidR="00ED16DC">
        <w:rPr>
          <w:rFonts w:cs="Calibri"/>
        </w:rPr>
        <w:t>.2024r.</w:t>
      </w:r>
    </w:p>
    <w:p w14:paraId="1A0CB291" w14:textId="6FFEB35E" w:rsidR="00EB3405" w:rsidRDefault="00EB3405" w:rsidP="00EB3405">
      <w:pPr>
        <w:widowControl w:val="0"/>
        <w:autoSpaceDE w:val="0"/>
        <w:autoSpaceDN w:val="0"/>
        <w:adjustRightInd w:val="0"/>
        <w:spacing w:line="288" w:lineRule="auto"/>
        <w:rPr>
          <w:rFonts w:cs="Calibri"/>
          <w:b/>
        </w:rPr>
      </w:pPr>
    </w:p>
    <w:p w14:paraId="5055CD8E" w14:textId="3C8D76A0" w:rsidR="0040725F" w:rsidRPr="00ED0A8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ED0A8B">
        <w:rPr>
          <w:rFonts w:cs="Calibri"/>
          <w:b/>
        </w:rPr>
        <w:t>Do uczestników postępowania</w:t>
      </w:r>
    </w:p>
    <w:p w14:paraId="3A3778D1" w14:textId="4734006E" w:rsidR="007E7CA0" w:rsidRPr="007E7CA0" w:rsidRDefault="007E7CA0" w:rsidP="00EB3405">
      <w:pPr>
        <w:pStyle w:val="Nagwek"/>
        <w:spacing w:after="60" w:line="288" w:lineRule="auto"/>
        <w:jc w:val="both"/>
        <w:rPr>
          <w:rFonts w:cs="Calibri"/>
        </w:rPr>
      </w:pPr>
      <w:r>
        <w:rPr>
          <w:rFonts w:eastAsia="Calibri" w:cs="Calibri"/>
          <w:lang w:eastAsia="en-US"/>
        </w:rPr>
        <w:t>Dotyczy</w:t>
      </w:r>
      <w:r w:rsidR="005417D4" w:rsidRPr="00ED0A8B">
        <w:rPr>
          <w:rFonts w:eastAsia="Calibri" w:cs="Calibri"/>
          <w:lang w:eastAsia="en-US"/>
        </w:rPr>
        <w:t xml:space="preserve"> </w:t>
      </w:r>
      <w:r w:rsidR="005417D4" w:rsidRPr="007E7CA0">
        <w:rPr>
          <w:rFonts w:eastAsia="Calibri" w:cs="Calibri"/>
          <w:iCs/>
          <w:lang w:eastAsia="en-US"/>
        </w:rPr>
        <w:t xml:space="preserve">postępowania </w:t>
      </w:r>
      <w:r w:rsidR="00961B9B" w:rsidRPr="007E7CA0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7E7CA0">
        <w:rPr>
          <w:rFonts w:eastAsia="Calibri" w:cs="Calibri"/>
          <w:iCs/>
          <w:lang w:eastAsia="en-US"/>
        </w:rPr>
        <w:t xml:space="preserve">prowadzonego </w:t>
      </w:r>
      <w:r w:rsidR="003A66BE" w:rsidRPr="007E7CA0">
        <w:rPr>
          <w:rFonts w:eastAsia="Calibri" w:cs="Calibri"/>
          <w:iCs/>
          <w:lang w:eastAsia="en-US"/>
        </w:rPr>
        <w:t xml:space="preserve">w trybie przetargu nieograniczonego na </w:t>
      </w:r>
      <w:r w:rsidRPr="007E7CA0">
        <w:rPr>
          <w:rFonts w:cs="Calibri"/>
        </w:rPr>
        <w:t>świadczenie kompleksowej obsługi wyjazdów krajowych i zagranicznych dla pracowników Gdańskiego Uniwersytetu Medycznego przy pomocy platformy internetowej</w:t>
      </w:r>
      <w:r>
        <w:rPr>
          <w:rFonts w:cs="Calibri"/>
        </w:rPr>
        <w:t>.</w:t>
      </w:r>
    </w:p>
    <w:p w14:paraId="63B945C7" w14:textId="1B95ACB0" w:rsidR="003A66BE" w:rsidRPr="00ED0A8B" w:rsidRDefault="003A66BE" w:rsidP="00EB3405">
      <w:pPr>
        <w:tabs>
          <w:tab w:val="left" w:pos="426"/>
        </w:tabs>
        <w:autoSpaceDE w:val="0"/>
        <w:autoSpaceDN w:val="0"/>
        <w:adjustRightInd w:val="0"/>
        <w:spacing w:after="60" w:line="288" w:lineRule="auto"/>
        <w:jc w:val="both"/>
        <w:rPr>
          <w:rFonts w:cs="Calibri"/>
        </w:rPr>
      </w:pPr>
    </w:p>
    <w:p w14:paraId="6BDB4A13" w14:textId="792B73C1" w:rsidR="00F9115D" w:rsidRPr="00ED0A8B" w:rsidRDefault="00950648" w:rsidP="00EB3405">
      <w:pPr>
        <w:spacing w:after="60" w:line="288" w:lineRule="auto"/>
        <w:jc w:val="both"/>
        <w:rPr>
          <w:rFonts w:cs="Calibri"/>
        </w:rPr>
      </w:pPr>
      <w:r w:rsidRPr="00ED0A8B">
        <w:rPr>
          <w:rFonts w:cs="Calibri"/>
        </w:rPr>
        <w:t xml:space="preserve">Gdański Uniwersytet Medyczny jako Zamawiający zawiadamia, iż na zgłoszone pisemnie pytania udziela odpowiedzi w oparciu o art. </w:t>
      </w:r>
      <w:r w:rsidR="003A66BE" w:rsidRPr="00ED0A8B">
        <w:rPr>
          <w:rFonts w:cs="Calibri"/>
        </w:rPr>
        <w:t>135</w:t>
      </w:r>
      <w:r w:rsidRPr="00ED0A8B">
        <w:rPr>
          <w:rFonts w:cs="Calibri"/>
        </w:rPr>
        <w:t xml:space="preserve"> ust. 2 ustawy z dnia 11 września 2019r. - Prawo zamówień publicznych </w:t>
      </w:r>
      <w:r w:rsidRPr="00ED0A8B">
        <w:rPr>
          <w:rFonts w:cs="Calibri"/>
          <w:kern w:val="2"/>
        </w:rPr>
        <w:t xml:space="preserve"> </w:t>
      </w:r>
      <w:r w:rsidRPr="00ED0A8B">
        <w:rPr>
          <w:rFonts w:cs="Calibri"/>
        </w:rPr>
        <w:t>jak niżej:</w:t>
      </w:r>
      <w:r w:rsidR="0072437B" w:rsidRPr="00ED0A8B">
        <w:rPr>
          <w:rFonts w:cs="Calibri"/>
        </w:rPr>
        <w:t xml:space="preserve"> </w:t>
      </w:r>
    </w:p>
    <w:p w14:paraId="5A64194A" w14:textId="77777777" w:rsidR="008D0BF9" w:rsidRPr="008D0BF9" w:rsidRDefault="00950648" w:rsidP="00EB3405">
      <w:pPr>
        <w:autoSpaceDE w:val="0"/>
        <w:autoSpaceDN w:val="0"/>
        <w:adjustRightInd w:val="0"/>
        <w:spacing w:after="60" w:line="288" w:lineRule="auto"/>
        <w:jc w:val="both"/>
        <w:rPr>
          <w:rFonts w:cs="Calibri"/>
        </w:rPr>
      </w:pPr>
      <w:r w:rsidRPr="00ED0A8B">
        <w:rPr>
          <w:rFonts w:cs="Calibri"/>
          <w:b/>
        </w:rPr>
        <w:t xml:space="preserve">Pytanie 1 </w:t>
      </w:r>
      <w:r w:rsidR="009B3677">
        <w:rPr>
          <w:rFonts w:cs="Calibri"/>
          <w:b/>
        </w:rPr>
        <w:t>–</w:t>
      </w:r>
      <w:r w:rsidR="003A66BE" w:rsidRPr="00ED0A8B">
        <w:rPr>
          <w:rFonts w:cs="Calibri"/>
        </w:rPr>
        <w:t xml:space="preserve"> </w:t>
      </w:r>
      <w:r w:rsidR="008D0BF9" w:rsidRPr="008D0BF9">
        <w:rPr>
          <w:rFonts w:cs="Calibri"/>
        </w:rPr>
        <w:t>Czy Zmawiający dopuszcza aby rezerwacje autokarowe tylko przez offline?</w:t>
      </w:r>
    </w:p>
    <w:p w14:paraId="4D2B0BDE" w14:textId="77777777" w:rsidR="008D0BF9" w:rsidRPr="008D0BF9" w:rsidRDefault="008D0BF9" w:rsidP="00EB3405">
      <w:pPr>
        <w:autoSpaceDE w:val="0"/>
        <w:autoSpaceDN w:val="0"/>
        <w:adjustRightInd w:val="0"/>
        <w:spacing w:after="60" w:line="288" w:lineRule="auto"/>
        <w:jc w:val="both"/>
        <w:rPr>
          <w:rFonts w:cs="Calibri"/>
        </w:rPr>
      </w:pPr>
      <w:r w:rsidRPr="008D0BF9">
        <w:rPr>
          <w:rFonts w:cs="Calibri"/>
        </w:rPr>
        <w:t>Czy jeśli platforma online nie ma takiej funkcjonalności to Wykonawca zostanie automatycznie</w:t>
      </w:r>
    </w:p>
    <w:p w14:paraId="570A77D8" w14:textId="6574E3E2" w:rsidR="003A66BE" w:rsidRPr="008D0BF9" w:rsidRDefault="008D0BF9" w:rsidP="00EB3405">
      <w:pPr>
        <w:autoSpaceDE w:val="0"/>
        <w:autoSpaceDN w:val="0"/>
        <w:adjustRightInd w:val="0"/>
        <w:spacing w:after="60" w:line="288" w:lineRule="auto"/>
        <w:jc w:val="both"/>
        <w:rPr>
          <w:rFonts w:cs="Calibri"/>
        </w:rPr>
      </w:pPr>
      <w:r w:rsidRPr="008D0BF9">
        <w:rPr>
          <w:rFonts w:cs="Calibri"/>
        </w:rPr>
        <w:t>wykluczony z postepowania?</w:t>
      </w:r>
    </w:p>
    <w:p w14:paraId="57DFF30B" w14:textId="2638D0BE" w:rsidR="00ED16DC" w:rsidRDefault="003A66BE" w:rsidP="00EB3405">
      <w:pPr>
        <w:spacing w:after="60" w:line="288" w:lineRule="auto"/>
        <w:jc w:val="both"/>
        <w:rPr>
          <w:rFonts w:eastAsia="Calibri" w:cs="Calibri"/>
          <w:color w:val="000000"/>
          <w:lang w:eastAsia="en-US"/>
        </w:rPr>
      </w:pPr>
      <w:bookmarkStart w:id="0" w:name="_Hlk127355537"/>
      <w:r w:rsidRPr="00ED0A8B">
        <w:rPr>
          <w:rFonts w:cs="Calibri"/>
          <w:b/>
          <w:iCs/>
        </w:rPr>
        <w:t xml:space="preserve">Odpowiedź: </w:t>
      </w:r>
      <w:bookmarkEnd w:id="0"/>
      <w:r w:rsidR="008D0BF9" w:rsidRPr="008D0BF9">
        <w:rPr>
          <w:rFonts w:cs="Calibri"/>
          <w:iCs/>
        </w:rPr>
        <w:t xml:space="preserve">Zamawiający podtrzymuje zapisy SWZ. Zakres wymaganych usług został wskazany w formularzu cenowym. W przypadku </w:t>
      </w:r>
      <w:r w:rsidR="008D0BF9">
        <w:rPr>
          <w:rFonts w:cs="Calibri"/>
          <w:iCs/>
        </w:rPr>
        <w:t>n</w:t>
      </w:r>
      <w:r w:rsidR="008D0BF9" w:rsidRPr="008D0BF9">
        <w:rPr>
          <w:rFonts w:cs="Calibri"/>
          <w:iCs/>
        </w:rPr>
        <w:t>ie dokonania wyceny wystawie</w:t>
      </w:r>
      <w:r w:rsidR="008D0BF9">
        <w:rPr>
          <w:rFonts w:cs="Calibri"/>
          <w:iCs/>
        </w:rPr>
        <w:t>nia bi</w:t>
      </w:r>
      <w:r w:rsidR="008D0BF9" w:rsidRPr="008D0BF9">
        <w:rPr>
          <w:rFonts w:cs="Calibri"/>
          <w:iCs/>
        </w:rPr>
        <w:t>le</w:t>
      </w:r>
      <w:r w:rsidR="008D0BF9">
        <w:rPr>
          <w:rFonts w:cs="Calibri"/>
          <w:iCs/>
        </w:rPr>
        <w:t>t</w:t>
      </w:r>
      <w:r w:rsidR="008D0BF9" w:rsidRPr="008D0BF9">
        <w:rPr>
          <w:rFonts w:cs="Calibri"/>
          <w:iCs/>
        </w:rPr>
        <w:t xml:space="preserve">u autokarowego online </w:t>
      </w:r>
      <w:r w:rsidR="008D0BF9">
        <w:rPr>
          <w:rFonts w:cs="Calibri"/>
          <w:iCs/>
        </w:rPr>
        <w:t xml:space="preserve">czy anulacji/zmiany/zwrotu biletu autokarowego online - </w:t>
      </w:r>
      <w:r w:rsidR="008D0BF9" w:rsidRPr="008D0BF9">
        <w:rPr>
          <w:rFonts w:cs="Calibri"/>
          <w:iCs/>
        </w:rPr>
        <w:t>oferta zostanie odrzucona.</w:t>
      </w:r>
    </w:p>
    <w:p w14:paraId="406DAEA6" w14:textId="77777777" w:rsidR="008D0BF9" w:rsidRDefault="008D0BF9" w:rsidP="00EB3405">
      <w:pPr>
        <w:spacing w:after="60" w:line="288" w:lineRule="auto"/>
        <w:jc w:val="both"/>
        <w:rPr>
          <w:rFonts w:cs="Calibri"/>
          <w:b/>
        </w:rPr>
      </w:pPr>
    </w:p>
    <w:p w14:paraId="3B818F25" w14:textId="626C647C" w:rsidR="00ED16DC" w:rsidRPr="008D0BF9" w:rsidRDefault="008D0BF9" w:rsidP="00EB3405">
      <w:pPr>
        <w:spacing w:after="60" w:line="288" w:lineRule="auto"/>
        <w:jc w:val="both"/>
        <w:rPr>
          <w:rFonts w:cs="Calibri"/>
        </w:rPr>
      </w:pPr>
      <w:r w:rsidRPr="00ED0A8B">
        <w:rPr>
          <w:rFonts w:cs="Calibri"/>
          <w:b/>
        </w:rPr>
        <w:t xml:space="preserve">Pytanie </w:t>
      </w:r>
      <w:r>
        <w:rPr>
          <w:rFonts w:cs="Calibri"/>
          <w:b/>
        </w:rPr>
        <w:t>2</w:t>
      </w:r>
      <w:r w:rsidRPr="00ED0A8B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8D0BF9">
        <w:t xml:space="preserve"> </w:t>
      </w:r>
      <w:r w:rsidRPr="008D0BF9">
        <w:rPr>
          <w:rFonts w:cs="Calibri"/>
        </w:rPr>
        <w:t xml:space="preserve">Czy </w:t>
      </w:r>
      <w:r w:rsidR="00EB3405">
        <w:rPr>
          <w:rFonts w:cs="Calibri"/>
        </w:rPr>
        <w:t>Zamawiający</w:t>
      </w:r>
      <w:r w:rsidRPr="008D0BF9">
        <w:rPr>
          <w:rFonts w:cs="Calibri"/>
        </w:rPr>
        <w:t xml:space="preserve"> dopuszcza aby raportowanie zamówień oraz faktur były w obsłudze offline? Czy jeśli</w:t>
      </w:r>
      <w:r>
        <w:rPr>
          <w:rFonts w:cs="Calibri"/>
        </w:rPr>
        <w:t xml:space="preserve"> </w:t>
      </w:r>
      <w:r w:rsidRPr="008D0BF9">
        <w:rPr>
          <w:rFonts w:cs="Calibri"/>
        </w:rPr>
        <w:t>platforma online nie ma takiej funkcji Wykonawca jest automatycznie wykluczony z postępowania?</w:t>
      </w:r>
    </w:p>
    <w:p w14:paraId="35EBB0B6" w14:textId="019CE958" w:rsidR="008D0BF9" w:rsidRPr="00EB3405" w:rsidRDefault="008D0BF9" w:rsidP="00EB3405">
      <w:pPr>
        <w:spacing w:after="60" w:line="288" w:lineRule="auto"/>
        <w:jc w:val="both"/>
        <w:rPr>
          <w:rFonts w:cs="Calibri"/>
        </w:rPr>
      </w:pPr>
      <w:r w:rsidRPr="00ED0A8B">
        <w:rPr>
          <w:rFonts w:cs="Calibri"/>
          <w:b/>
          <w:iCs/>
        </w:rPr>
        <w:t>Odpowiedź:</w:t>
      </w:r>
      <w:r>
        <w:rPr>
          <w:rFonts w:cs="Calibri"/>
          <w:b/>
          <w:iCs/>
        </w:rPr>
        <w:t xml:space="preserve"> </w:t>
      </w:r>
      <w:r w:rsidRPr="00EB3405">
        <w:rPr>
          <w:rFonts w:cs="Calibri"/>
          <w:iCs/>
        </w:rPr>
        <w:t>Za</w:t>
      </w:r>
      <w:r w:rsidR="00071376">
        <w:rPr>
          <w:rFonts w:cs="Calibri"/>
          <w:iCs/>
        </w:rPr>
        <w:t>mawiający podtrzymuje zapisy SWZ.</w:t>
      </w:r>
      <w:r w:rsidRPr="00071376">
        <w:rPr>
          <w:rFonts w:cs="Calibri"/>
          <w:iCs/>
        </w:rPr>
        <w:t xml:space="preserve"> </w:t>
      </w:r>
      <w:r w:rsidR="00EB3405" w:rsidRPr="00071376">
        <w:rPr>
          <w:rFonts w:cs="Calibri"/>
          <w:iCs/>
        </w:rPr>
        <w:t xml:space="preserve">W przypadku nie spełnienia wymagań </w:t>
      </w:r>
      <w:r w:rsidR="00071376">
        <w:rPr>
          <w:rFonts w:cs="Calibri"/>
          <w:iCs/>
        </w:rPr>
        <w:t xml:space="preserve">obligatoryjnych </w:t>
      </w:r>
      <w:r w:rsidR="00EB3405">
        <w:rPr>
          <w:rFonts w:cs="Calibri"/>
          <w:iCs/>
        </w:rPr>
        <w:t>oferta zostanie odrzucona.</w:t>
      </w:r>
    </w:p>
    <w:p w14:paraId="1430DD9E" w14:textId="77777777" w:rsidR="008D0BF9" w:rsidRDefault="008D0BF9" w:rsidP="00EB3405">
      <w:pPr>
        <w:spacing w:after="6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2F5E5A4" w:rsidR="00F9115D" w:rsidRDefault="008D0BF9" w:rsidP="00EB3405">
      <w:pPr>
        <w:spacing w:after="60" w:line="288" w:lineRule="auto"/>
        <w:jc w:val="both"/>
      </w:pPr>
      <w:r w:rsidRPr="00ED0A8B">
        <w:rPr>
          <w:rFonts w:cs="Calibri"/>
          <w:b/>
        </w:rPr>
        <w:t xml:space="preserve">Pytanie </w:t>
      </w:r>
      <w:r>
        <w:rPr>
          <w:rFonts w:cs="Calibri"/>
          <w:b/>
        </w:rPr>
        <w:t>3</w:t>
      </w:r>
      <w:r w:rsidRPr="00ED0A8B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8D0BF9">
        <w:t xml:space="preserve"> </w:t>
      </w:r>
      <w:r>
        <w:t xml:space="preserve">Czy </w:t>
      </w:r>
      <w:r w:rsidR="00EB3405">
        <w:t>Zamawiający</w:t>
      </w:r>
      <w:r>
        <w:t xml:space="preserve"> dopuszcza aby rezerwacje biletu kolejowego zagranicznego odbywały się tylko offline?</w:t>
      </w:r>
      <w:r>
        <w:t xml:space="preserve"> </w:t>
      </w:r>
      <w:r>
        <w:t>Czy jeśli platforma nie ma takiej funkcji Wykonawca jest wykluczony z postępowania?</w:t>
      </w:r>
    </w:p>
    <w:p w14:paraId="3ABF8F70" w14:textId="750DE53A" w:rsidR="008D0BF9" w:rsidRDefault="008D0BF9" w:rsidP="00EB3405">
      <w:pPr>
        <w:spacing w:after="60" w:line="288" w:lineRule="auto"/>
        <w:jc w:val="both"/>
        <w:rPr>
          <w:rFonts w:eastAsia="Calibri" w:cs="Calibri"/>
          <w:color w:val="000000"/>
          <w:lang w:eastAsia="en-US"/>
        </w:rPr>
      </w:pPr>
      <w:r w:rsidRPr="00ED0A8B">
        <w:rPr>
          <w:rFonts w:cs="Calibri"/>
          <w:b/>
          <w:iCs/>
        </w:rPr>
        <w:t>Odpowiedź:</w:t>
      </w:r>
      <w:r w:rsidRPr="008D0BF9">
        <w:rPr>
          <w:rFonts w:cs="Calibri"/>
          <w:iCs/>
        </w:rPr>
        <w:t xml:space="preserve"> </w:t>
      </w:r>
      <w:r w:rsidRPr="008D0BF9">
        <w:rPr>
          <w:rFonts w:cs="Calibri"/>
          <w:iCs/>
        </w:rPr>
        <w:t xml:space="preserve">Zamawiający podtrzymuje zapisy SWZ. Zakres wymaganych usług został wskazany w formularzu cenowym. W przypadku </w:t>
      </w:r>
      <w:r>
        <w:rPr>
          <w:rFonts w:cs="Calibri"/>
          <w:iCs/>
        </w:rPr>
        <w:t>n</w:t>
      </w:r>
      <w:r w:rsidRPr="008D0BF9">
        <w:rPr>
          <w:rFonts w:cs="Calibri"/>
          <w:iCs/>
        </w:rPr>
        <w:t>ie dokonania wyceny wystawie</w:t>
      </w:r>
      <w:r>
        <w:rPr>
          <w:rFonts w:cs="Calibri"/>
          <w:iCs/>
        </w:rPr>
        <w:t>nia bi</w:t>
      </w:r>
      <w:r w:rsidRPr="008D0BF9">
        <w:rPr>
          <w:rFonts w:cs="Calibri"/>
          <w:iCs/>
        </w:rPr>
        <w:t>le</w:t>
      </w:r>
      <w:r>
        <w:rPr>
          <w:rFonts w:cs="Calibri"/>
          <w:iCs/>
        </w:rPr>
        <w:t>t</w:t>
      </w:r>
      <w:r w:rsidRPr="008D0BF9">
        <w:rPr>
          <w:rFonts w:cs="Calibri"/>
          <w:iCs/>
        </w:rPr>
        <w:t xml:space="preserve">u </w:t>
      </w:r>
      <w:r>
        <w:rPr>
          <w:rFonts w:cs="Calibri"/>
          <w:iCs/>
        </w:rPr>
        <w:t>kolejowego</w:t>
      </w:r>
      <w:r w:rsidRPr="008D0BF9">
        <w:rPr>
          <w:rFonts w:cs="Calibri"/>
          <w:iCs/>
        </w:rPr>
        <w:t xml:space="preserve"> online </w:t>
      </w:r>
      <w:r>
        <w:rPr>
          <w:rFonts w:cs="Calibri"/>
          <w:iCs/>
        </w:rPr>
        <w:t xml:space="preserve">czy anulacji/zmiany/zwrotu biletu </w:t>
      </w:r>
      <w:r>
        <w:rPr>
          <w:rFonts w:cs="Calibri"/>
          <w:iCs/>
        </w:rPr>
        <w:t>kolejowego</w:t>
      </w:r>
      <w:r>
        <w:rPr>
          <w:rFonts w:cs="Calibri"/>
          <w:iCs/>
        </w:rPr>
        <w:t xml:space="preserve"> online - </w:t>
      </w:r>
      <w:r w:rsidRPr="008D0BF9">
        <w:rPr>
          <w:rFonts w:cs="Calibri"/>
          <w:iCs/>
        </w:rPr>
        <w:t>oferta zostanie odrzucona.</w:t>
      </w:r>
    </w:p>
    <w:p w14:paraId="3476992E" w14:textId="064A32C3" w:rsidR="006F1872" w:rsidRDefault="006F1872" w:rsidP="008D0BF9">
      <w:pPr>
        <w:spacing w:after="0"/>
        <w:jc w:val="both"/>
        <w:rPr>
          <w:rFonts w:cs="Calibri"/>
          <w:b/>
        </w:rPr>
      </w:pPr>
    </w:p>
    <w:p w14:paraId="678A096D" w14:textId="35988958" w:rsidR="006F1872" w:rsidRDefault="006F1872" w:rsidP="008D0BF9">
      <w:pPr>
        <w:spacing w:after="0"/>
        <w:jc w:val="both"/>
        <w:rPr>
          <w:rFonts w:cs="Calibri"/>
          <w:b/>
        </w:rPr>
      </w:pPr>
    </w:p>
    <w:p w14:paraId="37D9BA47" w14:textId="36CC104F" w:rsidR="006F1872" w:rsidRDefault="006F1872" w:rsidP="008D0BF9">
      <w:pPr>
        <w:spacing w:after="0"/>
        <w:jc w:val="both"/>
        <w:rPr>
          <w:rFonts w:cs="Calibri"/>
          <w:b/>
        </w:rPr>
      </w:pPr>
    </w:p>
    <w:p w14:paraId="4D9A6A5C" w14:textId="37EF2616" w:rsidR="006F1872" w:rsidRDefault="006F1872" w:rsidP="008D0BF9">
      <w:pPr>
        <w:spacing w:after="0"/>
        <w:jc w:val="both"/>
        <w:rPr>
          <w:rFonts w:cs="Calibri"/>
          <w:b/>
        </w:rPr>
      </w:pPr>
    </w:p>
    <w:p w14:paraId="6C94EB96" w14:textId="77777777" w:rsidR="006F1872" w:rsidRDefault="006F1872" w:rsidP="008D0BF9">
      <w:pPr>
        <w:spacing w:after="0"/>
        <w:jc w:val="both"/>
        <w:rPr>
          <w:rFonts w:cs="Calibri"/>
          <w:b/>
        </w:rPr>
      </w:pPr>
    </w:p>
    <w:p w14:paraId="42E038B4" w14:textId="0EECFB6F" w:rsidR="008D0BF9" w:rsidRDefault="00016138" w:rsidP="008D0BF9">
      <w:pPr>
        <w:spacing w:after="0"/>
        <w:jc w:val="both"/>
      </w:pPr>
      <w:r w:rsidRPr="00ED0A8B">
        <w:rPr>
          <w:rFonts w:cs="Calibri"/>
          <w:b/>
        </w:rPr>
        <w:t xml:space="preserve">Pytanie </w:t>
      </w:r>
      <w:r>
        <w:rPr>
          <w:rFonts w:cs="Calibri"/>
          <w:b/>
        </w:rPr>
        <w:t>3</w:t>
      </w:r>
      <w:r w:rsidRPr="00ED0A8B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8D0BF9">
        <w:t xml:space="preserve"> </w:t>
      </w:r>
      <w:r>
        <w:t>Wykonawca nie pobiera dodatkowej opłaty transakcyjnej za zwrot lub wymianę biletu. Zmiana/Anulowanie są traktowane zgodnie z warunkami rezerwacji/zakupu w danej taryfie. Jak zapisać taką informację w załączniku nr1?</w:t>
      </w:r>
    </w:p>
    <w:p w14:paraId="366B5AC9" w14:textId="281ED247" w:rsidR="008D0BF9" w:rsidRDefault="00016138" w:rsidP="008D0BF9">
      <w:pPr>
        <w:spacing w:after="0"/>
        <w:jc w:val="both"/>
        <w:rPr>
          <w:rFonts w:cs="Calibri"/>
          <w:iCs/>
        </w:rPr>
      </w:pPr>
      <w:r w:rsidRPr="00ED0A8B">
        <w:rPr>
          <w:rFonts w:cs="Calibri"/>
          <w:b/>
          <w:iCs/>
        </w:rPr>
        <w:t>Odpowiedź:</w:t>
      </w:r>
      <w:r>
        <w:rPr>
          <w:rFonts w:cs="Calibri"/>
          <w:b/>
          <w:iCs/>
        </w:rPr>
        <w:t xml:space="preserve"> </w:t>
      </w:r>
      <w:r w:rsidRPr="006F1872">
        <w:rPr>
          <w:rFonts w:cs="Calibri"/>
          <w:iCs/>
        </w:rPr>
        <w:t>W tabeli opłat transakcyjnych</w:t>
      </w:r>
      <w:r w:rsidR="006F1872" w:rsidRPr="006F1872">
        <w:rPr>
          <w:rFonts w:cs="Calibri"/>
          <w:iCs/>
        </w:rPr>
        <w:t xml:space="preserve"> </w:t>
      </w:r>
      <w:r w:rsidR="006F1872">
        <w:rPr>
          <w:rFonts w:cs="Calibri"/>
          <w:iCs/>
        </w:rPr>
        <w:t xml:space="preserve">w pozycjach za które nie jest pobierana opłata </w:t>
      </w:r>
      <w:r w:rsidR="006F1872" w:rsidRPr="006F1872">
        <w:rPr>
          <w:rFonts w:cs="Calibri"/>
          <w:iCs/>
        </w:rPr>
        <w:t xml:space="preserve">należy wstawić „0 zł” </w:t>
      </w:r>
      <w:r w:rsidR="006F1872">
        <w:rPr>
          <w:rFonts w:cs="Calibri"/>
          <w:iCs/>
        </w:rPr>
        <w:t xml:space="preserve">z adnotacją dlaczego jest brak opłaty. </w:t>
      </w:r>
    </w:p>
    <w:p w14:paraId="4175C024" w14:textId="5D58F074" w:rsidR="006F1872" w:rsidRDefault="006F1872" w:rsidP="008D0BF9">
      <w:pPr>
        <w:spacing w:after="0"/>
        <w:jc w:val="both"/>
        <w:rPr>
          <w:rFonts w:cs="Calibri"/>
          <w:iCs/>
        </w:rPr>
      </w:pPr>
    </w:p>
    <w:p w14:paraId="380D8801" w14:textId="77777777" w:rsidR="006F1872" w:rsidRPr="00ED0A8B" w:rsidRDefault="006F1872" w:rsidP="008D0BF9">
      <w:pPr>
        <w:spacing w:after="0"/>
        <w:jc w:val="both"/>
      </w:pPr>
    </w:p>
    <w:p w14:paraId="70ED028B" w14:textId="12592681" w:rsidR="003A66BE" w:rsidRDefault="003A66BE" w:rsidP="003A66BE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 xml:space="preserve">                                 </w:t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p.o. Kanclerza</w:t>
      </w:r>
    </w:p>
    <w:p w14:paraId="0126E9AD" w14:textId="05DD3477" w:rsidR="00484C6D" w:rsidRPr="00ED0A8B" w:rsidRDefault="00484C6D" w:rsidP="003A66BE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bookmarkStart w:id="1" w:name="_GoBack"/>
      <w:r w:rsidR="00071376">
        <w:rPr>
          <w:rFonts w:cs="Calibri"/>
          <w:i/>
          <w:sz w:val="18"/>
          <w:szCs w:val="18"/>
        </w:rPr>
        <w:t xml:space="preserve">        /-/</w:t>
      </w:r>
      <w:bookmarkEnd w:id="1"/>
    </w:p>
    <w:p w14:paraId="0BD98143" w14:textId="001D2E73" w:rsidR="00B31E84" w:rsidRPr="00EB3405" w:rsidRDefault="003A66BE" w:rsidP="00EB3405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                                        </w:t>
      </w:r>
      <w:r w:rsidR="00A178B3">
        <w:rPr>
          <w:rFonts w:cs="Calibri"/>
          <w:i/>
          <w:sz w:val="18"/>
          <w:szCs w:val="18"/>
        </w:rPr>
        <w:t xml:space="preserve"> prof. dr hab. Jacek </w:t>
      </w:r>
      <w:proofErr w:type="spellStart"/>
      <w:r w:rsidR="00A178B3">
        <w:rPr>
          <w:rFonts w:cs="Calibri"/>
          <w:i/>
          <w:sz w:val="18"/>
          <w:szCs w:val="18"/>
        </w:rPr>
        <w:t>Bigda</w:t>
      </w:r>
      <w:proofErr w:type="spellEnd"/>
    </w:p>
    <w:sectPr w:rsidR="00B31E84" w:rsidRPr="00EB3405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4873" w14:textId="77777777" w:rsidR="002D0656" w:rsidRDefault="002D0656" w:rsidP="000A396A">
      <w:pPr>
        <w:spacing w:after="0" w:line="240" w:lineRule="auto"/>
      </w:pPr>
      <w:r>
        <w:separator/>
      </w:r>
    </w:p>
  </w:endnote>
  <w:endnote w:type="continuationSeparator" w:id="0">
    <w:p w14:paraId="39565742" w14:textId="77777777" w:rsidR="002D0656" w:rsidRDefault="002D065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1833" w14:textId="77777777" w:rsidR="002D0656" w:rsidRDefault="002D0656" w:rsidP="000A396A">
      <w:pPr>
        <w:spacing w:after="0" w:line="240" w:lineRule="auto"/>
      </w:pPr>
      <w:r>
        <w:separator/>
      </w:r>
    </w:p>
  </w:footnote>
  <w:footnote w:type="continuationSeparator" w:id="0">
    <w:p w14:paraId="15A9A91D" w14:textId="77777777" w:rsidR="002D0656" w:rsidRDefault="002D065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6138"/>
    <w:rsid w:val="00052FBD"/>
    <w:rsid w:val="00071376"/>
    <w:rsid w:val="000913E7"/>
    <w:rsid w:val="000A396A"/>
    <w:rsid w:val="000D73D1"/>
    <w:rsid w:val="001057C5"/>
    <w:rsid w:val="001518F7"/>
    <w:rsid w:val="00156D62"/>
    <w:rsid w:val="00176252"/>
    <w:rsid w:val="00194AAB"/>
    <w:rsid w:val="001C6021"/>
    <w:rsid w:val="00223323"/>
    <w:rsid w:val="002306C5"/>
    <w:rsid w:val="00245BC6"/>
    <w:rsid w:val="00255F6D"/>
    <w:rsid w:val="00262C04"/>
    <w:rsid w:val="002D0656"/>
    <w:rsid w:val="00365D10"/>
    <w:rsid w:val="00365E0F"/>
    <w:rsid w:val="003921AF"/>
    <w:rsid w:val="00392C41"/>
    <w:rsid w:val="003A66BE"/>
    <w:rsid w:val="003B48FE"/>
    <w:rsid w:val="003C7C0A"/>
    <w:rsid w:val="003D298F"/>
    <w:rsid w:val="003E63D3"/>
    <w:rsid w:val="0040725F"/>
    <w:rsid w:val="004167BB"/>
    <w:rsid w:val="00430FB4"/>
    <w:rsid w:val="004314DC"/>
    <w:rsid w:val="00443144"/>
    <w:rsid w:val="00444BB6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2F09"/>
    <w:rsid w:val="00663FB2"/>
    <w:rsid w:val="0068339B"/>
    <w:rsid w:val="00691B20"/>
    <w:rsid w:val="006A1A18"/>
    <w:rsid w:val="006A4DF5"/>
    <w:rsid w:val="006C4E94"/>
    <w:rsid w:val="006D7D77"/>
    <w:rsid w:val="006F1872"/>
    <w:rsid w:val="00703C45"/>
    <w:rsid w:val="00706D3E"/>
    <w:rsid w:val="00715800"/>
    <w:rsid w:val="0072437B"/>
    <w:rsid w:val="00743BFA"/>
    <w:rsid w:val="0079294D"/>
    <w:rsid w:val="007B4BC4"/>
    <w:rsid w:val="007D7EA2"/>
    <w:rsid w:val="007E7CA0"/>
    <w:rsid w:val="00825EE2"/>
    <w:rsid w:val="00834CAB"/>
    <w:rsid w:val="00867440"/>
    <w:rsid w:val="008955E8"/>
    <w:rsid w:val="008B47B3"/>
    <w:rsid w:val="008C39AE"/>
    <w:rsid w:val="008D0BF9"/>
    <w:rsid w:val="008F6E7F"/>
    <w:rsid w:val="00904FD2"/>
    <w:rsid w:val="00934119"/>
    <w:rsid w:val="00944676"/>
    <w:rsid w:val="00950648"/>
    <w:rsid w:val="00961B9B"/>
    <w:rsid w:val="009A50D5"/>
    <w:rsid w:val="009A69DE"/>
    <w:rsid w:val="009B3677"/>
    <w:rsid w:val="009D07E4"/>
    <w:rsid w:val="009F20EF"/>
    <w:rsid w:val="009F43FA"/>
    <w:rsid w:val="00A178B3"/>
    <w:rsid w:val="00A22877"/>
    <w:rsid w:val="00A252C3"/>
    <w:rsid w:val="00A47F73"/>
    <w:rsid w:val="00AB6B94"/>
    <w:rsid w:val="00AD46FB"/>
    <w:rsid w:val="00AE273E"/>
    <w:rsid w:val="00B31E84"/>
    <w:rsid w:val="00B41E0E"/>
    <w:rsid w:val="00B60552"/>
    <w:rsid w:val="00B676E4"/>
    <w:rsid w:val="00B77CC9"/>
    <w:rsid w:val="00B844A3"/>
    <w:rsid w:val="00BC68AD"/>
    <w:rsid w:val="00BC6ABA"/>
    <w:rsid w:val="00C46804"/>
    <w:rsid w:val="00C720F1"/>
    <w:rsid w:val="00C95E55"/>
    <w:rsid w:val="00CE2811"/>
    <w:rsid w:val="00CF7E87"/>
    <w:rsid w:val="00D21749"/>
    <w:rsid w:val="00D327FA"/>
    <w:rsid w:val="00D35890"/>
    <w:rsid w:val="00D45DA4"/>
    <w:rsid w:val="00D540F8"/>
    <w:rsid w:val="00DC1D75"/>
    <w:rsid w:val="00DC46E4"/>
    <w:rsid w:val="00DD523C"/>
    <w:rsid w:val="00E02042"/>
    <w:rsid w:val="00E4349A"/>
    <w:rsid w:val="00E60550"/>
    <w:rsid w:val="00E9044B"/>
    <w:rsid w:val="00EA3AF2"/>
    <w:rsid w:val="00EB3405"/>
    <w:rsid w:val="00ED0A8B"/>
    <w:rsid w:val="00ED16DC"/>
    <w:rsid w:val="00ED69BA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"/>
    <w:basedOn w:val="Normalny"/>
    <w:link w:val="AkapitzlistZnak"/>
    <w:uiPriority w:val="34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"/>
    <w:basedOn w:val="Domylnaczcionkaakapitu"/>
    <w:link w:val="Akapitzlist"/>
    <w:uiPriority w:val="34"/>
    <w:locked/>
    <w:rsid w:val="003A66B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ECD-C743-4DFA-940A-02DE7A4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2024-06-06T12:58:00Z</cp:lastPrinted>
  <dcterms:created xsi:type="dcterms:W3CDTF">2024-06-06T12:49:00Z</dcterms:created>
  <dcterms:modified xsi:type="dcterms:W3CDTF">2024-06-06T12:58:00Z</dcterms:modified>
</cp:coreProperties>
</file>