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FBAE" w14:textId="77777777" w:rsidR="00081594" w:rsidRDefault="002535C2">
      <w:pPr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eastAsia="Times New Roman" w:cs="Calibri"/>
          <w:lang w:eastAsia="zh-CN"/>
        </w:rPr>
        <w:t xml:space="preserve">Załącznik nr 1.2 do SWZ </w:t>
      </w:r>
    </w:p>
    <w:p w14:paraId="6F02F65C" w14:textId="77777777" w:rsidR="00081594" w:rsidRDefault="00081594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5FB21172" w14:textId="77777777" w:rsidR="00081594" w:rsidRDefault="002535C2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>OPIS PRZEDMIOTU ZAMÓWIENIA – SPECYFIKACJA TECHNICZNA OFEROWANEGO URZĄDZENIA</w:t>
      </w:r>
    </w:p>
    <w:p w14:paraId="4D541D27" w14:textId="77777777" w:rsidR="00081594" w:rsidRDefault="00081594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14:paraId="2EEF39BC" w14:textId="3E1765B5" w:rsidR="00081594" w:rsidRDefault="002535C2">
      <w:pPr>
        <w:spacing w:after="0" w:line="240" w:lineRule="auto"/>
        <w:rPr>
          <w:rFonts w:eastAsia="Times New Roman" w:cs="Calibri"/>
          <w:b/>
          <w:lang w:eastAsia="zh-CN"/>
        </w:rPr>
      </w:pPr>
      <w:r>
        <w:rPr>
          <w:rFonts w:eastAsia="Times New Roman" w:cs="Calibri"/>
          <w:b/>
          <w:lang w:eastAsia="zh-CN"/>
        </w:rPr>
        <w:t>Dostawa komory laminarnej na potrzeby Wydziału Medycznego KUL.</w:t>
      </w:r>
    </w:p>
    <w:p w14:paraId="634432AB" w14:textId="77777777" w:rsidR="00C70724" w:rsidRDefault="00C70724" w:rsidP="00C70724">
      <w:pPr>
        <w:spacing w:after="0" w:line="240" w:lineRule="auto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instalacją, uruchomieniem oraz ustawieniem komory laminarnej. </w:t>
      </w:r>
    </w:p>
    <w:p w14:paraId="22A5AC52" w14:textId="77777777" w:rsidR="00C70724" w:rsidRDefault="00C70724">
      <w:pPr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2A86AF99" w14:textId="77777777" w:rsidR="00081594" w:rsidRDefault="00081594">
      <w:pPr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tbl>
      <w:tblPr>
        <w:tblpPr w:leftFromText="141" w:rightFromText="141" w:vertAnchor="text" w:horzAnchor="margin" w:tblpY="36"/>
        <w:tblW w:w="9252" w:type="dxa"/>
        <w:tblLayout w:type="fixed"/>
        <w:tblLook w:val="0000" w:firstRow="0" w:lastRow="0" w:firstColumn="0" w:lastColumn="0" w:noHBand="0" w:noVBand="0"/>
      </w:tblPr>
      <w:tblGrid>
        <w:gridCol w:w="630"/>
        <w:gridCol w:w="5319"/>
        <w:gridCol w:w="3303"/>
      </w:tblGrid>
      <w:tr w:rsidR="00081594" w:rsidRPr="00C7042B" w14:paraId="52F2FC0F" w14:textId="77777777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C0B534E" w14:textId="77777777" w:rsidR="00081594" w:rsidRPr="00C7042B" w:rsidRDefault="002535C2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kern w:val="2"/>
                <w:lang w:eastAsia="pl-PL"/>
              </w:rPr>
            </w:pPr>
            <w:r w:rsidRPr="00C7042B">
              <w:rPr>
                <w:rFonts w:eastAsia="Times New Roman" w:cstheme="minorHAnsi"/>
                <w:b/>
                <w:bCs/>
                <w:kern w:val="2"/>
                <w:lang w:eastAsia="pl-PL"/>
              </w:rPr>
              <w:t>Komora laminarna</w:t>
            </w:r>
          </w:p>
          <w:p w14:paraId="29879F32" w14:textId="77777777" w:rsidR="00081594" w:rsidRPr="00C7042B" w:rsidRDefault="00081594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kern w:val="2"/>
                <w:lang w:eastAsia="pl-PL"/>
              </w:rPr>
            </w:pPr>
          </w:p>
        </w:tc>
      </w:tr>
      <w:tr w:rsidR="00081594" w:rsidRPr="00C7042B" w14:paraId="6FCF4E1E" w14:textId="77777777">
        <w:trPr>
          <w:trHeight w:val="34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EBC9C72" w14:textId="77777777" w:rsidR="00081594" w:rsidRPr="00C7042B" w:rsidRDefault="002535C2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kern w:val="2"/>
                <w:lang w:eastAsia="pl-PL"/>
              </w:rPr>
              <w:t>Nazwa oferowanego urządzenia: Komora laminarna, II klasa bezpieczeństwa</w:t>
            </w:r>
          </w:p>
          <w:p w14:paraId="34CAA8D1" w14:textId="77777777" w:rsidR="00081594" w:rsidRPr="00C7042B" w:rsidRDefault="00081594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26E0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</w:tr>
      <w:tr w:rsidR="00081594" w:rsidRPr="00C7042B" w14:paraId="5A7B274F" w14:textId="77777777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EF4C091" w14:textId="77777777" w:rsidR="00081594" w:rsidRPr="00C7042B" w:rsidRDefault="002535C2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kern w:val="2"/>
                <w:lang w:eastAsia="pl-PL"/>
              </w:rPr>
              <w:t>Producent</w:t>
            </w:r>
          </w:p>
          <w:p w14:paraId="0E8C7BA1" w14:textId="77777777" w:rsidR="00081594" w:rsidRPr="00C7042B" w:rsidRDefault="00081594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9A31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</w:tr>
      <w:tr w:rsidR="00081594" w:rsidRPr="00C7042B" w14:paraId="757C9CAB" w14:textId="77777777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19FF5EA" w14:textId="77777777" w:rsidR="00081594" w:rsidRPr="00C7042B" w:rsidRDefault="002535C2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kern w:val="2"/>
                <w:lang w:eastAsia="pl-PL"/>
              </w:rPr>
              <w:t>Typ/model/kod producenta</w:t>
            </w:r>
          </w:p>
          <w:p w14:paraId="30A9E149" w14:textId="77777777" w:rsidR="00081594" w:rsidRPr="00C7042B" w:rsidRDefault="00081594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67BE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kern w:val="2"/>
                <w:lang w:eastAsia="pl-PL"/>
              </w:rPr>
            </w:pPr>
          </w:p>
        </w:tc>
      </w:tr>
      <w:tr w:rsidR="00081594" w:rsidRPr="00C7042B" w14:paraId="48705F8E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33240" w14:textId="77777777" w:rsidR="00081594" w:rsidRPr="00C7042B" w:rsidRDefault="002535C2">
            <w:pPr>
              <w:widowControl w:val="0"/>
              <w:spacing w:after="119" w:line="240" w:lineRule="auto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994A" w14:textId="77777777" w:rsidR="00081594" w:rsidRPr="00C7042B" w:rsidRDefault="002535C2">
            <w:pPr>
              <w:widowControl w:val="0"/>
              <w:spacing w:after="119" w:line="240" w:lineRule="auto"/>
              <w:jc w:val="center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color w:val="000000"/>
                <w:kern w:val="2"/>
                <w:lang w:eastAsia="pl-PL"/>
              </w:rPr>
              <w:t>Parametry wymagane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9622" w14:textId="77777777" w:rsidR="00081594" w:rsidRPr="00C7042B" w:rsidRDefault="002535C2">
            <w:pPr>
              <w:keepNext/>
              <w:widowControl w:val="0"/>
              <w:spacing w:after="119" w:line="240" w:lineRule="auto"/>
              <w:ind w:left="360"/>
              <w:jc w:val="center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b/>
                <w:bCs/>
                <w:kern w:val="2"/>
                <w:lang w:eastAsia="pl-PL"/>
              </w:rPr>
              <w:t>Parametry oferowane</w:t>
            </w:r>
          </w:p>
        </w:tc>
      </w:tr>
      <w:tr w:rsidR="00081594" w:rsidRPr="00C7042B" w14:paraId="7868D9C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B630" w14:textId="77777777" w:rsidR="00081594" w:rsidRPr="00C7042B" w:rsidRDefault="002535C2">
            <w:pPr>
              <w:widowControl w:val="0"/>
              <w:spacing w:after="119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FC9F" w14:textId="77777777" w:rsidR="00081594" w:rsidRPr="00C7042B" w:rsidRDefault="002535C2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Wymiary zewnętrzne 1300*750*2250mm (+/- 100mm)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78C" w14:textId="77777777" w:rsidR="00081594" w:rsidRPr="00C7042B" w:rsidRDefault="00081594">
            <w:pPr>
              <w:keepNext/>
              <w:widowControl w:val="0"/>
              <w:spacing w:after="119" w:line="240" w:lineRule="auto"/>
              <w:ind w:left="360"/>
              <w:jc w:val="center"/>
              <w:rPr>
                <w:rFonts w:eastAsia="MS Mincho" w:cstheme="minorHAnsi"/>
                <w:b/>
                <w:bCs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5FB3CF2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7C923" w14:textId="77777777" w:rsidR="00081594" w:rsidRPr="00C7042B" w:rsidRDefault="002535C2">
            <w:pPr>
              <w:widowControl w:val="0"/>
              <w:spacing w:after="119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3921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Wymiary wewnętrzne  1150*600*660 mm (+/- 100mm)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72AA" w14:textId="77777777" w:rsidR="00081594" w:rsidRPr="00C7042B" w:rsidRDefault="00081594">
            <w:pPr>
              <w:keepNext/>
              <w:widowControl w:val="0"/>
              <w:spacing w:after="119" w:line="240" w:lineRule="auto"/>
              <w:ind w:left="360"/>
              <w:jc w:val="center"/>
              <w:rPr>
                <w:rFonts w:eastAsia="MS Mincho" w:cstheme="minorHAnsi"/>
                <w:b/>
                <w:bCs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79FF841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09FF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2296A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Prędkość napływu/przepływu w dół 0.53±0.025 m/s ;0.33±0.025 m/s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70A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jc w:val="center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65F7A8D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BF7F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5443" w14:textId="77777777" w:rsidR="00081594" w:rsidRPr="00C7042B" w:rsidRDefault="002535C2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Filtr HEPA: wydajność 99,999% przy 0,3 </w:t>
            </w:r>
            <w:proofErr w:type="spellStart"/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um</w:t>
            </w:r>
            <w:proofErr w:type="spell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621D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090E042C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CDD8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D414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Przednie okno: Automatyczne</w:t>
            </w:r>
            <w:r w:rsidR="00DD2DE3"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 otwieranie/zamykanie</w:t>
            </w: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. Dwuwarstwowe laminowane, szkło hartowane. Anty UV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B95D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34B4B08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2C839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6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3468" w14:textId="77777777" w:rsidR="00081594" w:rsidRPr="00C7042B" w:rsidRDefault="002535C2">
            <w:pPr>
              <w:widowControl w:val="0"/>
              <w:spacing w:after="60"/>
              <w:contextualSpacing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Poziom hałasu: ≤67db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3CE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278F96F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3F01A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7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C181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Lampa UV: </w:t>
            </w:r>
            <w:proofErr w:type="spellStart"/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timer</w:t>
            </w:r>
            <w:proofErr w:type="spellEnd"/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 UV, wskaźnik żywotności UV, emisja 253,7 </w:t>
            </w:r>
            <w:proofErr w:type="spellStart"/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nm</w:t>
            </w:r>
            <w:proofErr w:type="spellEnd"/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4436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1A0A180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08423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8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A01D8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Lampa oświetlająca: LED</w:t>
            </w:r>
            <w:r w:rsidR="00DD2DE3"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 minimum</w:t>
            </w: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 12W*2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7C1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55A04C0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79D62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9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D62DD" w14:textId="77777777" w:rsidR="00081594" w:rsidRPr="00C7042B" w:rsidRDefault="002535C2" w:rsidP="00DD2DE3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G</w:t>
            </w:r>
            <w:r w:rsidR="00DD2DE3"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niazda wodoodporne: minimum jedno</w:t>
            </w: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, 500W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CD8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47BE8EAA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1916F0E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10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435E1CA4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Wyświetlacz LCD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8E08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15736E9D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7473EDB7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11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1E737D25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System sterowania: Mikroprocesor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AB10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62CCF7B5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86742CC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12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7C7A43B4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System przepływu powietrza: 70% recyrkulacja powietrza, 30% wywiew powietrza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80C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33BD8DF6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6C47C4A0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13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184F2138" w14:textId="77777777" w:rsidR="00081594" w:rsidRPr="00C7042B" w:rsidRDefault="002535C2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Alarm wizualny i dźwiękowy: Nieprawidłowa prędkość przepływu powietrza; Wymiana filtra. Przednie okno w stanie niebezpiecznym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14D2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3FA7736B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9FBEFC3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14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2129B3B4" w14:textId="77777777" w:rsidR="00081594" w:rsidRPr="00C7042B" w:rsidRDefault="002535C2" w:rsidP="00DD2DE3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Materiał wykonania. Strefa pracy: stal nierdzewna 304; korpus główny: </w:t>
            </w:r>
            <w:r w:rsidR="00DD2DE3"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metal </w:t>
            </w: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z antybakteryjną powłoką proszkową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CC24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3FDD2F37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603B0C2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15</w:t>
            </w: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</w:tcBorders>
          </w:tcPr>
          <w:p w14:paraId="26A0B0A2" w14:textId="77777777" w:rsidR="00081594" w:rsidRPr="00C7042B" w:rsidRDefault="002535C2" w:rsidP="00DD2DE3">
            <w:pPr>
              <w:widowControl w:val="0"/>
              <w:spacing w:after="60"/>
              <w:jc w:val="both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Standardowe akcesoria wyposażenia: lampa oświetlająca, lampa UV, podstawa, włącznik nożny, zawór wody i gazu 1szt., gniazda wodoodporne </w:t>
            </w:r>
            <w:r w:rsidR="00DD2DE3"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minimum</w:t>
            </w: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 xml:space="preserve"> 1 szt.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0C7E" w14:textId="77777777" w:rsidR="00081594" w:rsidRPr="00C7042B" w:rsidRDefault="00081594">
            <w:pPr>
              <w:widowControl w:val="0"/>
              <w:snapToGrid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</w:p>
        </w:tc>
      </w:tr>
      <w:tr w:rsidR="00081594" w:rsidRPr="00C7042B" w14:paraId="0DCBDD53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23692B1F" w14:textId="77777777" w:rsidR="00081594" w:rsidRPr="00C7042B" w:rsidRDefault="00DD2DE3">
            <w:pPr>
              <w:widowControl w:val="0"/>
              <w:spacing w:after="0" w:line="240" w:lineRule="auto"/>
              <w:rPr>
                <w:rFonts w:eastAsia="MS Mincho" w:cstheme="minorHAnsi"/>
                <w:color w:val="000000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color w:val="000000"/>
                <w:kern w:val="2"/>
                <w:lang w:eastAsia="pl-PL"/>
              </w:rPr>
              <w:t>16</w:t>
            </w: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B72" w14:textId="77777777" w:rsidR="00081594" w:rsidRPr="00C7042B" w:rsidRDefault="002535C2">
            <w:pPr>
              <w:widowControl w:val="0"/>
              <w:snapToGrid w:val="0"/>
              <w:spacing w:after="0" w:line="240" w:lineRule="auto"/>
              <w:jc w:val="center"/>
              <w:rPr>
                <w:rFonts w:eastAsia="MS Mincho" w:cstheme="minorHAnsi"/>
                <w:kern w:val="2"/>
                <w:lang w:eastAsia="pl-PL"/>
              </w:rPr>
            </w:pPr>
            <w:r w:rsidRPr="00C7042B">
              <w:rPr>
                <w:rFonts w:eastAsia="MS Mincho" w:cstheme="minorHAnsi"/>
                <w:kern w:val="2"/>
                <w:lang w:eastAsia="pl-PL"/>
              </w:rPr>
              <w:t>Minimalny okres gwarancji: 24 miesiące</w:t>
            </w:r>
          </w:p>
        </w:tc>
      </w:tr>
    </w:tbl>
    <w:p w14:paraId="60F66283" w14:textId="77777777" w:rsidR="00081594" w:rsidRDefault="00081594">
      <w:pPr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672E1F9E" w14:textId="77777777" w:rsidR="00081594" w:rsidRDefault="002535C2">
      <w:pPr>
        <w:widowControl w:val="0"/>
        <w:spacing w:after="0" w:line="240" w:lineRule="auto"/>
        <w:rPr>
          <w:rFonts w:ascii="Calibri" w:eastAsia="Times New Roman" w:hAnsi="Calibri" w:cs="Calibri"/>
          <w:color w:val="00B050"/>
          <w:kern w:val="2"/>
          <w:lang w:eastAsia="pl-PL"/>
        </w:rPr>
      </w:pPr>
      <w:r>
        <w:rPr>
          <w:rFonts w:eastAsia="Times New Roman" w:cs="Calibri"/>
          <w:kern w:val="2"/>
          <w:lang w:eastAsia="pl-PL"/>
        </w:rPr>
        <w:lastRenderedPageBreak/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eastAsia="Times New Roman" w:cs="Calibri"/>
          <w:kern w:val="2"/>
          <w:lang w:eastAsia="pl-PL"/>
        </w:rPr>
        <w:t>pn</w:t>
      </w:r>
      <w:proofErr w:type="spellEnd"/>
      <w:r>
        <w:rPr>
          <w:rFonts w:eastAsia="Times New Roman" w:cs="Calibri"/>
          <w:kern w:val="2"/>
          <w:lang w:eastAsia="pl-PL"/>
        </w:rPr>
        <w:t xml:space="preserve">: Parametry oferowane muszą pozwolić Zamawiającemu na jednoznaczną identyfikację oferowanego produktu. </w:t>
      </w:r>
    </w:p>
    <w:p w14:paraId="6F7FDD0B" w14:textId="77777777" w:rsidR="00081594" w:rsidRDefault="0008159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174FD760" w14:textId="77777777" w:rsidR="00081594" w:rsidRDefault="0008159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6D063266" w14:textId="77777777" w:rsidR="00081594" w:rsidRDefault="002535C2">
      <w:pPr>
        <w:tabs>
          <w:tab w:val="left" w:pos="426"/>
        </w:tabs>
        <w:spacing w:after="200" w:line="276" w:lineRule="auto"/>
        <w:ind w:left="1440"/>
        <w:rPr>
          <w:rFonts w:ascii="Calibri" w:eastAsia="Times New Roman" w:hAnsi="Calibri" w:cs="Calibri"/>
          <w:b/>
          <w:bCs/>
          <w:i/>
          <w:iCs/>
          <w:color w:val="FF0000"/>
          <w:lang w:eastAsia="zh-CN"/>
        </w:rPr>
      </w:pPr>
      <w:r>
        <w:rPr>
          <w:rFonts w:eastAsia="Times New Roman" w:cs="Calibri"/>
          <w:b/>
          <w:bCs/>
          <w:color w:val="FF0000"/>
          <w:lang w:eastAsia="zh-CN"/>
        </w:rPr>
        <w:t xml:space="preserve">DOKUMENT NALEŻY PODPISAĆ KWALIFIKOWANYM PODPISEM ELEKTRONICZNYM, </w:t>
      </w:r>
      <w:r>
        <w:rPr>
          <w:rFonts w:eastAsia="Times New Roman" w:cs="Calibri"/>
          <w:b/>
          <w:bCs/>
          <w:color w:val="FF0000"/>
          <w:lang w:eastAsia="zh-CN"/>
        </w:rPr>
        <w:br/>
        <w:t>PODPISEM ZAUFANYM LUB PODPISEM OSOBISTYM.</w:t>
      </w:r>
    </w:p>
    <w:p w14:paraId="21C8598F" w14:textId="77777777" w:rsidR="00081594" w:rsidRDefault="0008159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1E208902" w14:textId="77777777" w:rsidR="00081594" w:rsidRDefault="00081594"/>
    <w:sectPr w:rsidR="00081594">
      <w:headerReference w:type="default" r:id="rId8"/>
      <w:footerReference w:type="default" r:id="rId9"/>
      <w:pgSz w:w="11906" w:h="16838"/>
      <w:pgMar w:top="1843" w:right="1134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74B6" w14:textId="77777777" w:rsidR="002535C2" w:rsidRDefault="002535C2">
      <w:pPr>
        <w:spacing w:after="0" w:line="240" w:lineRule="auto"/>
      </w:pPr>
      <w:r>
        <w:separator/>
      </w:r>
    </w:p>
  </w:endnote>
  <w:endnote w:type="continuationSeparator" w:id="0">
    <w:p w14:paraId="39DACC05" w14:textId="77777777" w:rsidR="002535C2" w:rsidRDefault="0025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849B" w14:textId="77777777" w:rsidR="00081594" w:rsidRDefault="00081594">
    <w:pPr>
      <w:pStyle w:val="Stopka"/>
      <w:jc w:val="center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E532" w14:textId="77777777" w:rsidR="002535C2" w:rsidRDefault="002535C2">
      <w:pPr>
        <w:spacing w:after="0" w:line="240" w:lineRule="auto"/>
      </w:pPr>
      <w:r>
        <w:separator/>
      </w:r>
    </w:p>
  </w:footnote>
  <w:footnote w:type="continuationSeparator" w:id="0">
    <w:p w14:paraId="33196604" w14:textId="77777777" w:rsidR="002535C2" w:rsidRDefault="0025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9635" w14:textId="77777777" w:rsidR="00081594" w:rsidRDefault="002535C2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3" behindDoc="1" locked="0" layoutInCell="0" allowOverlap="1" wp14:anchorId="2D13AAC7" wp14:editId="668B639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0C779243" wp14:editId="6232CCFC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200" cy="81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A7609" w14:textId="77777777" w:rsidR="00081594" w:rsidRDefault="00081594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0D4F2664" w14:textId="77777777" w:rsidR="00081594" w:rsidRDefault="002535C2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" path="m0,0l-2147483645,0l-2147483645,-2147483646l0,-2147483646xe" stroked="f" o:allowincell="f" style="position:absolute;margin-left:296.25pt;margin-top:25.65pt;width:220.9pt;height:64.2pt;mso-wrap-style:square;v-text-anchor:top" wp14:anchorId="560C1AA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</w:r>
                  </w:p>
                  <w:p>
                    <w:pPr>
                      <w:pStyle w:val="Zawartoramki"/>
                      <w:keepNext w:val="true"/>
                      <w:spacing w:before="120" w:after="120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 w:ascii="Calibri" w:hAnsi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51EEC5AC" wp14:editId="5022476D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8F00AD" w14:textId="77777777" w:rsidR="00081594" w:rsidRDefault="00081594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2" path="m0,0l-2147483645,0l-2147483645,-2147483646l0,-2147483646xe" stroked="f" o:allowincell="f" style="position:absolute;margin-left:552.85pt;margin-top:667.7pt;width:28.15pt;height:39.4pt;mso-wrap-style:none;v-text-anchor:middle;mso-position-horizontal-relative:page;mso-position-vertical:bottom;mso-position-vertical-relative:margin" wp14:anchorId="1391C582"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Zawartoramki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4E1B08AC" wp14:editId="7E2893C9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6" name="Kształ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FEC78D" w14:textId="77777777" w:rsidR="00081594" w:rsidRDefault="002535C2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2DE3">
                            <w:rPr>
                              <w:rFonts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BB4CA" id="Kształt3" o:spid="_x0000_s1028" style="position:absolute;margin-left:554.25pt;margin-top:0;width:25.4pt;height:171.9pt;z-index:-503316466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" o:allowincell="f" filled="f" stroked="f" strokeweight="0">
              <v:textbox style="layout-flow:vertical;mso-layout-flow-alt:bottom-to-top">
                <w:txbxContent>
                  <w:p w:rsidR="00081594" w:rsidRDefault="002535C2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DD2DE3">
                      <w:rPr>
                        <w:rFonts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9FD9E8-1E18-4AAE-8B99-C965A4D226D7}"/>
  </w:docVars>
  <w:rsids>
    <w:rsidRoot w:val="00081594"/>
    <w:rsid w:val="00081594"/>
    <w:rsid w:val="002535C2"/>
    <w:rsid w:val="0030230B"/>
    <w:rsid w:val="005B125F"/>
    <w:rsid w:val="00C7042B"/>
    <w:rsid w:val="00C70724"/>
    <w:rsid w:val="00D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2C6F"/>
  <w15:docId w15:val="{1500A936-41E4-4244-9E8C-12BCC8B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qFormat/>
    <w:rsid w:val="00AA02A0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qFormat/>
    <w:rsid w:val="00AA02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A02A0"/>
  </w:style>
  <w:style w:type="character" w:customStyle="1" w:styleId="NagwekZnak">
    <w:name w:val="Nagłówek Znak"/>
    <w:basedOn w:val="Domylnaczcionkaakapitu"/>
    <w:link w:val="Nagwek"/>
    <w:uiPriority w:val="99"/>
    <w:qFormat/>
    <w:rsid w:val="001C339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2C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2CF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2CF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33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2A0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AA02A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AA02A0"/>
    <w:pPr>
      <w:spacing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2CF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2C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E49FD9E8-1E18-4AAE-8B99-C965A4D226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A61505-5E50-4E40-891D-4DB71A759B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Kiszka</dc:creator>
  <dc:description/>
  <cp:lastModifiedBy>Agnieszka Kiszka</cp:lastModifiedBy>
  <cp:revision>5</cp:revision>
  <dcterms:created xsi:type="dcterms:W3CDTF">2024-02-28T13:54:00Z</dcterms:created>
  <dcterms:modified xsi:type="dcterms:W3CDTF">2024-03-07T12:23:00Z</dcterms:modified>
  <dc:language>pl-PL</dc:language>
</cp:coreProperties>
</file>