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E3B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0594B">
        <w:rPr>
          <w:rFonts w:asciiTheme="minorHAnsi" w:hAnsiTheme="minorHAnsi" w:cstheme="minorHAnsi"/>
          <w:b/>
          <w:iCs/>
          <w:sz w:val="24"/>
          <w:szCs w:val="24"/>
        </w:rPr>
        <w:t>Prz</w:t>
      </w:r>
      <w:bookmarkEnd w:id="0"/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ystosowanie łazienki do potrzeb osób z niepełnosprawnością w budynku Wydziału Geodezji, Kartografii, Katastru i Gospodarki nieruchomościami”, </w:t>
      </w:r>
      <w:bookmarkStart w:id="1" w:name="_GoBack"/>
      <w:bookmarkEnd w:id="1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EE3B99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DFECBBC" wp14:editId="12DAC8E3">
          <wp:simplePos x="0" y="0"/>
          <wp:positionH relativeFrom="column">
            <wp:posOffset>457200</wp:posOffset>
          </wp:positionH>
          <wp:positionV relativeFrom="paragraph">
            <wp:posOffset>-69215</wp:posOffset>
          </wp:positionV>
          <wp:extent cx="971550" cy="47625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05D76"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F9788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2022-11-18T07:22:00Z</dcterms:created>
  <dcterms:modified xsi:type="dcterms:W3CDTF">2022-11-18T07:22:00Z</dcterms:modified>
</cp:coreProperties>
</file>