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0DB29" w14:textId="71DDD641" w:rsidR="009415D0" w:rsidRPr="008007DD" w:rsidRDefault="008007DD" w:rsidP="008007DD">
      <w:pPr>
        <w:pStyle w:val="Bezodstpw"/>
        <w:jc w:val="center"/>
        <w:rPr>
          <w:b/>
          <w:bCs/>
          <w:u w:val="single"/>
        </w:rPr>
      </w:pPr>
      <w:r w:rsidRPr="008007DD">
        <w:rPr>
          <w:b/>
          <w:bCs/>
          <w:u w:val="single"/>
        </w:rPr>
        <w:t>SZCZEGÓŁOWY OPIS PRZEDMIOTU ZAMÓWIENIA</w:t>
      </w:r>
    </w:p>
    <w:p w14:paraId="03B447B1" w14:textId="77777777" w:rsidR="008007DD" w:rsidRDefault="008007DD" w:rsidP="009415D0">
      <w:pPr>
        <w:pStyle w:val="Bezodstpw"/>
      </w:pPr>
    </w:p>
    <w:p w14:paraId="4438FF14" w14:textId="1CF98B03" w:rsidR="008007DD" w:rsidRDefault="008007DD" w:rsidP="000C76D6">
      <w:pPr>
        <w:pStyle w:val="Bezodstpw"/>
        <w:jc w:val="both"/>
      </w:pPr>
      <w:r>
        <w:t>Przedmiotem zamówienia jest dostawa 24 szt. monitorów LED oraz 24 szt. dysków SSD do dydaktycznych laboratoriów komputerowych na Wydziale Elektroniki i Technik Informacyjnych PW w Warszawie przy ul. Nowowiejskiej 15/19</w:t>
      </w:r>
      <w:r w:rsidR="00B7719E">
        <w:t xml:space="preserve"> (część I – dostawa 24 szt. monitorów LED; część II – dostawa 24 szt. dysków SSD)</w:t>
      </w:r>
      <w:r>
        <w:t xml:space="preserve">. </w:t>
      </w:r>
    </w:p>
    <w:p w14:paraId="2A817689" w14:textId="77777777" w:rsidR="000C76D6" w:rsidRDefault="000C76D6" w:rsidP="000C76D6">
      <w:pPr>
        <w:pStyle w:val="Bezodstpw"/>
        <w:jc w:val="both"/>
      </w:pPr>
    </w:p>
    <w:p w14:paraId="21A9FB56" w14:textId="43AD3425" w:rsidR="008007DD" w:rsidRDefault="000C76D6" w:rsidP="000C76D6">
      <w:pPr>
        <w:pStyle w:val="Bezodstpw"/>
        <w:jc w:val="both"/>
      </w:pPr>
      <w:r>
        <w:t>Wymagania techniczne zawarte w niniejszym opisie przedmiotu zamówienia są wymaganiami minimalnymi, o ile wymagania szczególne nie przewidują inaczej. Zamawiający przez podanie w SWZ nazw własnych produktów, będących przedmiotem zamówienia, określa minimalne parametry techniczne, cechy użytkowe oraz jakościowe, jakim powinny odpowiadać produkty równoważne, aby spełniały stawiane wymagania. Ilekroć przedmiot zamówienia został opisany za pomocą znaków towarowych, patentów lub pochodzenia, źródła szczególnego procesu, który charakteryzuje produkty lub usługi dostarczone przez konkretnego wykonawcę, lub norm, europejskich ocen technicznych, aprobat, specyfikacji technicznych i systemów referencji technicznych przyjmuje się, iż opisowi temu towarzyszy określenie „lub równoważny”. Wykonawca, który w ofercie powoła się na zastosowanie produktów równoważnych do opisywanych w SWZ, jest obowiązany wykazać, że oferowane przez niego produkty spełniają wymagania określone przez Zamawiającego, poprzez wpisanie nazwy i konfiguracji produktu równoważnego w formularzu produktowym oraz wykazanie równoważności oferowanego produktu w stosunku do danej pozycji szczegółowego opisu przedmiotu zamówienia.</w:t>
      </w:r>
    </w:p>
    <w:p w14:paraId="66B64921" w14:textId="7A206115" w:rsidR="000C76D6" w:rsidRDefault="000C76D6" w:rsidP="000C76D6">
      <w:pPr>
        <w:pStyle w:val="Bezodstpw"/>
        <w:jc w:val="both"/>
      </w:pPr>
    </w:p>
    <w:p w14:paraId="47396AA0" w14:textId="7EDB452A" w:rsidR="000C76D6" w:rsidRDefault="000C76D6" w:rsidP="000C76D6">
      <w:pPr>
        <w:pStyle w:val="Bezodstpw"/>
        <w:jc w:val="both"/>
        <w:rPr>
          <w:b/>
          <w:bCs/>
        </w:rPr>
      </w:pPr>
      <w:r>
        <w:rPr>
          <w:b/>
          <w:bCs/>
        </w:rPr>
        <w:t>Część I zamówienia – dostawa 24 szt. monitorów LED</w:t>
      </w:r>
    </w:p>
    <w:p w14:paraId="3CF96753" w14:textId="77777777" w:rsidR="000C76D6" w:rsidRPr="000C76D6" w:rsidRDefault="000C76D6" w:rsidP="000C76D6">
      <w:pPr>
        <w:pStyle w:val="Bezodstpw"/>
        <w:jc w:val="both"/>
        <w:rPr>
          <w:b/>
          <w:bCs/>
        </w:rPr>
      </w:pPr>
    </w:p>
    <w:p w14:paraId="2616DA1B" w14:textId="77777777" w:rsidR="008007DD" w:rsidRPr="009415D0" w:rsidRDefault="008007DD" w:rsidP="008007DD">
      <w:pPr>
        <w:pStyle w:val="Bezodstpw"/>
      </w:pPr>
      <w:r w:rsidRPr="009415D0">
        <w:t>Monitor</w:t>
      </w:r>
    </w:p>
    <w:tbl>
      <w:tblPr>
        <w:tblStyle w:val="Tabela-Siatka"/>
        <w:tblW w:w="0" w:type="auto"/>
        <w:tblLook w:val="04A0" w:firstRow="1" w:lastRow="0" w:firstColumn="1" w:lastColumn="0" w:noHBand="0" w:noVBand="1"/>
      </w:tblPr>
      <w:tblGrid>
        <w:gridCol w:w="3460"/>
        <w:gridCol w:w="5602"/>
      </w:tblGrid>
      <w:tr w:rsidR="000C76D6" w:rsidRPr="009415D0" w14:paraId="401A5742" w14:textId="77777777" w:rsidTr="00424A5E">
        <w:tc>
          <w:tcPr>
            <w:tcW w:w="3460" w:type="dxa"/>
          </w:tcPr>
          <w:p w14:paraId="2E66CB5F" w14:textId="77777777" w:rsidR="000C76D6" w:rsidRPr="009415D0" w:rsidRDefault="000C76D6" w:rsidP="00424A5E">
            <w:pPr>
              <w:pStyle w:val="Bezodstpw"/>
            </w:pPr>
            <w:r>
              <w:t>Ilość</w:t>
            </w:r>
          </w:p>
        </w:tc>
        <w:tc>
          <w:tcPr>
            <w:tcW w:w="5602" w:type="dxa"/>
          </w:tcPr>
          <w:p w14:paraId="3894D0C8" w14:textId="0CBF1AD8" w:rsidR="000C76D6" w:rsidRPr="009415D0" w:rsidRDefault="000C76D6" w:rsidP="00424A5E">
            <w:pPr>
              <w:pStyle w:val="Bezodstpw"/>
            </w:pPr>
            <w:r>
              <w:t>24 szt</w:t>
            </w:r>
            <w:r w:rsidR="0010176A">
              <w:t>.</w:t>
            </w:r>
          </w:p>
        </w:tc>
      </w:tr>
      <w:tr w:rsidR="000C76D6" w:rsidRPr="009415D0" w14:paraId="679A61AA" w14:textId="77777777" w:rsidTr="00424A5E">
        <w:tc>
          <w:tcPr>
            <w:tcW w:w="3460" w:type="dxa"/>
          </w:tcPr>
          <w:p w14:paraId="4D924735" w14:textId="77777777" w:rsidR="000C76D6" w:rsidRPr="009415D0" w:rsidRDefault="000C76D6" w:rsidP="00424A5E">
            <w:pPr>
              <w:pStyle w:val="Bezodstpw"/>
            </w:pPr>
            <w:r w:rsidRPr="009415D0">
              <w:t xml:space="preserve">Przekątna </w:t>
            </w:r>
          </w:p>
        </w:tc>
        <w:tc>
          <w:tcPr>
            <w:tcW w:w="5602" w:type="dxa"/>
          </w:tcPr>
          <w:p w14:paraId="7FC299FC" w14:textId="77777777" w:rsidR="000C76D6" w:rsidRPr="009415D0" w:rsidRDefault="000C76D6" w:rsidP="00424A5E">
            <w:pPr>
              <w:pStyle w:val="Bezodstpw"/>
            </w:pPr>
            <w:r>
              <w:t>24</w:t>
            </w:r>
            <w:r w:rsidRPr="009415D0">
              <w:t>”</w:t>
            </w:r>
            <w:r>
              <w:t xml:space="preserve"> </w:t>
            </w:r>
            <w:r>
              <w:rPr>
                <w:rFonts w:cstheme="minorHAnsi"/>
              </w:rPr>
              <w:t>±</w:t>
            </w:r>
            <w:r>
              <w:t xml:space="preserve"> 0.2”</w:t>
            </w:r>
          </w:p>
        </w:tc>
      </w:tr>
      <w:tr w:rsidR="000C76D6" w:rsidRPr="00A01820" w14:paraId="67B7E75B" w14:textId="77777777" w:rsidTr="00424A5E">
        <w:tc>
          <w:tcPr>
            <w:tcW w:w="3460" w:type="dxa"/>
          </w:tcPr>
          <w:p w14:paraId="28A1A02F" w14:textId="77777777" w:rsidR="000C76D6" w:rsidRPr="009415D0" w:rsidRDefault="000C76D6" w:rsidP="00424A5E">
            <w:pPr>
              <w:pStyle w:val="Bezodstpw"/>
            </w:pPr>
            <w:r>
              <w:t xml:space="preserve">Właściwości </w:t>
            </w:r>
            <w:r w:rsidRPr="009415D0">
              <w:t xml:space="preserve">matrycy </w:t>
            </w:r>
          </w:p>
        </w:tc>
        <w:tc>
          <w:tcPr>
            <w:tcW w:w="5602" w:type="dxa"/>
          </w:tcPr>
          <w:p w14:paraId="5B8AF45A" w14:textId="77777777" w:rsidR="000C76D6" w:rsidRDefault="000C76D6" w:rsidP="000C76D6">
            <w:pPr>
              <w:pStyle w:val="Bezodstpw"/>
              <w:numPr>
                <w:ilvl w:val="0"/>
                <w:numId w:val="2"/>
              </w:numPr>
              <w:rPr>
                <w:bCs/>
                <w:color w:val="444444"/>
              </w:rPr>
            </w:pPr>
            <w:r>
              <w:rPr>
                <w:bCs/>
                <w:color w:val="444444"/>
              </w:rPr>
              <w:t>płaska</w:t>
            </w:r>
          </w:p>
          <w:p w14:paraId="7CCD1342" w14:textId="77777777" w:rsidR="000C76D6" w:rsidRDefault="000C76D6" w:rsidP="000C76D6">
            <w:pPr>
              <w:pStyle w:val="Bezodstpw"/>
              <w:numPr>
                <w:ilvl w:val="0"/>
                <w:numId w:val="2"/>
              </w:numPr>
              <w:rPr>
                <w:bCs/>
                <w:color w:val="444444"/>
              </w:rPr>
            </w:pPr>
            <w:r>
              <w:rPr>
                <w:bCs/>
                <w:color w:val="444444"/>
              </w:rPr>
              <w:t>m</w:t>
            </w:r>
            <w:r w:rsidRPr="00A01820">
              <w:rPr>
                <w:bCs/>
                <w:color w:val="444444"/>
              </w:rPr>
              <w:t>atowa</w:t>
            </w:r>
          </w:p>
          <w:p w14:paraId="6268C0C3" w14:textId="77777777" w:rsidR="000C76D6" w:rsidRPr="00A01820" w:rsidRDefault="000C76D6" w:rsidP="000C76D6">
            <w:pPr>
              <w:pStyle w:val="Bezodstpw"/>
              <w:numPr>
                <w:ilvl w:val="0"/>
                <w:numId w:val="2"/>
              </w:numPr>
            </w:pPr>
            <w:r>
              <w:rPr>
                <w:bCs/>
                <w:color w:val="444444"/>
              </w:rPr>
              <w:t>z podświetleniem LED</w:t>
            </w:r>
          </w:p>
        </w:tc>
      </w:tr>
      <w:tr w:rsidR="000C76D6" w14:paraId="550CC0F6" w14:textId="77777777" w:rsidTr="00424A5E">
        <w:tc>
          <w:tcPr>
            <w:tcW w:w="3460" w:type="dxa"/>
          </w:tcPr>
          <w:p w14:paraId="15338B31" w14:textId="77777777" w:rsidR="000C76D6" w:rsidRPr="009415D0" w:rsidRDefault="000C76D6" w:rsidP="00424A5E">
            <w:pPr>
              <w:pStyle w:val="Bezodstpw"/>
            </w:pPr>
            <w:r>
              <w:t>Rozdzielczość</w:t>
            </w:r>
          </w:p>
        </w:tc>
        <w:tc>
          <w:tcPr>
            <w:tcW w:w="5602" w:type="dxa"/>
          </w:tcPr>
          <w:p w14:paraId="756F9750" w14:textId="77777777" w:rsidR="000C76D6" w:rsidRDefault="000C76D6" w:rsidP="00424A5E">
            <w:pPr>
              <w:pStyle w:val="Bezodstpw"/>
            </w:pPr>
            <w:r>
              <w:t xml:space="preserve">Co najmniej FHD (1920 </w:t>
            </w:r>
            <w:r>
              <w:rPr>
                <w:rFonts w:cstheme="minorHAnsi"/>
              </w:rPr>
              <w:t>×</w:t>
            </w:r>
            <w:r>
              <w:t xml:space="preserve"> 1080)</w:t>
            </w:r>
          </w:p>
        </w:tc>
      </w:tr>
      <w:tr w:rsidR="000C76D6" w:rsidRPr="009415D0" w14:paraId="37EE9675" w14:textId="77777777" w:rsidTr="00424A5E">
        <w:tc>
          <w:tcPr>
            <w:tcW w:w="3460" w:type="dxa"/>
          </w:tcPr>
          <w:p w14:paraId="65538298" w14:textId="77777777" w:rsidR="000C76D6" w:rsidRPr="009415D0" w:rsidRDefault="000C76D6" w:rsidP="00424A5E">
            <w:pPr>
              <w:pStyle w:val="Bezodstpw"/>
            </w:pPr>
            <w:r w:rsidRPr="009415D0">
              <w:t>Złącza</w:t>
            </w:r>
            <w:r>
              <w:t xml:space="preserve"> sygnałowe</w:t>
            </w:r>
          </w:p>
        </w:tc>
        <w:tc>
          <w:tcPr>
            <w:tcW w:w="5602" w:type="dxa"/>
          </w:tcPr>
          <w:p w14:paraId="4FC5EA44" w14:textId="77777777" w:rsidR="000C76D6" w:rsidRPr="009415D0" w:rsidRDefault="000C76D6" w:rsidP="00424A5E">
            <w:pPr>
              <w:pStyle w:val="Bezodstpw"/>
            </w:pPr>
            <w:r>
              <w:t>Co najmniej</w:t>
            </w:r>
            <w:r w:rsidRPr="009415D0">
              <w:t xml:space="preserve"> jedno złącze HDMI</w:t>
            </w:r>
            <w:r>
              <w:t xml:space="preserve"> w wersji min. 1.4</w:t>
            </w:r>
            <w:r w:rsidRPr="009415D0">
              <w:t xml:space="preserve"> </w:t>
            </w:r>
          </w:p>
          <w:p w14:paraId="76B925DD" w14:textId="77777777" w:rsidR="000C76D6" w:rsidRPr="009415D0" w:rsidRDefault="000C76D6" w:rsidP="00424A5E">
            <w:pPr>
              <w:pStyle w:val="Bezodstpw"/>
            </w:pPr>
            <w:r>
              <w:t>Co najmniej jedno złącze VGA (D-</w:t>
            </w:r>
            <w:proofErr w:type="spellStart"/>
            <w:r>
              <w:t>Sub</w:t>
            </w:r>
            <w:proofErr w:type="spellEnd"/>
            <w:r>
              <w:t>)</w:t>
            </w:r>
          </w:p>
        </w:tc>
      </w:tr>
      <w:tr w:rsidR="000C76D6" w:rsidRPr="009415D0" w14:paraId="20AFD3E7" w14:textId="77777777" w:rsidTr="00424A5E">
        <w:tc>
          <w:tcPr>
            <w:tcW w:w="3460" w:type="dxa"/>
          </w:tcPr>
          <w:p w14:paraId="570ED40E" w14:textId="77777777" w:rsidR="000C76D6" w:rsidRPr="009415D0" w:rsidRDefault="000C76D6" w:rsidP="00424A5E">
            <w:pPr>
              <w:pStyle w:val="Bezodstpw"/>
            </w:pPr>
            <w:r w:rsidRPr="009415D0">
              <w:t>Montaż ścienny</w:t>
            </w:r>
          </w:p>
        </w:tc>
        <w:tc>
          <w:tcPr>
            <w:tcW w:w="5602" w:type="dxa"/>
          </w:tcPr>
          <w:p w14:paraId="6EE9F6D9" w14:textId="77777777" w:rsidR="000C76D6" w:rsidRPr="009415D0" w:rsidRDefault="000C76D6" w:rsidP="00424A5E">
            <w:pPr>
              <w:pStyle w:val="Bezodstpw"/>
            </w:pPr>
            <w:r>
              <w:t xml:space="preserve">VESA 100 </w:t>
            </w:r>
            <w:r>
              <w:rPr>
                <w:rFonts w:cstheme="minorHAnsi"/>
              </w:rPr>
              <w:t>×</w:t>
            </w:r>
            <w:r>
              <w:t xml:space="preserve"> 100</w:t>
            </w:r>
          </w:p>
        </w:tc>
      </w:tr>
      <w:tr w:rsidR="000C76D6" w14:paraId="4375D3B5" w14:textId="77777777" w:rsidTr="00424A5E">
        <w:tc>
          <w:tcPr>
            <w:tcW w:w="3460" w:type="dxa"/>
          </w:tcPr>
          <w:p w14:paraId="1460FC25" w14:textId="77777777" w:rsidR="000C76D6" w:rsidRDefault="000C76D6" w:rsidP="00424A5E">
            <w:pPr>
              <w:pStyle w:val="Bezodstpw"/>
            </w:pPr>
            <w:r>
              <w:t>Zasilacz</w:t>
            </w:r>
          </w:p>
        </w:tc>
        <w:tc>
          <w:tcPr>
            <w:tcW w:w="5602" w:type="dxa"/>
          </w:tcPr>
          <w:p w14:paraId="67B5C5E5" w14:textId="77777777" w:rsidR="000C76D6" w:rsidRDefault="000C76D6" w:rsidP="00424A5E">
            <w:pPr>
              <w:pStyle w:val="Bezodstpw"/>
            </w:pPr>
            <w:r>
              <w:t>Wbudowany</w:t>
            </w:r>
          </w:p>
        </w:tc>
      </w:tr>
      <w:tr w:rsidR="000C76D6" w14:paraId="0F2B27D5" w14:textId="77777777" w:rsidTr="00424A5E">
        <w:tc>
          <w:tcPr>
            <w:tcW w:w="3460" w:type="dxa"/>
          </w:tcPr>
          <w:p w14:paraId="1A47A7B7" w14:textId="77777777" w:rsidR="000C76D6" w:rsidRDefault="000C76D6" w:rsidP="00424A5E">
            <w:pPr>
              <w:pStyle w:val="Bezodstpw"/>
            </w:pPr>
            <w:r>
              <w:t>Wymagania dodatkowe</w:t>
            </w:r>
          </w:p>
        </w:tc>
        <w:tc>
          <w:tcPr>
            <w:tcW w:w="5602" w:type="dxa"/>
          </w:tcPr>
          <w:p w14:paraId="49F9CC9B" w14:textId="77777777" w:rsidR="000C76D6" w:rsidRDefault="000C76D6" w:rsidP="00424A5E">
            <w:pPr>
              <w:pStyle w:val="Bezodstpw"/>
            </w:pPr>
            <w:r>
              <w:t xml:space="preserve">Dołączony kabel HDMI o </w:t>
            </w:r>
            <w:proofErr w:type="spellStart"/>
            <w:r>
              <w:t>o</w:t>
            </w:r>
            <w:proofErr w:type="spellEnd"/>
            <w:r>
              <w:t xml:space="preserve"> długości 1.8</w:t>
            </w:r>
            <w:r>
              <w:rPr>
                <w:rFonts w:cstheme="minorHAnsi"/>
              </w:rPr>
              <w:t>÷</w:t>
            </w:r>
            <w:r>
              <w:t xml:space="preserve">2m </w:t>
            </w:r>
          </w:p>
        </w:tc>
      </w:tr>
      <w:tr w:rsidR="000C76D6" w:rsidRPr="009415D0" w14:paraId="0CD73044" w14:textId="77777777" w:rsidTr="00424A5E">
        <w:trPr>
          <w:trHeight w:val="859"/>
        </w:trPr>
        <w:tc>
          <w:tcPr>
            <w:tcW w:w="3460" w:type="dxa"/>
          </w:tcPr>
          <w:p w14:paraId="67627C2A" w14:textId="54B44B77" w:rsidR="00854B8D" w:rsidRDefault="000C76D6" w:rsidP="00424A5E">
            <w:pPr>
              <w:pStyle w:val="Bezodstpw"/>
            </w:pPr>
            <w:r>
              <w:t>Okres gwarancji</w:t>
            </w:r>
            <w:r w:rsidR="0010176A">
              <w:t xml:space="preserve"> </w:t>
            </w:r>
            <w:r w:rsidR="00854B8D">
              <w:t xml:space="preserve">(kryterium punktowane) </w:t>
            </w:r>
          </w:p>
          <w:p w14:paraId="23BFE47B" w14:textId="77777777" w:rsidR="00854B8D" w:rsidRDefault="00854B8D" w:rsidP="00424A5E">
            <w:pPr>
              <w:pStyle w:val="Bezodstpw"/>
            </w:pPr>
          </w:p>
          <w:p w14:paraId="05A3E1D6" w14:textId="31399D09" w:rsidR="000C76D6" w:rsidRPr="009415D0" w:rsidRDefault="00854B8D" w:rsidP="00424A5E">
            <w:pPr>
              <w:pStyle w:val="Bezodstpw"/>
            </w:pPr>
            <w:r>
              <w:t>G</w:t>
            </w:r>
            <w:r w:rsidR="0010176A">
              <w:t>warancja braku złych (jasnych) pikseli (kryterium punktowane)</w:t>
            </w:r>
          </w:p>
        </w:tc>
        <w:tc>
          <w:tcPr>
            <w:tcW w:w="5602" w:type="dxa"/>
          </w:tcPr>
          <w:p w14:paraId="7B1B7ED8" w14:textId="33139184" w:rsidR="000C76D6" w:rsidRDefault="000C76D6" w:rsidP="00424A5E">
            <w:pPr>
              <w:pStyle w:val="Bezodstpw"/>
            </w:pPr>
            <w:r>
              <w:t>Wymagany: minimum</w:t>
            </w:r>
            <w:r w:rsidRPr="009415D0">
              <w:t xml:space="preserve"> </w:t>
            </w:r>
            <w:r>
              <w:t>2 lata – 0 pkt.</w:t>
            </w:r>
          </w:p>
          <w:p w14:paraId="68DE15D5" w14:textId="77777777" w:rsidR="000C76D6" w:rsidRDefault="000C76D6" w:rsidP="000C76D6">
            <w:pPr>
              <w:pStyle w:val="Bezodstpw"/>
              <w:numPr>
                <w:ilvl w:val="0"/>
                <w:numId w:val="1"/>
              </w:numPr>
            </w:pPr>
            <w:r>
              <w:t>Za wydłużenie okresu gwarancji:</w:t>
            </w:r>
          </w:p>
          <w:p w14:paraId="2AF885D7" w14:textId="2189ED5E" w:rsidR="000C76D6" w:rsidRDefault="000C76D6" w:rsidP="000C76D6">
            <w:pPr>
              <w:pStyle w:val="Bezodstpw"/>
              <w:numPr>
                <w:ilvl w:val="1"/>
                <w:numId w:val="1"/>
              </w:numPr>
            </w:pPr>
            <w:r>
              <w:t>do min. 3 lat – 20 pkt</w:t>
            </w:r>
          </w:p>
          <w:p w14:paraId="1A2EB4B4" w14:textId="6DB37572" w:rsidR="000C76D6" w:rsidRPr="009415D0" w:rsidRDefault="0010176A" w:rsidP="009754D6">
            <w:pPr>
              <w:spacing w:after="0" w:line="240" w:lineRule="auto"/>
              <w:rPr>
                <w:b/>
              </w:rPr>
            </w:pPr>
            <w:r>
              <w:t>G</w:t>
            </w:r>
            <w:r w:rsidR="000C76D6">
              <w:t>warancj</w:t>
            </w:r>
            <w:r>
              <w:t>a</w:t>
            </w:r>
            <w:r w:rsidR="000C76D6">
              <w:t xml:space="preserve"> braku złych (jasnych) pikseli przez okres min. 3 miesięcy </w:t>
            </w:r>
            <w:r w:rsidR="00854B8D">
              <w:rPr>
                <w:rStyle w:val="Odwoaniedokomentarza"/>
                <w:rFonts w:ascii="Calibri" w:eastAsia="Calibri" w:hAnsi="Calibri" w:cs="Times New Roman"/>
              </w:rPr>
              <w:t>–</w:t>
            </w:r>
            <w:r>
              <w:rPr>
                <w:rStyle w:val="Odwoaniedokomentarza"/>
                <w:rFonts w:ascii="Calibri" w:eastAsia="Calibri" w:hAnsi="Calibri" w:cs="Times New Roman"/>
              </w:rPr>
              <w:t xml:space="preserve"> </w:t>
            </w:r>
            <w:r w:rsidR="000C76D6">
              <w:t>20</w:t>
            </w:r>
            <w:r w:rsidR="00854B8D">
              <w:t xml:space="preserve"> </w:t>
            </w:r>
            <w:r w:rsidR="000C76D6">
              <w:t>pkt</w:t>
            </w:r>
          </w:p>
        </w:tc>
      </w:tr>
    </w:tbl>
    <w:p w14:paraId="2F739056" w14:textId="77777777" w:rsidR="008007DD" w:rsidRDefault="008007DD" w:rsidP="009415D0">
      <w:pPr>
        <w:pStyle w:val="Bezodstpw"/>
      </w:pPr>
    </w:p>
    <w:p w14:paraId="46AF2561" w14:textId="77777777" w:rsidR="008007DD" w:rsidRDefault="008007DD" w:rsidP="009415D0">
      <w:pPr>
        <w:pStyle w:val="Bezodstpw"/>
      </w:pPr>
    </w:p>
    <w:p w14:paraId="45CE05D9" w14:textId="6E8709AA" w:rsidR="000C76D6" w:rsidRDefault="000C76D6" w:rsidP="000C76D6">
      <w:pPr>
        <w:pStyle w:val="Bezodstpw"/>
        <w:jc w:val="both"/>
        <w:rPr>
          <w:b/>
          <w:bCs/>
        </w:rPr>
      </w:pPr>
      <w:r>
        <w:rPr>
          <w:b/>
          <w:bCs/>
        </w:rPr>
        <w:t>Część II zamówienia – dostawa 24 szt. dysków SSD</w:t>
      </w:r>
    </w:p>
    <w:p w14:paraId="75CA33F9" w14:textId="77777777" w:rsidR="008007DD" w:rsidRDefault="008007DD" w:rsidP="009415D0">
      <w:pPr>
        <w:pStyle w:val="Bezodstpw"/>
      </w:pPr>
    </w:p>
    <w:p w14:paraId="284F0DC7" w14:textId="489977DF" w:rsidR="008007DD" w:rsidRPr="009415D0" w:rsidRDefault="00815DE5" w:rsidP="009415D0">
      <w:pPr>
        <w:pStyle w:val="Bezodstpw"/>
      </w:pPr>
      <w:r w:rsidRPr="009415D0">
        <w:t xml:space="preserve">Dysk </w:t>
      </w:r>
      <w:r w:rsidR="000C76D6">
        <w:t>SSD</w:t>
      </w:r>
    </w:p>
    <w:tbl>
      <w:tblPr>
        <w:tblStyle w:val="Tabela-Siatka"/>
        <w:tblW w:w="0" w:type="auto"/>
        <w:tblLook w:val="04A0" w:firstRow="1" w:lastRow="0" w:firstColumn="1" w:lastColumn="0" w:noHBand="0" w:noVBand="1"/>
      </w:tblPr>
      <w:tblGrid>
        <w:gridCol w:w="3459"/>
        <w:gridCol w:w="5603"/>
      </w:tblGrid>
      <w:tr w:rsidR="000C76D6" w:rsidRPr="009415D0" w14:paraId="003C4A2C" w14:textId="77777777" w:rsidTr="00424A5E">
        <w:tc>
          <w:tcPr>
            <w:tcW w:w="3459" w:type="dxa"/>
          </w:tcPr>
          <w:p w14:paraId="42988B9E" w14:textId="77777777" w:rsidR="000C76D6" w:rsidRPr="009415D0" w:rsidRDefault="000C76D6" w:rsidP="00424A5E">
            <w:pPr>
              <w:pStyle w:val="Bezodstpw"/>
            </w:pPr>
            <w:r>
              <w:t>Ilość</w:t>
            </w:r>
          </w:p>
        </w:tc>
        <w:tc>
          <w:tcPr>
            <w:tcW w:w="5603" w:type="dxa"/>
          </w:tcPr>
          <w:p w14:paraId="71310290" w14:textId="29D9347B" w:rsidR="000C76D6" w:rsidRPr="009415D0" w:rsidRDefault="000C76D6" w:rsidP="00424A5E">
            <w:pPr>
              <w:pStyle w:val="Bezodstpw"/>
            </w:pPr>
            <w:r>
              <w:t>24 szt</w:t>
            </w:r>
            <w:r w:rsidR="0010176A">
              <w:t>.</w:t>
            </w:r>
          </w:p>
        </w:tc>
      </w:tr>
      <w:tr w:rsidR="000C76D6" w:rsidRPr="009415D0" w14:paraId="0A7A30B3" w14:textId="77777777" w:rsidTr="00424A5E">
        <w:tc>
          <w:tcPr>
            <w:tcW w:w="3459" w:type="dxa"/>
          </w:tcPr>
          <w:p w14:paraId="23F63734" w14:textId="77777777" w:rsidR="000C76D6" w:rsidRPr="009415D0" w:rsidRDefault="000C76D6" w:rsidP="00424A5E">
            <w:pPr>
              <w:pStyle w:val="Bezodstpw"/>
            </w:pPr>
            <w:r w:rsidRPr="009415D0">
              <w:t xml:space="preserve">Pojemność </w:t>
            </w:r>
          </w:p>
        </w:tc>
        <w:tc>
          <w:tcPr>
            <w:tcW w:w="5603" w:type="dxa"/>
          </w:tcPr>
          <w:p w14:paraId="37B088BB" w14:textId="77777777" w:rsidR="000C76D6" w:rsidRPr="009415D0" w:rsidRDefault="000C76D6" w:rsidP="00424A5E">
            <w:pPr>
              <w:pStyle w:val="Bezodstpw"/>
            </w:pPr>
            <w:r w:rsidRPr="009415D0">
              <w:t>Co najmniej 500GB</w:t>
            </w:r>
          </w:p>
        </w:tc>
      </w:tr>
      <w:tr w:rsidR="000C76D6" w:rsidRPr="009415D0" w14:paraId="0B04D405" w14:textId="77777777" w:rsidTr="00424A5E">
        <w:tc>
          <w:tcPr>
            <w:tcW w:w="3459" w:type="dxa"/>
          </w:tcPr>
          <w:p w14:paraId="0CAAF070" w14:textId="77777777" w:rsidR="000C76D6" w:rsidRPr="009415D0" w:rsidRDefault="000C76D6" w:rsidP="00424A5E">
            <w:pPr>
              <w:pStyle w:val="Bezodstpw"/>
            </w:pPr>
            <w:r>
              <w:t>Interfejs</w:t>
            </w:r>
          </w:p>
        </w:tc>
        <w:tc>
          <w:tcPr>
            <w:tcW w:w="5603" w:type="dxa"/>
          </w:tcPr>
          <w:p w14:paraId="14D6AF03" w14:textId="77777777" w:rsidR="000C76D6" w:rsidRPr="009415D0" w:rsidRDefault="000C76D6" w:rsidP="00424A5E">
            <w:pPr>
              <w:pStyle w:val="Bezodstpw"/>
            </w:pPr>
            <w:r>
              <w:rPr>
                <w:rFonts w:eastAsia="Times New Roman"/>
                <w:lang w:eastAsia="pl-PL"/>
              </w:rPr>
              <w:t>SATA 6Gbps</w:t>
            </w:r>
          </w:p>
        </w:tc>
      </w:tr>
      <w:tr w:rsidR="000C76D6" w:rsidRPr="009415D0" w14:paraId="08FBBB03" w14:textId="77777777" w:rsidTr="00424A5E">
        <w:tc>
          <w:tcPr>
            <w:tcW w:w="3459" w:type="dxa"/>
          </w:tcPr>
          <w:p w14:paraId="534673B2" w14:textId="77777777" w:rsidR="000C76D6" w:rsidRPr="009415D0" w:rsidRDefault="000C76D6" w:rsidP="00424A5E">
            <w:pPr>
              <w:pStyle w:val="Bezodstpw"/>
            </w:pPr>
            <w:r>
              <w:t>Format</w:t>
            </w:r>
          </w:p>
        </w:tc>
        <w:tc>
          <w:tcPr>
            <w:tcW w:w="5603" w:type="dxa"/>
          </w:tcPr>
          <w:p w14:paraId="50D15020" w14:textId="77777777" w:rsidR="000C76D6" w:rsidRPr="009415D0" w:rsidRDefault="000C76D6" w:rsidP="00424A5E">
            <w:pPr>
              <w:pStyle w:val="Bezodstpw"/>
            </w:pPr>
            <w:r>
              <w:t>2.5”, wysokość nie większa niż 7mm</w:t>
            </w:r>
          </w:p>
        </w:tc>
      </w:tr>
      <w:tr w:rsidR="000C76D6" w:rsidRPr="009415D0" w14:paraId="38B49728" w14:textId="77777777" w:rsidTr="00424A5E">
        <w:tc>
          <w:tcPr>
            <w:tcW w:w="3459" w:type="dxa"/>
          </w:tcPr>
          <w:p w14:paraId="3C421E55" w14:textId="77777777" w:rsidR="000C76D6" w:rsidRPr="009415D0" w:rsidRDefault="000C76D6" w:rsidP="00424A5E">
            <w:pPr>
              <w:pStyle w:val="Bezodstpw"/>
            </w:pPr>
            <w:r>
              <w:lastRenderedPageBreak/>
              <w:t>Wydajność</w:t>
            </w:r>
          </w:p>
        </w:tc>
        <w:tc>
          <w:tcPr>
            <w:tcW w:w="5603" w:type="dxa"/>
          </w:tcPr>
          <w:p w14:paraId="4F927E37" w14:textId="77777777" w:rsidR="000C76D6" w:rsidRDefault="000C76D6" w:rsidP="00424A5E">
            <w:pPr>
              <w:pStyle w:val="Bezodstpw"/>
            </w:pPr>
            <w:r>
              <w:t xml:space="preserve">Osiągalna prędkość sekwencyjnego odczytu/zapisu: co najmniej 550/500 </w:t>
            </w:r>
            <w:proofErr w:type="spellStart"/>
            <w:r>
              <w:t>MBp</w:t>
            </w:r>
            <w:r w:rsidRPr="009415D0">
              <w:t>s</w:t>
            </w:r>
            <w:proofErr w:type="spellEnd"/>
          </w:p>
          <w:p w14:paraId="4200EDEE" w14:textId="77777777" w:rsidR="000C76D6" w:rsidRPr="009415D0" w:rsidRDefault="000C76D6" w:rsidP="00424A5E">
            <w:pPr>
              <w:pStyle w:val="Bezodstpw"/>
            </w:pPr>
            <w:r>
              <w:t>Osiągalna prędkość odczytu i zapisu losowego: co najmniej 80 000 IOPS (4KB, QD32)</w:t>
            </w:r>
          </w:p>
        </w:tc>
      </w:tr>
      <w:tr w:rsidR="000C76D6" w:rsidRPr="00933069" w14:paraId="7FADD04E" w14:textId="77777777" w:rsidTr="00424A5E">
        <w:trPr>
          <w:trHeight w:val="859"/>
        </w:trPr>
        <w:tc>
          <w:tcPr>
            <w:tcW w:w="3459" w:type="dxa"/>
          </w:tcPr>
          <w:p w14:paraId="0317AF41" w14:textId="77777777" w:rsidR="000C76D6" w:rsidRPr="009415D0" w:rsidRDefault="000C76D6" w:rsidP="00424A5E">
            <w:pPr>
              <w:pStyle w:val="Bezodstpw"/>
            </w:pPr>
            <w:r>
              <w:t>Parametry jakościowe</w:t>
            </w:r>
          </w:p>
        </w:tc>
        <w:tc>
          <w:tcPr>
            <w:tcW w:w="5603" w:type="dxa"/>
          </w:tcPr>
          <w:p w14:paraId="3EAAFC4C" w14:textId="77777777" w:rsidR="000C76D6" w:rsidRDefault="000C76D6" w:rsidP="000C76D6">
            <w:pPr>
              <w:pStyle w:val="Bezodstpw"/>
              <w:numPr>
                <w:ilvl w:val="0"/>
                <w:numId w:val="3"/>
              </w:numPr>
            </w:pPr>
            <w:r w:rsidRPr="00933069">
              <w:t>Niezawodnoś</w:t>
            </w:r>
            <w:r>
              <w:t>ć</w:t>
            </w:r>
            <w:r w:rsidRPr="00933069">
              <w:t>:</w:t>
            </w:r>
            <w:r>
              <w:t xml:space="preserve"> parametr MTBF nie mniejszy niż 1.5 mln godzin (lub równoważny parametr AFR nie większy niż 0.58%)</w:t>
            </w:r>
          </w:p>
          <w:p w14:paraId="409DC57B" w14:textId="77777777" w:rsidR="000C76D6" w:rsidRPr="00933069" w:rsidRDefault="000C76D6" w:rsidP="000C76D6">
            <w:pPr>
              <w:pStyle w:val="Bezodstpw"/>
              <w:numPr>
                <w:ilvl w:val="0"/>
                <w:numId w:val="3"/>
              </w:numPr>
              <w:rPr>
                <w:bCs/>
                <w:color w:val="444444"/>
              </w:rPr>
            </w:pPr>
            <w:r>
              <w:t>Trwałość: parametr TBW nie mniejszy niż 200TB</w:t>
            </w:r>
          </w:p>
        </w:tc>
      </w:tr>
      <w:tr w:rsidR="000C76D6" w:rsidRPr="009415D0" w14:paraId="564AE8C5" w14:textId="77777777" w:rsidTr="00424A5E">
        <w:trPr>
          <w:trHeight w:val="859"/>
        </w:trPr>
        <w:tc>
          <w:tcPr>
            <w:tcW w:w="3459" w:type="dxa"/>
          </w:tcPr>
          <w:p w14:paraId="4A1D2B42" w14:textId="77777777" w:rsidR="000C76D6" w:rsidRDefault="000C76D6" w:rsidP="00424A5E">
            <w:pPr>
              <w:pStyle w:val="Bezodstpw"/>
            </w:pPr>
            <w:r w:rsidRPr="009415D0">
              <w:t xml:space="preserve">Okres gwarancji </w:t>
            </w:r>
          </w:p>
          <w:p w14:paraId="5C11649B" w14:textId="77777777" w:rsidR="000C76D6" w:rsidRPr="009415D0" w:rsidRDefault="000C76D6" w:rsidP="00424A5E">
            <w:pPr>
              <w:pStyle w:val="Bezodstpw"/>
            </w:pPr>
            <w:r>
              <w:t>(kryterium punktowane)</w:t>
            </w:r>
          </w:p>
        </w:tc>
        <w:tc>
          <w:tcPr>
            <w:tcW w:w="5603" w:type="dxa"/>
          </w:tcPr>
          <w:p w14:paraId="224D8226" w14:textId="763AE8F4" w:rsidR="000C76D6" w:rsidRDefault="000C76D6" w:rsidP="00424A5E">
            <w:pPr>
              <w:pStyle w:val="Bezodstpw"/>
            </w:pPr>
            <w:r>
              <w:t>Wymagany: minimum</w:t>
            </w:r>
            <w:r w:rsidRPr="009415D0">
              <w:t xml:space="preserve"> </w:t>
            </w:r>
            <w:r>
              <w:t>3 lata-</w:t>
            </w:r>
            <w:r w:rsidR="0010176A">
              <w:t xml:space="preserve"> </w:t>
            </w:r>
            <w:r>
              <w:t>0 pkt.</w:t>
            </w:r>
          </w:p>
          <w:p w14:paraId="1286BE9B" w14:textId="0D6A946D" w:rsidR="000C76D6" w:rsidRPr="009415D0" w:rsidRDefault="000C76D6" w:rsidP="00424A5E">
            <w:pPr>
              <w:pStyle w:val="Bezodstpw"/>
              <w:rPr>
                <w:b/>
              </w:rPr>
            </w:pPr>
            <w:r>
              <w:t>Za wydłużenie okresu gwarancji do min. 5 lat –</w:t>
            </w:r>
            <w:r w:rsidR="0010176A">
              <w:t>4</w:t>
            </w:r>
            <w:r>
              <w:t>0 pkt</w:t>
            </w:r>
          </w:p>
        </w:tc>
      </w:tr>
    </w:tbl>
    <w:p w14:paraId="7348E236" w14:textId="71A865CD" w:rsidR="0035311A" w:rsidRDefault="0035311A" w:rsidP="009415D0">
      <w:pPr>
        <w:pStyle w:val="Bezodstpw"/>
      </w:pPr>
    </w:p>
    <w:p w14:paraId="64565358" w14:textId="77777777" w:rsidR="009415D0" w:rsidRPr="009415D0" w:rsidRDefault="009415D0" w:rsidP="009415D0">
      <w:pPr>
        <w:pStyle w:val="Bezodstpw"/>
      </w:pPr>
    </w:p>
    <w:p w14:paraId="345EF1FB" w14:textId="3975FE2E" w:rsidR="00815DE5" w:rsidRPr="009415D0" w:rsidRDefault="00815DE5" w:rsidP="009415D0">
      <w:pPr>
        <w:pStyle w:val="Bezodstpw"/>
      </w:pPr>
    </w:p>
    <w:p w14:paraId="7EA4F5EF" w14:textId="77777777" w:rsidR="00815DE5" w:rsidRPr="009415D0" w:rsidRDefault="00815DE5" w:rsidP="009415D0">
      <w:pPr>
        <w:pStyle w:val="Bezodstpw"/>
      </w:pPr>
      <w:bookmarkStart w:id="0" w:name="_GoBack"/>
      <w:bookmarkEnd w:id="0"/>
    </w:p>
    <w:sectPr w:rsidR="00815DE5" w:rsidRPr="009415D0">
      <w:head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F459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9822" w16cex:dateUtc="2022-06-07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F459DA" w16cid:durableId="264998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D5B77" w14:textId="77777777" w:rsidR="00A84C9E" w:rsidRDefault="00A84C9E" w:rsidP="008007DD">
      <w:pPr>
        <w:spacing w:after="0" w:line="240" w:lineRule="auto"/>
      </w:pPr>
      <w:r>
        <w:separator/>
      </w:r>
    </w:p>
  </w:endnote>
  <w:endnote w:type="continuationSeparator" w:id="0">
    <w:p w14:paraId="06BCDD27" w14:textId="77777777" w:rsidR="00A84C9E" w:rsidRDefault="00A84C9E" w:rsidP="0080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E6DFF" w14:textId="77777777" w:rsidR="00A84C9E" w:rsidRDefault="00A84C9E" w:rsidP="008007DD">
      <w:pPr>
        <w:spacing w:after="0" w:line="240" w:lineRule="auto"/>
      </w:pPr>
      <w:r>
        <w:separator/>
      </w:r>
    </w:p>
  </w:footnote>
  <w:footnote w:type="continuationSeparator" w:id="0">
    <w:p w14:paraId="4DF04F9B" w14:textId="77777777" w:rsidR="00A84C9E" w:rsidRDefault="00A84C9E" w:rsidP="00800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82585" w14:textId="1B18FB8E" w:rsidR="008007DD" w:rsidRDefault="008007DD" w:rsidP="008007DD">
    <w:pPr>
      <w:spacing w:after="0" w:line="240" w:lineRule="auto"/>
      <w:ind w:left="5664" w:firstLine="708"/>
      <w:rPr>
        <w:rFonts w:ascii="Arial Narrow" w:hAnsi="Arial Narrow" w:cs="Arial"/>
        <w:b/>
        <w:sz w:val="20"/>
        <w:szCs w:val="20"/>
      </w:rPr>
    </w:pPr>
    <w:r>
      <w:rPr>
        <w:rFonts w:ascii="Arial Narrow" w:hAnsi="Arial Narrow" w:cs="Arial"/>
        <w:b/>
        <w:sz w:val="20"/>
        <w:szCs w:val="20"/>
      </w:rPr>
      <w:t>Załącznik nr 2 do SWZ</w:t>
    </w:r>
  </w:p>
  <w:p w14:paraId="1A54467F" w14:textId="77777777" w:rsidR="008007DD" w:rsidRDefault="008007DD" w:rsidP="008007DD">
    <w:pPr>
      <w:spacing w:after="0" w:line="240" w:lineRule="auto"/>
      <w:ind w:left="5664" w:firstLine="708"/>
      <w:rPr>
        <w:rFonts w:ascii="Arial Narrow" w:hAnsi="Arial Narrow" w:cs="Arial"/>
        <w:bCs/>
        <w:sz w:val="20"/>
        <w:szCs w:val="20"/>
      </w:rPr>
    </w:pPr>
    <w:r>
      <w:rPr>
        <w:rFonts w:ascii="Arial Narrow" w:hAnsi="Arial Narrow" w:cs="Arial"/>
        <w:bCs/>
        <w:sz w:val="20"/>
        <w:szCs w:val="20"/>
      </w:rPr>
      <w:t>stanowiący</w:t>
    </w:r>
  </w:p>
  <w:p w14:paraId="2E212E42" w14:textId="7FCBEB83" w:rsidR="008007DD" w:rsidRDefault="008007DD" w:rsidP="008007DD">
    <w:pPr>
      <w:spacing w:after="0" w:line="240" w:lineRule="auto"/>
      <w:rPr>
        <w:rFonts w:ascii="Arial Narrow" w:hAnsi="Arial Narrow" w:cs="Arial"/>
        <w:b/>
        <w:sz w:val="20"/>
        <w:szCs w:val="20"/>
      </w:rPr>
    </w:pPr>
    <w:r>
      <w:rPr>
        <w:rFonts w:ascii="Arial Narrow" w:hAnsi="Arial Narrow" w:cs="Arial"/>
        <w:b/>
        <w:sz w:val="20"/>
        <w:szCs w:val="20"/>
      </w:rPr>
      <w:t xml:space="preserve">   </w:t>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Załącznik nr 2 do</w:t>
    </w:r>
  </w:p>
  <w:p w14:paraId="49F875B0" w14:textId="77777777" w:rsidR="008007DD" w:rsidRDefault="008007DD" w:rsidP="008007DD">
    <w:pPr>
      <w:spacing w:after="0" w:line="240" w:lineRule="auto"/>
      <w:ind w:left="6372"/>
      <w:rPr>
        <w:rFonts w:ascii="Arial Narrow" w:hAnsi="Arial Narrow" w:cs="Arial"/>
        <w:b/>
        <w:sz w:val="20"/>
        <w:szCs w:val="20"/>
      </w:rPr>
    </w:pPr>
    <w:r>
      <w:rPr>
        <w:rFonts w:ascii="Arial Narrow" w:hAnsi="Arial Narrow" w:cs="Arial"/>
        <w:b/>
        <w:sz w:val="20"/>
        <w:szCs w:val="20"/>
      </w:rPr>
      <w:t xml:space="preserve">umowy nr </w:t>
    </w:r>
    <w:proofErr w:type="spellStart"/>
    <w:r>
      <w:rPr>
        <w:rFonts w:ascii="Arial Narrow" w:hAnsi="Arial Narrow" w:cs="Arial"/>
        <w:b/>
        <w:sz w:val="20"/>
        <w:szCs w:val="20"/>
      </w:rPr>
      <w:t>WEiTI</w:t>
    </w:r>
    <w:proofErr w:type="spellEnd"/>
    <w:r>
      <w:rPr>
        <w:rFonts w:ascii="Arial Narrow" w:hAnsi="Arial Narrow" w:cs="Arial"/>
        <w:b/>
        <w:sz w:val="20"/>
        <w:szCs w:val="20"/>
      </w:rPr>
      <w:t>/23/ZP/2022/1030</w:t>
    </w:r>
  </w:p>
  <w:p w14:paraId="4D634704" w14:textId="7E126891" w:rsidR="008007DD" w:rsidRDefault="008007D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F91"/>
    <w:multiLevelType w:val="hybridMultilevel"/>
    <w:tmpl w:val="B7DC24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FC86431"/>
    <w:multiLevelType w:val="hybridMultilevel"/>
    <w:tmpl w:val="DD940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25F4477"/>
    <w:multiLevelType w:val="hybridMultilevel"/>
    <w:tmpl w:val="AE34AE86"/>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złowska-Suszek Magdalena">
    <w15:presenceInfo w15:providerId="AD" w15:userId="S::Magdalena.Suszek@pw.edu.pl::48ec1c49-2ae4-4d6b-bebf-ade304ce26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E5"/>
    <w:rsid w:val="000C76D6"/>
    <w:rsid w:val="0010176A"/>
    <w:rsid w:val="001D0B6A"/>
    <w:rsid w:val="0035311A"/>
    <w:rsid w:val="00467EAA"/>
    <w:rsid w:val="008007DD"/>
    <w:rsid w:val="00815DE5"/>
    <w:rsid w:val="00854B8D"/>
    <w:rsid w:val="009415D0"/>
    <w:rsid w:val="009754D6"/>
    <w:rsid w:val="00A84C9E"/>
    <w:rsid w:val="00B7719E"/>
    <w:rsid w:val="00BD1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5DE5"/>
    <w:pPr>
      <w:spacing w:after="200" w:line="276" w:lineRule="auto"/>
    </w:pPr>
  </w:style>
  <w:style w:type="paragraph" w:styleId="Nagwek2">
    <w:name w:val="heading 2"/>
    <w:basedOn w:val="Normalny"/>
    <w:link w:val="Nagwek2Znak"/>
    <w:uiPriority w:val="9"/>
    <w:qFormat/>
    <w:rsid w:val="00815DE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15DE5"/>
    <w:rPr>
      <w:rFonts w:ascii="Times New Roman" w:eastAsia="Times New Roman" w:hAnsi="Times New Roman" w:cs="Times New Roman"/>
      <w:b/>
      <w:bCs/>
      <w:sz w:val="36"/>
      <w:szCs w:val="36"/>
      <w:lang w:eastAsia="pl-PL"/>
    </w:rPr>
  </w:style>
  <w:style w:type="table" w:styleId="Tabela-Siatka">
    <w:name w:val="Table Grid"/>
    <w:basedOn w:val="Standardowy"/>
    <w:uiPriority w:val="59"/>
    <w:rsid w:val="00815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415D0"/>
    <w:pPr>
      <w:spacing w:after="0" w:line="240" w:lineRule="auto"/>
    </w:pPr>
  </w:style>
  <w:style w:type="paragraph" w:styleId="Nagwek">
    <w:name w:val="header"/>
    <w:basedOn w:val="Normalny"/>
    <w:link w:val="NagwekZnak"/>
    <w:uiPriority w:val="99"/>
    <w:unhideWhenUsed/>
    <w:rsid w:val="008007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07DD"/>
  </w:style>
  <w:style w:type="paragraph" w:styleId="Stopka">
    <w:name w:val="footer"/>
    <w:basedOn w:val="Normalny"/>
    <w:link w:val="StopkaZnak"/>
    <w:uiPriority w:val="99"/>
    <w:unhideWhenUsed/>
    <w:rsid w:val="008007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07DD"/>
  </w:style>
  <w:style w:type="paragraph" w:styleId="Tekstkomentarza">
    <w:name w:val="annotation text"/>
    <w:basedOn w:val="Normalny"/>
    <w:link w:val="TekstkomentarzaZnak"/>
    <w:uiPriority w:val="99"/>
    <w:unhideWhenUsed/>
    <w:rsid w:val="0010176A"/>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10176A"/>
    <w:rPr>
      <w:rFonts w:ascii="Calibri" w:eastAsia="Calibri" w:hAnsi="Calibri" w:cs="Times New Roman"/>
      <w:sz w:val="20"/>
      <w:szCs w:val="20"/>
    </w:rPr>
  </w:style>
  <w:style w:type="character" w:styleId="Odwoaniedokomentarza">
    <w:name w:val="annotation reference"/>
    <w:uiPriority w:val="99"/>
    <w:semiHidden/>
    <w:unhideWhenUsed/>
    <w:rsid w:val="0010176A"/>
    <w:rPr>
      <w:sz w:val="16"/>
      <w:szCs w:val="16"/>
    </w:rPr>
  </w:style>
  <w:style w:type="paragraph" w:styleId="Tematkomentarza">
    <w:name w:val="annotation subject"/>
    <w:basedOn w:val="Tekstkomentarza"/>
    <w:next w:val="Tekstkomentarza"/>
    <w:link w:val="TematkomentarzaZnak"/>
    <w:uiPriority w:val="99"/>
    <w:semiHidden/>
    <w:unhideWhenUsed/>
    <w:rsid w:val="0010176A"/>
    <w:pPr>
      <w:spacing w:line="240" w:lineRule="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0176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754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5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5DE5"/>
    <w:pPr>
      <w:spacing w:after="200" w:line="276" w:lineRule="auto"/>
    </w:pPr>
  </w:style>
  <w:style w:type="paragraph" w:styleId="Nagwek2">
    <w:name w:val="heading 2"/>
    <w:basedOn w:val="Normalny"/>
    <w:link w:val="Nagwek2Znak"/>
    <w:uiPriority w:val="9"/>
    <w:qFormat/>
    <w:rsid w:val="00815DE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15DE5"/>
    <w:rPr>
      <w:rFonts w:ascii="Times New Roman" w:eastAsia="Times New Roman" w:hAnsi="Times New Roman" w:cs="Times New Roman"/>
      <w:b/>
      <w:bCs/>
      <w:sz w:val="36"/>
      <w:szCs w:val="36"/>
      <w:lang w:eastAsia="pl-PL"/>
    </w:rPr>
  </w:style>
  <w:style w:type="table" w:styleId="Tabela-Siatka">
    <w:name w:val="Table Grid"/>
    <w:basedOn w:val="Standardowy"/>
    <w:uiPriority w:val="59"/>
    <w:rsid w:val="00815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415D0"/>
    <w:pPr>
      <w:spacing w:after="0" w:line="240" w:lineRule="auto"/>
    </w:pPr>
  </w:style>
  <w:style w:type="paragraph" w:styleId="Nagwek">
    <w:name w:val="header"/>
    <w:basedOn w:val="Normalny"/>
    <w:link w:val="NagwekZnak"/>
    <w:uiPriority w:val="99"/>
    <w:unhideWhenUsed/>
    <w:rsid w:val="008007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07DD"/>
  </w:style>
  <w:style w:type="paragraph" w:styleId="Stopka">
    <w:name w:val="footer"/>
    <w:basedOn w:val="Normalny"/>
    <w:link w:val="StopkaZnak"/>
    <w:uiPriority w:val="99"/>
    <w:unhideWhenUsed/>
    <w:rsid w:val="008007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07DD"/>
  </w:style>
  <w:style w:type="paragraph" w:styleId="Tekstkomentarza">
    <w:name w:val="annotation text"/>
    <w:basedOn w:val="Normalny"/>
    <w:link w:val="TekstkomentarzaZnak"/>
    <w:uiPriority w:val="99"/>
    <w:unhideWhenUsed/>
    <w:rsid w:val="0010176A"/>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10176A"/>
    <w:rPr>
      <w:rFonts w:ascii="Calibri" w:eastAsia="Calibri" w:hAnsi="Calibri" w:cs="Times New Roman"/>
      <w:sz w:val="20"/>
      <w:szCs w:val="20"/>
    </w:rPr>
  </w:style>
  <w:style w:type="character" w:styleId="Odwoaniedokomentarza">
    <w:name w:val="annotation reference"/>
    <w:uiPriority w:val="99"/>
    <w:semiHidden/>
    <w:unhideWhenUsed/>
    <w:rsid w:val="0010176A"/>
    <w:rPr>
      <w:sz w:val="16"/>
      <w:szCs w:val="16"/>
    </w:rPr>
  </w:style>
  <w:style w:type="paragraph" w:styleId="Tematkomentarza">
    <w:name w:val="annotation subject"/>
    <w:basedOn w:val="Tekstkomentarza"/>
    <w:next w:val="Tekstkomentarza"/>
    <w:link w:val="TematkomentarzaZnak"/>
    <w:uiPriority w:val="99"/>
    <w:semiHidden/>
    <w:unhideWhenUsed/>
    <w:rsid w:val="0010176A"/>
    <w:pPr>
      <w:spacing w:line="240" w:lineRule="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0176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754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5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502961">
      <w:bodyDiv w:val="1"/>
      <w:marLeft w:val="0"/>
      <w:marRight w:val="0"/>
      <w:marTop w:val="0"/>
      <w:marBottom w:val="0"/>
      <w:divBdr>
        <w:top w:val="none" w:sz="0" w:space="0" w:color="auto"/>
        <w:left w:val="none" w:sz="0" w:space="0" w:color="auto"/>
        <w:bottom w:val="none" w:sz="0" w:space="0" w:color="auto"/>
        <w:right w:val="none" w:sz="0" w:space="0" w:color="auto"/>
      </w:divBdr>
    </w:div>
    <w:div w:id="1806266562">
      <w:bodyDiv w:val="1"/>
      <w:marLeft w:val="0"/>
      <w:marRight w:val="0"/>
      <w:marTop w:val="0"/>
      <w:marBottom w:val="0"/>
      <w:divBdr>
        <w:top w:val="none" w:sz="0" w:space="0" w:color="auto"/>
        <w:left w:val="none" w:sz="0" w:space="0" w:color="auto"/>
        <w:bottom w:val="none" w:sz="0" w:space="0" w:color="auto"/>
        <w:right w:val="none" w:sz="0" w:space="0" w:color="auto"/>
      </w:divBdr>
      <w:divsChild>
        <w:div w:id="270669508">
          <w:marLeft w:val="0"/>
          <w:marRight w:val="0"/>
          <w:marTop w:val="0"/>
          <w:marBottom w:val="0"/>
          <w:divBdr>
            <w:top w:val="none" w:sz="0" w:space="0" w:color="auto"/>
            <w:left w:val="none" w:sz="0" w:space="0" w:color="auto"/>
            <w:bottom w:val="none" w:sz="0" w:space="0" w:color="auto"/>
            <w:right w:val="none" w:sz="0" w:space="0" w:color="auto"/>
          </w:divBdr>
          <w:divsChild>
            <w:div w:id="1379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2471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Byszewski</dc:creator>
  <cp:keywords/>
  <dc:description/>
  <cp:lastModifiedBy>Magdalena Kozłowska-Suszek</cp:lastModifiedBy>
  <cp:revision>4</cp:revision>
  <cp:lastPrinted>2022-06-15T06:00:00Z</cp:lastPrinted>
  <dcterms:created xsi:type="dcterms:W3CDTF">2022-06-07T07:28:00Z</dcterms:created>
  <dcterms:modified xsi:type="dcterms:W3CDTF">2022-06-15T06:00:00Z</dcterms:modified>
</cp:coreProperties>
</file>