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DC0AFF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DC0AFF">
        <w:rPr>
          <w:rFonts w:ascii="Arial Black" w:hAnsi="Arial Black" w:cs="Times New Roman"/>
          <w:b/>
        </w:rPr>
        <w:t>Łosicach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C0AFF">
        <w:rPr>
          <w:rFonts w:ascii="Times New Roman" w:hAnsi="Times New Roman" w:cs="Times New Roman"/>
          <w:b/>
        </w:rPr>
        <w:t>5</w:t>
      </w:r>
    </w:p>
    <w:p w:rsidR="00DC0AFF" w:rsidRPr="00E908F4" w:rsidRDefault="00DC0AFF" w:rsidP="00DC0AFF">
      <w:pPr>
        <w:jc w:val="center"/>
      </w:pPr>
      <w:r>
        <w:rPr>
          <w:rFonts w:ascii="Times New Roman" w:hAnsi="Times New Roman" w:cs="Times New Roman"/>
          <w:b/>
        </w:rPr>
        <w:t xml:space="preserve">KPP w Łosicach ul. Kolejowa 6; 08-200 Łosice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DC0AFF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DC0AFF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DC0AFF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DC0AFF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5902C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5902C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5902C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5902C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5902C2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902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902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Pr="00AF025B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902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902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AFF" w:rsidRDefault="00DC0AFF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0AFF" w:rsidTr="00DC0AFF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AFF" w:rsidRDefault="00DC0AFF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AFF" w:rsidRDefault="00DC0AFF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C0AFF" w:rsidRDefault="00DC0AFF" w:rsidP="00DC0AFF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631D"/>
    <w:rsid w:val="0039495C"/>
    <w:rsid w:val="003A324E"/>
    <w:rsid w:val="003B50CA"/>
    <w:rsid w:val="003B538B"/>
    <w:rsid w:val="00466093"/>
    <w:rsid w:val="00487B20"/>
    <w:rsid w:val="004B2773"/>
    <w:rsid w:val="004E2DF3"/>
    <w:rsid w:val="004F6737"/>
    <w:rsid w:val="00504E29"/>
    <w:rsid w:val="005063D0"/>
    <w:rsid w:val="005345AC"/>
    <w:rsid w:val="005842BE"/>
    <w:rsid w:val="00585B44"/>
    <w:rsid w:val="005902C2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B2962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E5465B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16</cp:revision>
  <dcterms:created xsi:type="dcterms:W3CDTF">2022-03-29T13:04:00Z</dcterms:created>
  <dcterms:modified xsi:type="dcterms:W3CDTF">2022-06-10T07:58:00Z</dcterms:modified>
</cp:coreProperties>
</file>