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9E" w:rsidRPr="00E0119E" w:rsidRDefault="00E0119E" w:rsidP="00E0119E">
      <w:pPr>
        <w:autoSpaceDE w:val="0"/>
        <w:autoSpaceDN w:val="0"/>
        <w:adjustRightInd w:val="0"/>
        <w:rPr>
          <w:rFonts w:ascii="CG Omega" w:eastAsia="Times New Roman" w:hAnsi="CG Omega"/>
          <w:lang w:eastAsia="pl-PL"/>
        </w:rPr>
      </w:pPr>
      <w:r w:rsidRPr="00E0119E">
        <w:rPr>
          <w:rFonts w:ascii="CG Omega" w:eastAsia="Times New Roman" w:hAnsi="CG Omega"/>
          <w:lang w:eastAsia="pl-PL"/>
        </w:rPr>
        <w:t xml:space="preserve">Znak: </w:t>
      </w:r>
      <w:r w:rsidRPr="00E0119E">
        <w:rPr>
          <w:rFonts w:ascii="CG Omega" w:eastAsia="Times New Roman" w:hAnsi="CG Omega" w:cs="Tahoma"/>
          <w:spacing w:val="1"/>
          <w:lang w:eastAsia="ar-SA"/>
        </w:rPr>
        <w:t xml:space="preserve">RG3.271.28.2024  </w:t>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t xml:space="preserve">Wiązownica, </w:t>
      </w:r>
      <w:r w:rsidR="003B090A">
        <w:rPr>
          <w:rFonts w:ascii="CG Omega" w:eastAsia="Times New Roman" w:hAnsi="CG Omega"/>
          <w:lang w:eastAsia="pl-PL"/>
        </w:rPr>
        <w:t>24</w:t>
      </w:r>
      <w:r w:rsidRPr="00E0119E">
        <w:rPr>
          <w:rFonts w:ascii="CG Omega" w:eastAsia="Times New Roman" w:hAnsi="CG Omega"/>
          <w:lang w:eastAsia="pl-PL"/>
        </w:rPr>
        <w:t>.09.2024r.</w:t>
      </w:r>
    </w:p>
    <w:p w:rsidR="00E0119E" w:rsidRPr="00E0119E" w:rsidRDefault="00E0119E" w:rsidP="00E0119E">
      <w:pPr>
        <w:autoSpaceDE w:val="0"/>
        <w:autoSpaceDN w:val="0"/>
        <w:adjustRightInd w:val="0"/>
        <w:jc w:val="both"/>
        <w:rPr>
          <w:rFonts w:ascii="CG Omega" w:eastAsia="Times New Roman" w:hAnsi="CG Omega" w:cs="Arial"/>
          <w:b/>
          <w:bCs/>
          <w:color w:val="000000"/>
          <w:lang w:eastAsia="pl-PL"/>
        </w:rPr>
      </w:pPr>
    </w:p>
    <w:p w:rsidR="00E0119E" w:rsidRPr="00E0119E" w:rsidRDefault="00E0119E" w:rsidP="00E0119E">
      <w:pPr>
        <w:autoSpaceDE w:val="0"/>
        <w:autoSpaceDN w:val="0"/>
        <w:adjustRightInd w:val="0"/>
        <w:jc w:val="both"/>
        <w:rPr>
          <w:rFonts w:ascii="CG Omega" w:eastAsia="Times New Roman" w:hAnsi="CG Omega" w:cs="Arial"/>
          <w:b/>
          <w:bCs/>
          <w:color w:val="000000"/>
          <w:lang w:eastAsia="pl-PL"/>
        </w:rPr>
      </w:pPr>
    </w:p>
    <w:p w:rsidR="00E0119E" w:rsidRPr="00E0119E" w:rsidRDefault="00E0119E" w:rsidP="00E0119E">
      <w:pPr>
        <w:spacing w:line="252" w:lineRule="auto"/>
        <w:rPr>
          <w:rFonts w:ascii="CG Omega" w:eastAsiaTheme="minorHAnsi" w:hAnsi="CG Omega" w:cstheme="minorBidi"/>
          <w:b/>
        </w:rPr>
      </w:pP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t xml:space="preserve">   </w:t>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heme="minorHAnsi" w:hAnsi="CG Omega" w:cstheme="minorBidi"/>
          <w:b/>
        </w:rPr>
        <w:t xml:space="preserve">Otrzymują Wykonawcy </w:t>
      </w:r>
    </w:p>
    <w:p w:rsidR="00E0119E" w:rsidRPr="00E0119E" w:rsidRDefault="00E0119E" w:rsidP="00E0119E">
      <w:pPr>
        <w:spacing w:line="252" w:lineRule="auto"/>
        <w:rPr>
          <w:rFonts w:ascii="CG Omega" w:eastAsiaTheme="minorHAnsi" w:hAnsi="CG Omega" w:cstheme="minorBidi"/>
          <w:b/>
        </w:rPr>
      </w:pPr>
      <w:r w:rsidRPr="00E0119E">
        <w:rPr>
          <w:rFonts w:ascii="CG Omega" w:eastAsiaTheme="minorHAnsi" w:hAnsi="CG Omega" w:cstheme="minorBidi"/>
          <w:b/>
        </w:rPr>
        <w:t xml:space="preserve">  </w:t>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t>biorący udział w postępowaniu</w:t>
      </w:r>
    </w:p>
    <w:p w:rsidR="00E0119E" w:rsidRPr="00E0119E" w:rsidRDefault="00E0119E" w:rsidP="00E0119E">
      <w:pPr>
        <w:autoSpaceDE w:val="0"/>
        <w:autoSpaceDN w:val="0"/>
        <w:adjustRightInd w:val="0"/>
        <w:jc w:val="center"/>
        <w:rPr>
          <w:rFonts w:ascii="CG Omega" w:eastAsia="Times New Roman" w:hAnsi="CG Omega" w:cs="Arial"/>
          <w:b/>
          <w:bCs/>
          <w:color w:val="000000"/>
          <w:lang w:eastAsia="pl-PL"/>
        </w:rPr>
      </w:pPr>
    </w:p>
    <w:p w:rsidR="00E0119E" w:rsidRPr="00E0119E" w:rsidRDefault="00E0119E" w:rsidP="00E0119E">
      <w:pPr>
        <w:autoSpaceDE w:val="0"/>
        <w:autoSpaceDN w:val="0"/>
        <w:adjustRightInd w:val="0"/>
        <w:jc w:val="center"/>
        <w:rPr>
          <w:rFonts w:ascii="CG Omega" w:eastAsia="Times New Roman" w:hAnsi="CG Omega" w:cs="Arial"/>
          <w:b/>
          <w:bCs/>
          <w:color w:val="000000"/>
          <w:lang w:eastAsia="pl-PL"/>
        </w:rPr>
      </w:pPr>
    </w:p>
    <w:p w:rsidR="00E0119E" w:rsidRPr="00E0119E" w:rsidRDefault="00E0119E" w:rsidP="00E0119E">
      <w:pPr>
        <w:shd w:val="clear" w:color="auto" w:fill="FFFFFF"/>
        <w:tabs>
          <w:tab w:val="left" w:pos="2055"/>
        </w:tabs>
        <w:suppressAutoHyphens/>
        <w:spacing w:after="120"/>
        <w:contextualSpacing/>
        <w:rPr>
          <w:rFonts w:ascii="CG Omega" w:eastAsia="Times New Roman" w:hAnsi="CG Omega"/>
          <w:b/>
        </w:rPr>
      </w:pPr>
      <w:r w:rsidRPr="00E0119E">
        <w:rPr>
          <w:rFonts w:ascii="CG Omega" w:eastAsia="Times New Roman" w:hAnsi="CG Omega"/>
          <w:lang w:eastAsia="pl-PL"/>
        </w:rPr>
        <w:t xml:space="preserve">Dotyczy: postępowania o udzielenie zamówienia publicznego na realizacje zamówienia </w:t>
      </w:r>
      <w:proofErr w:type="spellStart"/>
      <w:r w:rsidRPr="00E0119E">
        <w:rPr>
          <w:rFonts w:ascii="CG Omega" w:eastAsia="Times New Roman" w:hAnsi="CG Omega"/>
          <w:lang w:eastAsia="pl-PL"/>
        </w:rPr>
        <w:t>pn</w:t>
      </w:r>
      <w:proofErr w:type="spellEnd"/>
      <w:r w:rsidRPr="00E0119E">
        <w:rPr>
          <w:rFonts w:ascii="CG Omega" w:eastAsia="Times New Roman" w:hAnsi="CG Omega"/>
          <w:lang w:eastAsia="pl-PL"/>
        </w:rPr>
        <w:t xml:space="preserve">: </w:t>
      </w:r>
      <w:r w:rsidRPr="00E0119E">
        <w:rPr>
          <w:rFonts w:ascii="CG Omega" w:eastAsia="Times New Roman" w:hAnsi="CG Omega"/>
          <w:b/>
          <w:smallCaps/>
        </w:rPr>
        <w:t>„</w:t>
      </w:r>
      <w:r w:rsidRPr="00E0119E">
        <w:rPr>
          <w:rFonts w:ascii="CG Omega" w:eastAsia="Times New Roman" w:hAnsi="CG Omega"/>
          <w:b/>
        </w:rPr>
        <w:t>Modernizacja istniejącego na terenie Gminy Wiązownica oświetlenia, polegająca na wymianie opraw nieenergooszczędnych na nowe oprawy LED</w:t>
      </w:r>
      <w:r w:rsidRPr="00E0119E">
        <w:rPr>
          <w:rFonts w:ascii="CG Omega" w:eastAsia="Times New Roman" w:hAnsi="CG Omega"/>
          <w:b/>
          <w:smallCaps/>
        </w:rPr>
        <w:t>”</w:t>
      </w:r>
    </w:p>
    <w:p w:rsidR="00E0119E" w:rsidRPr="00E0119E" w:rsidRDefault="00E0119E" w:rsidP="00E0119E">
      <w:pPr>
        <w:spacing w:line="276" w:lineRule="auto"/>
        <w:jc w:val="both"/>
        <w:rPr>
          <w:rFonts w:ascii="CG Omega" w:hAnsi="CG Omega"/>
          <w:lang w:eastAsia="pl-PL"/>
        </w:rPr>
      </w:pPr>
    </w:p>
    <w:p w:rsidR="00E0119E" w:rsidRPr="00E0119E" w:rsidRDefault="00E0119E" w:rsidP="00E0119E">
      <w:pPr>
        <w:spacing w:before="100" w:beforeAutospacing="1" w:after="100" w:afterAutospacing="1"/>
        <w:ind w:firstLine="708"/>
        <w:jc w:val="both"/>
        <w:rPr>
          <w:rFonts w:ascii="CG Omega" w:hAnsi="CG Omega"/>
          <w:lang w:eastAsia="pl-PL"/>
        </w:rPr>
      </w:pPr>
      <w:r w:rsidRPr="00E0119E">
        <w:rPr>
          <w:rFonts w:ascii="CG Omega" w:hAnsi="CG Omega"/>
          <w:lang w:eastAsia="pl-PL"/>
        </w:rPr>
        <w:t xml:space="preserve">Zamawiający działając na podstawie art. 135 oraz art. 138 ustawy z dnia 11 września 2019r. Prawo zamówień publicznych </w:t>
      </w:r>
      <w:r w:rsidRPr="00E0119E">
        <w:rPr>
          <w:rFonts w:ascii="CG Omega" w:hAnsi="CG Omega"/>
          <w:b/>
          <w:lang w:eastAsia="pl-PL"/>
        </w:rPr>
        <w:t>(</w:t>
      </w:r>
      <w:r w:rsidRPr="00E0119E">
        <w:rPr>
          <w:rFonts w:ascii="CG Omega" w:hAnsi="CG Omega" w:cs="Arial"/>
          <w:bCs/>
          <w:lang w:eastAsia="pl-PL"/>
        </w:rPr>
        <w:t>Dz. U. z 2023 r. poz. 1605, 1720 ze zmianami)</w:t>
      </w:r>
      <w:r w:rsidRPr="00E0119E">
        <w:rPr>
          <w:rFonts w:ascii="CG Omega" w:hAnsi="CG Omega" w:cs="Arial"/>
          <w:b/>
          <w:bCs/>
          <w:lang w:eastAsia="pl-PL"/>
        </w:rPr>
        <w:t xml:space="preserve"> </w:t>
      </w:r>
      <w:r w:rsidRPr="00E0119E">
        <w:rPr>
          <w:rFonts w:ascii="CG Omega" w:hAnsi="CG Omega"/>
          <w:lang w:eastAsia="pl-PL"/>
        </w:rPr>
        <w:t>– dalej ustawy Pzp) udziela odpowiedzi na zadane pytania:</w:t>
      </w:r>
    </w:p>
    <w:p w:rsidR="008B7663" w:rsidRDefault="008B7663" w:rsidP="008B7663">
      <w:pPr>
        <w:jc w:val="both"/>
      </w:pPr>
    </w:p>
    <w:p w:rsidR="003B090A" w:rsidRPr="003B090A" w:rsidRDefault="003B090A" w:rsidP="00E0119E">
      <w:pPr>
        <w:jc w:val="both"/>
        <w:rPr>
          <w:rFonts w:ascii="CG Omega" w:hAnsi="CG Omega"/>
          <w:b/>
        </w:rPr>
      </w:pPr>
      <w:r w:rsidRPr="003B090A">
        <w:rPr>
          <w:rFonts w:ascii="CG Omega" w:hAnsi="CG Omega"/>
          <w:b/>
        </w:rPr>
        <w:t xml:space="preserve">Pytanie 1. </w:t>
      </w:r>
    </w:p>
    <w:p w:rsidR="003B090A" w:rsidRDefault="003B090A" w:rsidP="00E0119E">
      <w:pPr>
        <w:jc w:val="both"/>
        <w:rPr>
          <w:rFonts w:ascii="CG Omega" w:hAnsi="CG Omega"/>
        </w:rPr>
      </w:pPr>
      <w:r w:rsidRPr="003B090A">
        <w:rPr>
          <w:rFonts w:ascii="CG Omega" w:hAnsi="CG Omega"/>
        </w:rPr>
        <w:t>Zgodnie z regulaminem programu Rozświetlamy Polskę „Instalowane oprawy oświetleniowe muszą (…) posiadać łącznie certyfikaty: ENEC, ENEC+, ZD4i lub równoważne.” Czy certyfikat ENEC+ lub równoważny ma potwierdzać wiarygodność podawanych przez producenta parametrów funkcjonalnych takich jak: napięcie zasilania, klasa ochronności elektrycznej, pobierana moc, skuteczność świetlna, temperatura barwowa, strumień świetlny. Pytam ponieważ zdarza się, że producenci modyfikują oprawy dostosowując ich parametry do wymagań przetargowych ale takie oprawy nie są objęte certyfikatem.</w:t>
      </w:r>
    </w:p>
    <w:p w:rsidR="003B090A" w:rsidRPr="00E0119E" w:rsidRDefault="003B090A" w:rsidP="003B090A">
      <w:pPr>
        <w:jc w:val="both"/>
        <w:rPr>
          <w:rFonts w:ascii="CG Omega" w:eastAsia="Times New Roman" w:hAnsi="CG Omega"/>
          <w:b/>
          <w:lang w:eastAsia="pl-PL"/>
        </w:rPr>
      </w:pPr>
      <w:r w:rsidRPr="00E0119E">
        <w:rPr>
          <w:rFonts w:ascii="CG Omega" w:eastAsia="Times New Roman" w:hAnsi="CG Omega"/>
          <w:b/>
          <w:lang w:eastAsia="pl-PL"/>
        </w:rPr>
        <w:t>Odpowiedź:</w:t>
      </w:r>
    </w:p>
    <w:p w:rsidR="003B090A" w:rsidRDefault="003B090A" w:rsidP="00E0119E">
      <w:pPr>
        <w:jc w:val="both"/>
        <w:rPr>
          <w:rFonts w:ascii="CG Omega" w:hAnsi="CG Omega"/>
        </w:rPr>
      </w:pPr>
      <w:r>
        <w:rPr>
          <w:rFonts w:ascii="CG Omega" w:hAnsi="CG Omega"/>
        </w:rPr>
        <w:t>Tak.</w:t>
      </w:r>
    </w:p>
    <w:p w:rsidR="003B090A" w:rsidRDefault="003B090A" w:rsidP="00E0119E">
      <w:pPr>
        <w:jc w:val="both"/>
        <w:rPr>
          <w:rFonts w:ascii="CG Omega" w:hAnsi="CG Omega"/>
        </w:rPr>
      </w:pPr>
    </w:p>
    <w:p w:rsidR="003B090A" w:rsidRDefault="003B090A" w:rsidP="00E0119E">
      <w:pPr>
        <w:jc w:val="both"/>
        <w:rPr>
          <w:rFonts w:ascii="CG Omega" w:hAnsi="CG Omega"/>
        </w:rPr>
      </w:pPr>
    </w:p>
    <w:p w:rsidR="003B090A" w:rsidRPr="003B090A" w:rsidRDefault="003B090A" w:rsidP="00E0119E">
      <w:pPr>
        <w:jc w:val="both"/>
        <w:rPr>
          <w:rFonts w:ascii="CG Omega" w:hAnsi="CG Omega"/>
          <w:b/>
        </w:rPr>
      </w:pPr>
      <w:r w:rsidRPr="003B090A">
        <w:rPr>
          <w:rFonts w:ascii="CG Omega" w:hAnsi="CG Omega"/>
          <w:b/>
        </w:rPr>
        <w:t xml:space="preserve">Pytanie </w:t>
      </w:r>
      <w:r w:rsidRPr="003B090A">
        <w:rPr>
          <w:rFonts w:ascii="CG Omega" w:hAnsi="CG Omega"/>
          <w:b/>
        </w:rPr>
        <w:t xml:space="preserve">2. </w:t>
      </w:r>
    </w:p>
    <w:p w:rsidR="00E0119E" w:rsidRPr="00E0119E" w:rsidRDefault="003B090A" w:rsidP="00E0119E">
      <w:pPr>
        <w:jc w:val="both"/>
        <w:rPr>
          <w:rFonts w:ascii="CG Omega" w:eastAsia="Times New Roman" w:hAnsi="CG Omega"/>
          <w:b/>
          <w:lang w:eastAsia="pl-PL"/>
        </w:rPr>
      </w:pPr>
      <w:r w:rsidRPr="003B090A">
        <w:rPr>
          <w:rFonts w:ascii="CG Omega" w:hAnsi="CG Omega"/>
        </w:rPr>
        <w:t>Czy wszystkie parametry opraw są istotne ? Jeśli nie, to proszę o wskazanie które nie są istotne.</w:t>
      </w:r>
      <w:r>
        <w:t xml:space="preserve"> </w:t>
      </w:r>
      <w:r w:rsidR="00E0119E" w:rsidRPr="00E0119E">
        <w:rPr>
          <w:rFonts w:ascii="CG Omega" w:eastAsia="Times New Roman" w:hAnsi="CG Omega"/>
          <w:b/>
          <w:lang w:eastAsia="pl-PL"/>
        </w:rPr>
        <w:t>Odpowiedź:</w:t>
      </w:r>
    </w:p>
    <w:p w:rsidR="008B7663" w:rsidRDefault="003B090A" w:rsidP="00E0119E">
      <w:pPr>
        <w:jc w:val="both"/>
      </w:pPr>
      <w:r>
        <w:t>Tak.  Wszystkie parametry opraw są istotne.</w:t>
      </w:r>
    </w:p>
    <w:p w:rsidR="008B7663" w:rsidRDefault="008B7663" w:rsidP="008B7663">
      <w:pPr>
        <w:pStyle w:val="Akapitzlist"/>
        <w:ind w:left="1500"/>
        <w:jc w:val="both"/>
      </w:pPr>
    </w:p>
    <w:p w:rsidR="000B12C6" w:rsidRDefault="000B12C6" w:rsidP="000B12C6">
      <w:pPr>
        <w:spacing w:after="160" w:line="259" w:lineRule="auto"/>
        <w:rPr>
          <w:rFonts w:ascii="CG Omega" w:eastAsiaTheme="minorHAnsi" w:hAnsi="CG Omega" w:cstheme="minorBidi"/>
        </w:rPr>
      </w:pPr>
    </w:p>
    <w:p w:rsidR="003B090A" w:rsidRDefault="003B090A" w:rsidP="000B12C6">
      <w:pPr>
        <w:spacing w:after="160" w:line="259" w:lineRule="auto"/>
        <w:rPr>
          <w:rFonts w:ascii="CG Omega" w:eastAsiaTheme="minorHAnsi" w:hAnsi="CG Omega" w:cstheme="minorBidi"/>
        </w:rPr>
      </w:pPr>
    </w:p>
    <w:p w:rsidR="003B090A" w:rsidRPr="000B12C6" w:rsidRDefault="003B090A" w:rsidP="000B12C6">
      <w:pPr>
        <w:spacing w:after="160" w:line="259" w:lineRule="auto"/>
        <w:rPr>
          <w:rFonts w:ascii="CG Omega" w:eastAsiaTheme="minorHAnsi" w:hAnsi="CG Omega" w:cstheme="minorBidi"/>
        </w:rPr>
      </w:pPr>
    </w:p>
    <w:p w:rsidR="000B12C6" w:rsidRPr="000B12C6" w:rsidRDefault="000B12C6" w:rsidP="000B12C6">
      <w:pPr>
        <w:ind w:left="3538" w:firstLine="709"/>
        <w:rPr>
          <w:rFonts w:ascii="CG Omega" w:eastAsiaTheme="minorHAnsi" w:hAnsi="CG Omega" w:cstheme="minorBidi"/>
          <w:b/>
        </w:rPr>
      </w:pPr>
      <w:r w:rsidRPr="000B12C6">
        <w:rPr>
          <w:rFonts w:ascii="CG Omega" w:eastAsiaTheme="minorHAnsi" w:hAnsi="CG Omega" w:cstheme="minorBidi"/>
          <w:b/>
        </w:rPr>
        <w:t xml:space="preserve">         Wójt Gminy Wiązownica</w:t>
      </w:r>
    </w:p>
    <w:p w:rsidR="000B12C6" w:rsidRPr="000B12C6" w:rsidRDefault="000B12C6" w:rsidP="00296E54">
      <w:pPr>
        <w:ind w:left="3538" w:firstLine="709"/>
        <w:rPr>
          <w:rFonts w:ascii="CG Omega" w:eastAsiaTheme="minorHAnsi" w:hAnsi="CG Omega" w:cstheme="minorBidi"/>
          <w:b/>
        </w:rPr>
      </w:pPr>
      <w:r w:rsidRPr="000B12C6">
        <w:rPr>
          <w:rFonts w:ascii="CG Omega" w:eastAsiaTheme="minorHAnsi" w:hAnsi="CG Omega" w:cstheme="minorBidi"/>
          <w:b/>
        </w:rPr>
        <w:t xml:space="preserve">                   Krzysztof Strent</w:t>
      </w:r>
    </w:p>
    <w:p w:rsidR="003B090A" w:rsidRDefault="003B090A" w:rsidP="000B12C6">
      <w:pPr>
        <w:spacing w:after="160" w:line="256" w:lineRule="auto"/>
        <w:ind w:right="-711"/>
        <w:rPr>
          <w:rFonts w:ascii="CG Omega" w:eastAsiaTheme="minorHAnsi" w:hAnsi="CG Omega" w:cstheme="minorBidi"/>
          <w:b/>
          <w:u w:val="single"/>
        </w:rPr>
      </w:pPr>
      <w:bookmarkStart w:id="0" w:name="_GoBack"/>
      <w:bookmarkEnd w:id="0"/>
    </w:p>
    <w:p w:rsidR="003B090A" w:rsidRDefault="003B090A" w:rsidP="000B12C6">
      <w:pPr>
        <w:spacing w:after="160" w:line="256" w:lineRule="auto"/>
        <w:ind w:right="-711"/>
        <w:rPr>
          <w:rFonts w:ascii="CG Omega" w:eastAsiaTheme="minorHAnsi" w:hAnsi="CG Omega" w:cstheme="minorBidi"/>
          <w:b/>
          <w:u w:val="single"/>
        </w:rPr>
      </w:pPr>
    </w:p>
    <w:p w:rsidR="000B12C6" w:rsidRPr="000B12C6" w:rsidRDefault="000B12C6" w:rsidP="000B12C6">
      <w:pPr>
        <w:spacing w:after="160" w:line="256" w:lineRule="auto"/>
        <w:ind w:right="-711"/>
        <w:rPr>
          <w:rFonts w:ascii="CG Omega" w:eastAsiaTheme="minorHAnsi" w:hAnsi="CG Omega" w:cstheme="minorBidi"/>
          <w:b/>
          <w:u w:val="single"/>
        </w:rPr>
      </w:pPr>
      <w:r w:rsidRPr="000B12C6">
        <w:rPr>
          <w:rFonts w:ascii="CG Omega" w:eastAsiaTheme="minorHAnsi" w:hAnsi="CG Omega" w:cstheme="minorBidi"/>
          <w:b/>
          <w:u w:val="single"/>
        </w:rPr>
        <w:t xml:space="preserve">Otrzymują: </w:t>
      </w:r>
    </w:p>
    <w:p w:rsidR="000B12C6" w:rsidRPr="000B12C6" w:rsidRDefault="000B12C6" w:rsidP="000B12C6">
      <w:pPr>
        <w:ind w:right="-709"/>
        <w:rPr>
          <w:rFonts w:ascii="CG Omega" w:eastAsiaTheme="minorHAnsi" w:hAnsi="CG Omega" w:cstheme="minorBidi"/>
        </w:rPr>
      </w:pPr>
      <w:r w:rsidRPr="000B12C6">
        <w:rPr>
          <w:rFonts w:ascii="CG Omega" w:eastAsiaTheme="minorHAnsi" w:hAnsi="CG Omega" w:cstheme="minorBidi"/>
        </w:rPr>
        <w:t xml:space="preserve">1. Wykonawcy biorący udział w postępowaniu.                                                                                      </w:t>
      </w:r>
    </w:p>
    <w:p w:rsidR="000B12C6" w:rsidRPr="000B12C6" w:rsidRDefault="000B12C6" w:rsidP="000B12C6">
      <w:pPr>
        <w:ind w:right="-709"/>
        <w:rPr>
          <w:rFonts w:ascii="CG Omega" w:eastAsiaTheme="minorHAnsi" w:hAnsi="CG Omega" w:cstheme="minorBidi"/>
        </w:rPr>
      </w:pPr>
      <w:r w:rsidRPr="000B12C6">
        <w:rPr>
          <w:rFonts w:ascii="CG Omega" w:eastAsiaTheme="minorHAnsi" w:hAnsi="CG Omega" w:cstheme="minorBidi"/>
        </w:rPr>
        <w:t>2. Strona internetowa prowadzonego postępowania.                                                                                                                                       3. a/a</w:t>
      </w:r>
    </w:p>
    <w:p w:rsidR="000B12C6" w:rsidRPr="00847D85" w:rsidRDefault="000B12C6" w:rsidP="00995260">
      <w:pPr>
        <w:jc w:val="both"/>
        <w:rPr>
          <w:rFonts w:ascii="CG Omega" w:hAnsi="CG Omega"/>
        </w:rPr>
      </w:pPr>
    </w:p>
    <w:p w:rsidR="00784219" w:rsidRPr="007567C0" w:rsidRDefault="000166FF">
      <w:pPr>
        <w:rPr>
          <w:rFonts w:ascii="CG Omega" w:hAnsi="CG Omega"/>
        </w:rPr>
      </w:pPr>
    </w:p>
    <w:sectPr w:rsidR="00784219" w:rsidRPr="007567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6FF" w:rsidRDefault="000166FF" w:rsidP="00E0119E">
      <w:r>
        <w:separator/>
      </w:r>
    </w:p>
  </w:endnote>
  <w:endnote w:type="continuationSeparator" w:id="0">
    <w:p w:rsidR="000166FF" w:rsidRDefault="000166FF" w:rsidP="00E0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6FF" w:rsidRDefault="000166FF" w:rsidP="00E0119E">
      <w:r>
        <w:separator/>
      </w:r>
    </w:p>
  </w:footnote>
  <w:footnote w:type="continuationSeparator" w:id="0">
    <w:p w:rsidR="000166FF" w:rsidRDefault="000166FF" w:rsidP="00E0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9E" w:rsidRDefault="00E0119E">
    <w:pPr>
      <w:pStyle w:val="Nagwek"/>
    </w:pPr>
    <w:bookmarkStart w:id="1" w:name="_Hlk107392594"/>
    <w:r w:rsidRPr="00FC4D20">
      <w:rPr>
        <w:noProof/>
        <w:lang w:eastAsia="pl-PL"/>
      </w:rPr>
      <w:drawing>
        <wp:inline distT="0" distB="0" distL="0" distR="0" wp14:anchorId="6B1F58BA" wp14:editId="2C9BC664">
          <wp:extent cx="5759450" cy="66159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61597"/>
                  </a:xfrm>
                  <a:prstGeom prst="rect">
                    <a:avLst/>
                  </a:prstGeom>
                </pic:spPr>
              </pic:pic>
            </a:graphicData>
          </a:graphic>
        </wp:inline>
      </w:drawing>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F249D"/>
    <w:multiLevelType w:val="hybridMultilevel"/>
    <w:tmpl w:val="8BACB640"/>
    <w:lvl w:ilvl="0" w:tplc="3C3E7E9C">
      <w:start w:val="1"/>
      <w:numFmt w:val="decimal"/>
      <w:lvlText w:val="%1."/>
      <w:lvlJc w:val="left"/>
      <w:pPr>
        <w:ind w:left="1500" w:hanging="39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05"/>
    <w:rsid w:val="000166FF"/>
    <w:rsid w:val="000B12C6"/>
    <w:rsid w:val="00171EE0"/>
    <w:rsid w:val="00296E54"/>
    <w:rsid w:val="003B090A"/>
    <w:rsid w:val="005B2478"/>
    <w:rsid w:val="007567C0"/>
    <w:rsid w:val="00847D85"/>
    <w:rsid w:val="008B7663"/>
    <w:rsid w:val="00983605"/>
    <w:rsid w:val="00995260"/>
    <w:rsid w:val="00B54758"/>
    <w:rsid w:val="00DA485A"/>
    <w:rsid w:val="00E01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EB427-4011-427B-9344-C663B41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7663"/>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7663"/>
    <w:pPr>
      <w:ind w:left="720"/>
      <w:contextualSpacing/>
    </w:pPr>
  </w:style>
  <w:style w:type="paragraph" w:styleId="Nagwek">
    <w:name w:val="header"/>
    <w:basedOn w:val="Normalny"/>
    <w:link w:val="NagwekZnak"/>
    <w:uiPriority w:val="99"/>
    <w:unhideWhenUsed/>
    <w:rsid w:val="00E0119E"/>
    <w:pPr>
      <w:tabs>
        <w:tab w:val="center" w:pos="4536"/>
        <w:tab w:val="right" w:pos="9072"/>
      </w:tabs>
    </w:pPr>
  </w:style>
  <w:style w:type="character" w:customStyle="1" w:styleId="NagwekZnak">
    <w:name w:val="Nagłówek Znak"/>
    <w:basedOn w:val="Domylnaczcionkaakapitu"/>
    <w:link w:val="Nagwek"/>
    <w:uiPriority w:val="99"/>
    <w:rsid w:val="00E0119E"/>
    <w:rPr>
      <w:rFonts w:ascii="Calibri" w:eastAsia="Calibri" w:hAnsi="Calibri" w:cs="Times New Roman"/>
    </w:rPr>
  </w:style>
  <w:style w:type="paragraph" w:styleId="Stopka">
    <w:name w:val="footer"/>
    <w:basedOn w:val="Normalny"/>
    <w:link w:val="StopkaZnak"/>
    <w:uiPriority w:val="99"/>
    <w:unhideWhenUsed/>
    <w:rsid w:val="00E0119E"/>
    <w:pPr>
      <w:tabs>
        <w:tab w:val="center" w:pos="4536"/>
        <w:tab w:val="right" w:pos="9072"/>
      </w:tabs>
    </w:pPr>
  </w:style>
  <w:style w:type="character" w:customStyle="1" w:styleId="StopkaZnak">
    <w:name w:val="Stopka Znak"/>
    <w:basedOn w:val="Domylnaczcionkaakapitu"/>
    <w:link w:val="Stopka"/>
    <w:uiPriority w:val="99"/>
    <w:rsid w:val="00E011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250</Words>
  <Characters>1505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8</cp:revision>
  <dcterms:created xsi:type="dcterms:W3CDTF">2024-09-16T09:42:00Z</dcterms:created>
  <dcterms:modified xsi:type="dcterms:W3CDTF">2024-09-24T05:56:00Z</dcterms:modified>
</cp:coreProperties>
</file>