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E" w:rsidRPr="00467359" w:rsidRDefault="00430AAE" w:rsidP="00430AAE">
      <w:pPr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Pr="00467359">
        <w:rPr>
          <w:rFonts w:cs="Times New Roman"/>
          <w:szCs w:val="20"/>
        </w:rPr>
        <w:t>Załącznik nr 1 do SWZ</w:t>
      </w:r>
    </w:p>
    <w:p w:rsidR="00430AAE" w:rsidRPr="00467359" w:rsidRDefault="00430AAE" w:rsidP="00430AAE">
      <w:pPr>
        <w:jc w:val="center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OPIS PRZEDMIOTU ZAMÓWIENIA</w:t>
      </w: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430AAE" w:rsidRPr="00467359" w:rsidTr="00F77BF4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mowy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percepcji wzrokowej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Program do terapii dysgrafii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wspomagający umiejętności matematyczne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Rozwijanie kompetencji emocjonalno-społecznych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kompetencji emocjonalnych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Program wspierający dzieci ze spektrum autyzmu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+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DC338A">
              <w:rPr>
                <w:rFonts w:eastAsia="Times New Roman" w:cs="Times New Roman"/>
                <w:szCs w:val="20"/>
                <w:u w:val="single"/>
                <w:lang w:eastAsia="pl-PL"/>
              </w:rPr>
              <w:t>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pedagogicznej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czytelne pisanie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harmonijny rozwój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dzieci wspierający zagadnienia matematyczno-polonistyczne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problemami emocjonalnymi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30AAE" w:rsidRPr="00467359" w:rsidTr="00F77BF4">
        <w:trPr>
          <w:trHeight w:val="3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uzależnieniami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Pakiet dla uczniów z zaburzeniami przemocy i agresji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dla dzieci posiadających trudności w pisaniu i czytaniu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30AAE" w:rsidRPr="00467359" w:rsidTr="00F77BF4">
        <w:trPr>
          <w:trHeight w:val="3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ze specjalnymi potrzebami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25.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pamięci wzrokowej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pomocy przygotowujący dzieci do szkoły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</w:tbl>
    <w:p w:rsidR="00430AAE" w:rsidRPr="00467359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SPECYFIKACJA</w:t>
      </w:r>
    </w:p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Lp. 1</w:t>
      </w:r>
    </w:p>
    <w:tbl>
      <w:tblPr>
        <w:tblStyle w:val="Tabela-Siatka"/>
        <w:tblW w:w="9634" w:type="dxa"/>
        <w:tblLook w:val="04A0"/>
      </w:tblPr>
      <w:tblGrid>
        <w:gridCol w:w="1571"/>
        <w:gridCol w:w="8063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Typ: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Komputer typu notebook z ekranem o przekątnej 15-16” i rozdzielczości nie mniejszej niż 1920 x 1080 pikseli (</w:t>
            </w:r>
            <w:proofErr w:type="spellStart"/>
            <w:r w:rsidRPr="00467359">
              <w:rPr>
                <w:rFonts w:cs="Times New Roman"/>
                <w:szCs w:val="20"/>
              </w:rPr>
              <w:t>FullHD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Procesor: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Procesor 3.0 </w:t>
            </w:r>
            <w:proofErr w:type="spellStart"/>
            <w:r w:rsidRPr="00467359">
              <w:rPr>
                <w:rFonts w:cs="Times New Roman"/>
                <w:szCs w:val="20"/>
              </w:rPr>
              <w:t>GHz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(6M </w:t>
            </w:r>
            <w:proofErr w:type="spellStart"/>
            <w:r w:rsidRPr="00467359">
              <w:rPr>
                <w:rFonts w:cs="Times New Roman"/>
                <w:szCs w:val="20"/>
              </w:rPr>
              <w:t>Cache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467359">
              <w:rPr>
                <w:rFonts w:cs="Times New Roman"/>
                <w:szCs w:val="20"/>
              </w:rPr>
              <w:t>up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to 4.1 </w:t>
            </w:r>
            <w:proofErr w:type="spellStart"/>
            <w:r w:rsidRPr="00467359">
              <w:rPr>
                <w:rFonts w:cs="Times New Roman"/>
                <w:szCs w:val="20"/>
              </w:rPr>
              <w:t>GHz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, 2 rdzenie) osiągający jednocześnie w teście </w:t>
            </w:r>
            <w:proofErr w:type="spellStart"/>
            <w:r w:rsidRPr="00467359">
              <w:rPr>
                <w:rFonts w:cs="Times New Roman"/>
                <w:szCs w:val="20"/>
              </w:rPr>
              <w:t>PassMark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Performance Test, co najmniej 10174 punktów w kategorii </w:t>
            </w:r>
            <w:proofErr w:type="spellStart"/>
            <w:r w:rsidRPr="00467359">
              <w:rPr>
                <w:rFonts w:cs="Times New Roman"/>
                <w:szCs w:val="20"/>
              </w:rPr>
              <w:t>Average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CPU Mark i po raz pierwszy będący na wykresach </w:t>
            </w:r>
            <w:proofErr w:type="spellStart"/>
            <w:r w:rsidRPr="00467359">
              <w:rPr>
                <w:rFonts w:cs="Times New Roman"/>
                <w:szCs w:val="20"/>
              </w:rPr>
              <w:t>PassMark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„CPU First </w:t>
            </w:r>
            <w:proofErr w:type="spellStart"/>
            <w:r w:rsidRPr="00467359">
              <w:rPr>
                <w:rFonts w:cs="Times New Roman"/>
                <w:szCs w:val="20"/>
              </w:rPr>
              <w:t>Seen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on </w:t>
            </w:r>
            <w:proofErr w:type="spellStart"/>
            <w:r w:rsidRPr="00467359">
              <w:rPr>
                <w:rFonts w:cs="Times New Roman"/>
                <w:szCs w:val="20"/>
              </w:rPr>
              <w:t>Charts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” w latach 2020-2021. Do oferty należy załączyć wydruk ze strony: </w:t>
            </w:r>
            <w:hyperlink r:id="rId8" w:history="1">
              <w:r w:rsidRPr="00467359">
                <w:rPr>
                  <w:rStyle w:val="Hipercze"/>
                  <w:rFonts w:cs="Times New Roman"/>
                  <w:szCs w:val="20"/>
                </w:rPr>
                <w:t>http://www.cpubenchmark.net</w:t>
              </w:r>
            </w:hyperlink>
            <w:r w:rsidRPr="00467359">
              <w:rPr>
                <w:rFonts w:cs="Times New Roman"/>
                <w:szCs w:val="20"/>
              </w:rPr>
              <w:t xml:space="preserve"> potwierdzający spełnienie wymogów SIWZ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Pamięć RAM: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Pamięć </w:t>
            </w:r>
            <w:proofErr w:type="spellStart"/>
            <w:r>
              <w:rPr>
                <w:rFonts w:cs="Times New Roman"/>
                <w:szCs w:val="20"/>
              </w:rPr>
              <w:t>operacy</w:t>
            </w:r>
            <w:proofErr w:type="spellEnd"/>
            <w:r w:rsidRPr="00467359">
              <w:rPr>
                <w:rFonts w:cs="Times New Roman"/>
                <w:szCs w:val="20"/>
              </w:rPr>
              <w:t>/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magazyn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danych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M.2 </w:t>
            </w:r>
            <w:proofErr w:type="spellStart"/>
            <w:r w:rsidRPr="00467359">
              <w:rPr>
                <w:rFonts w:cs="Times New Roman"/>
                <w:szCs w:val="20"/>
              </w:rPr>
              <w:t>PCIe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256GB o parametrach odczyt/zapis 1200/1200MB/s. Możliwość dołożenia drugiego dysku pracującego w standardzie SATA lub </w:t>
            </w:r>
            <w:proofErr w:type="spellStart"/>
            <w:r w:rsidRPr="00467359">
              <w:rPr>
                <w:rFonts w:cs="Times New Roman"/>
                <w:szCs w:val="20"/>
              </w:rPr>
              <w:t>NVMe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bez utraty gwarancji. 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lastRenderedPageBreak/>
              <w:t xml:space="preserve">Karta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graficzna: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Grafika zintegrowana z procesorem ze sprzętowym wsparciem dla kodowania H.264 oraz MPEG2, </w:t>
            </w:r>
            <w:proofErr w:type="spellStart"/>
            <w:r w:rsidRPr="00467359">
              <w:rPr>
                <w:rFonts w:cs="Times New Roman"/>
                <w:szCs w:val="20"/>
              </w:rPr>
              <w:t>DirectX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12, </w:t>
            </w:r>
            <w:proofErr w:type="spellStart"/>
            <w:r w:rsidRPr="00467359">
              <w:rPr>
                <w:rFonts w:cs="Times New Roman"/>
                <w:szCs w:val="20"/>
              </w:rPr>
              <w:t>OpenGL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4.6, posiadająca minimum 48 jednostki wykonawcze.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Multimedia: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Karta dźwiękowa zgodna z HD Audio. Wbudowane głośniki. Kamera HD.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Łączność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Karta WLAN 802.11ax (Wifi6) + BlueTooth 5.2. Zintegrowana gigabitowa karta LAN – zamawiający nie dopuszcza możliwości zastosowania karty </w:t>
            </w:r>
            <w:proofErr w:type="spellStart"/>
            <w:r w:rsidRPr="00467359">
              <w:rPr>
                <w:rFonts w:cs="Times New Roman"/>
                <w:szCs w:val="20"/>
              </w:rPr>
              <w:t>USB-LAN</w:t>
            </w:r>
            <w:proofErr w:type="spellEnd"/>
            <w:r w:rsidRPr="00467359">
              <w:rPr>
                <w:rFonts w:cs="Times New Roman"/>
                <w:szCs w:val="20"/>
              </w:rPr>
              <w:t>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Bateria i zasilacz: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Minimum 3 komorowa o pojemności 42Wh. Zasilacz dedykowany do notebooka -</w:t>
            </w:r>
            <w:proofErr w:type="spellStart"/>
            <w:r w:rsidRPr="00467359">
              <w:rPr>
                <w:rFonts w:cs="Times New Roman"/>
                <w:szCs w:val="20"/>
              </w:rPr>
              <w:t>brandowany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logo Producenta komputera.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Funkcje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BIOS: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BIOS zgodny ze specyfikacją UEFI. 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467359">
              <w:rPr>
                <w:rFonts w:cs="Times New Roman"/>
                <w:szCs w:val="20"/>
              </w:rPr>
              <w:br/>
              <w:t>- numerze seryjnym komputera.</w:t>
            </w:r>
            <w:r w:rsidRPr="00467359">
              <w:rPr>
                <w:rFonts w:cs="Times New Roman"/>
                <w:szCs w:val="20"/>
              </w:rPr>
              <w:br/>
              <w:t>- wersji BIOS.</w:t>
            </w:r>
            <w:r w:rsidRPr="00467359">
              <w:rPr>
                <w:rFonts w:cs="Times New Roman"/>
                <w:szCs w:val="20"/>
              </w:rPr>
              <w:br/>
              <w:t>- ilości zainstalowanej pamięci RAM.</w:t>
            </w:r>
            <w:r w:rsidRPr="00467359">
              <w:rPr>
                <w:rFonts w:cs="Times New Roman"/>
                <w:szCs w:val="20"/>
              </w:rPr>
              <w:br/>
              <w:t>- zastosowanym procesorze wraz z taktowaniem.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- zamontowanym dysku twardym wraz z jego pojemnością i modelem..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Możliwość włączenia/wyłączenia zintegrowanego z komputerem touchpada. 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Możliwość włączenia/wyłączenia technologii </w:t>
            </w:r>
            <w:proofErr w:type="spellStart"/>
            <w:r w:rsidRPr="00467359">
              <w:rPr>
                <w:rFonts w:cs="Times New Roman"/>
                <w:szCs w:val="20"/>
              </w:rPr>
              <w:t>Hyper-Threading</w:t>
            </w:r>
            <w:proofErr w:type="spellEnd"/>
            <w:r w:rsidRPr="00467359">
              <w:rPr>
                <w:rFonts w:cs="Times New Roman"/>
                <w:szCs w:val="20"/>
              </w:rPr>
              <w:t>.</w:t>
            </w:r>
            <w:r w:rsidRPr="00467359">
              <w:rPr>
                <w:rFonts w:cs="Times New Roman"/>
                <w:szCs w:val="20"/>
              </w:rPr>
              <w:br/>
              <w:t>Możliwość włączenia/wyłączenia wirtualizacji.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Możliwość włączenia/wyłączenia instrukcji </w:t>
            </w:r>
            <w:proofErr w:type="spellStart"/>
            <w:r w:rsidRPr="00467359">
              <w:rPr>
                <w:rFonts w:cs="Times New Roman"/>
                <w:szCs w:val="20"/>
              </w:rPr>
              <w:t>AES-NI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467359">
              <w:rPr>
                <w:rFonts w:cs="Times New Roman"/>
                <w:szCs w:val="20"/>
              </w:rPr>
              <w:t>Advanced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467359">
              <w:rPr>
                <w:rFonts w:cs="Times New Roman"/>
                <w:szCs w:val="20"/>
              </w:rPr>
              <w:t>Encryption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Standard New </w:t>
            </w:r>
            <w:proofErr w:type="spellStart"/>
            <w:r w:rsidRPr="00467359">
              <w:rPr>
                <w:rFonts w:cs="Times New Roman"/>
                <w:szCs w:val="20"/>
              </w:rPr>
              <w:t>Instructions</w:t>
            </w:r>
            <w:proofErr w:type="spellEnd"/>
            <w:r w:rsidRPr="00467359">
              <w:rPr>
                <w:rFonts w:cs="Times New Roman"/>
                <w:szCs w:val="20"/>
              </w:rPr>
              <w:t>).</w:t>
            </w:r>
            <w:r w:rsidRPr="00467359">
              <w:rPr>
                <w:rFonts w:cs="Times New Roman"/>
                <w:szCs w:val="20"/>
              </w:rPr>
              <w:br/>
              <w:t xml:space="preserve">Możliwość włączenia/wyłączenia </w:t>
            </w:r>
            <w:proofErr w:type="spellStart"/>
            <w:r w:rsidRPr="00467359">
              <w:rPr>
                <w:rFonts w:cs="Times New Roman"/>
                <w:szCs w:val="20"/>
              </w:rPr>
              <w:t>VT-d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467359">
              <w:rPr>
                <w:rFonts w:cs="Times New Roman"/>
                <w:szCs w:val="20"/>
              </w:rPr>
              <w:t>Virtualization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Technology for </w:t>
            </w:r>
            <w:proofErr w:type="spellStart"/>
            <w:r w:rsidRPr="00467359">
              <w:rPr>
                <w:rFonts w:cs="Times New Roman"/>
                <w:szCs w:val="20"/>
              </w:rPr>
              <w:t>Directed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I/O).</w:t>
            </w:r>
            <w:r w:rsidRPr="00467359">
              <w:rPr>
                <w:rFonts w:cs="Times New Roman"/>
                <w:szCs w:val="20"/>
              </w:rPr>
              <w:br/>
              <w:t>Możliwość włączenia/wyłączenia testu SMART zamontowanego dysku.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włączenia/wyłączenia bezprzewodowej karty sieciowej i modułu BlueTooth.</w:t>
            </w:r>
            <w:r w:rsidRPr="00467359">
              <w:rPr>
                <w:rFonts w:cs="Times New Roman"/>
                <w:szCs w:val="20"/>
              </w:rPr>
              <w:br/>
              <w:t>Możliwość włączenia/wyłączenia zintegrowanej karty LAN.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włączenia/wyłączenia karty dźwiękowej.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włączenia/wyłączenia zintegrowanej kamery.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włączenia/wyłączenia portów USB.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włączenia/wyłączenia modułu TPM.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Certyfikaty i standardy: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CE dla oferowanego komputera.</w:t>
            </w:r>
          </w:p>
          <w:p w:rsidR="00430AAE" w:rsidRPr="00467359" w:rsidRDefault="00430AAE" w:rsidP="00F77BF4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Oferowany laptop musi spełniać wymagania normy MIL-STD-810G lub normy równoważnej.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ISO 9001:2015 dla autoryzowanego serwisu Producenta notebooka. 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Waga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 wymiary: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Waga nieprzekraczająca 1,75kg, wymiary maksymalne 36x24x1,95cm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Bezpieczeństwo: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Dedykowana dioda LED zintegrowanej kamery sygnalizująca pracę komponentu.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Fizyczna przesłona na kamerze zintegrowana z obudową komputera.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Zintegrowany z płytą główną moduł TPM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Zintegrowane z obudową gniazdo </w:t>
            </w:r>
            <w:proofErr w:type="spellStart"/>
            <w:r w:rsidRPr="00467359">
              <w:rPr>
                <w:rFonts w:cs="Times New Roman"/>
                <w:szCs w:val="20"/>
              </w:rPr>
              <w:t>Kensington</w:t>
            </w:r>
            <w:proofErr w:type="spellEnd"/>
          </w:p>
          <w:p w:rsidR="00430AAE" w:rsidRPr="00467359" w:rsidRDefault="00430AAE" w:rsidP="00F77BF4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Wbudowany w obudowę czytnik linii papilarnych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Warunki gwarancji:</w:t>
            </w:r>
          </w:p>
        </w:tc>
        <w:tc>
          <w:tcPr>
            <w:tcW w:w="8079" w:type="dxa"/>
          </w:tcPr>
          <w:p w:rsidR="00430AAE" w:rsidRPr="00467359" w:rsidRDefault="00052E17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Minimum 24</w:t>
            </w:r>
            <w:r w:rsidR="00430AAE" w:rsidRPr="00467359">
              <w:rPr>
                <w:rFonts w:cs="Times New Roman"/>
                <w:szCs w:val="20"/>
              </w:rPr>
              <w:t xml:space="preserve"> miesięcy.</w:t>
            </w:r>
            <w:r w:rsidR="00430AAE" w:rsidRPr="00467359">
              <w:rPr>
                <w:rFonts w:cs="Times New Roman"/>
                <w:szCs w:val="20"/>
              </w:rPr>
              <w:br/>
              <w:t xml:space="preserve">Gwarancja realizowana na miejscu u klienta. </w:t>
            </w:r>
            <w:r w:rsidR="00430AAE" w:rsidRPr="00467359">
              <w:rPr>
                <w:rFonts w:cs="Times New Roman"/>
                <w:szCs w:val="20"/>
              </w:rPr>
              <w:br/>
              <w:t>Firma serwisująca musi posiadać ISO 9001:2015 na świadczenie usług serwisowych.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 xml:space="preserve">Wymagana gwarancja </w:t>
            </w:r>
          </w:p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 baterię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Gwarancja na baterię nie może być krótsza niż gwarancja na całe urządzenie. W przypadku oferty, w któr</w:t>
            </w:r>
            <w:r w:rsidR="00052E17">
              <w:rPr>
                <w:rFonts w:cs="Times New Roman"/>
                <w:szCs w:val="20"/>
              </w:rPr>
              <w:t>ej notebook posiada gwarancję 24</w:t>
            </w:r>
            <w:r w:rsidRPr="00467359">
              <w:rPr>
                <w:rFonts w:cs="Times New Roman"/>
                <w:szCs w:val="20"/>
              </w:rPr>
              <w:t xml:space="preserve"> miesięcy, również bateria powinna być objęta takim samym czasem ochron</w:t>
            </w:r>
            <w:r w:rsidR="00052E17">
              <w:rPr>
                <w:rFonts w:cs="Times New Roman"/>
                <w:szCs w:val="20"/>
              </w:rPr>
              <w:t>y tj. 24</w:t>
            </w:r>
            <w:r w:rsidRPr="00467359">
              <w:rPr>
                <w:rFonts w:cs="Times New Roman"/>
                <w:szCs w:val="20"/>
              </w:rPr>
              <w:t xml:space="preserve"> miesięcy.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Wsparcie techniczne producenta: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Porty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467359">
              <w:rPr>
                <w:rFonts w:cs="Times New Roman"/>
                <w:szCs w:val="20"/>
                <w:lang w:val="en-US"/>
              </w:rPr>
              <w:t xml:space="preserve">- </w:t>
            </w:r>
            <w:r>
              <w:rPr>
                <w:rFonts w:cs="Times New Roman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cs="Times New Roman"/>
                <w:szCs w:val="20"/>
                <w:lang w:val="en-US"/>
              </w:rPr>
              <w:t>porty</w:t>
            </w:r>
            <w:proofErr w:type="spellEnd"/>
            <w:r>
              <w:rPr>
                <w:rFonts w:cs="Times New Roman"/>
                <w:szCs w:val="20"/>
                <w:lang w:val="en-US"/>
              </w:rPr>
              <w:t xml:space="preserve"> USB </w:t>
            </w:r>
            <w:proofErr w:type="spellStart"/>
            <w:r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>
              <w:rPr>
                <w:rFonts w:cs="Times New Roman"/>
                <w:szCs w:val="20"/>
                <w:lang w:val="en-US"/>
              </w:rPr>
              <w:t xml:space="preserve"> A (3.2 Gen 2),           </w:t>
            </w:r>
            <w:r w:rsidRPr="00467359">
              <w:rPr>
                <w:rFonts w:cs="Times New Roman"/>
                <w:szCs w:val="20"/>
                <w:lang w:val="en-US"/>
              </w:rPr>
              <w:t xml:space="preserve">- 1 port USB </w:t>
            </w:r>
            <w:proofErr w:type="spellStart"/>
            <w:r w:rsidRPr="00467359"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 w:rsidRPr="00467359">
              <w:rPr>
                <w:rFonts w:cs="Times New Roman"/>
                <w:szCs w:val="20"/>
                <w:lang w:val="en-US"/>
              </w:rPr>
              <w:t xml:space="preserve"> A (2.0)</w:t>
            </w:r>
            <w:r>
              <w:rPr>
                <w:rFonts w:cs="Times New Roman"/>
                <w:szCs w:val="20"/>
                <w:lang w:val="en-US"/>
              </w:rPr>
              <w:t xml:space="preserve">         </w:t>
            </w:r>
            <w:r w:rsidRPr="00467359">
              <w:rPr>
                <w:rFonts w:cs="Times New Roman"/>
                <w:szCs w:val="20"/>
                <w:lang w:val="en-US"/>
              </w:rPr>
              <w:t>- 1 port Thunderbolt 4</w:t>
            </w:r>
          </w:p>
          <w:p w:rsidR="00430AAE" w:rsidRPr="00DC338A" w:rsidRDefault="00430AAE" w:rsidP="00F77BF4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467359">
              <w:rPr>
                <w:rFonts w:cs="Times New Roman"/>
                <w:szCs w:val="20"/>
                <w:lang w:val="en-US"/>
              </w:rPr>
              <w:t>- 1 port HDMI</w:t>
            </w:r>
            <w:r>
              <w:rPr>
                <w:rFonts w:cs="Times New Roman"/>
                <w:szCs w:val="20"/>
                <w:lang w:val="en-US"/>
              </w:rPr>
              <w:t xml:space="preserve">    </w:t>
            </w:r>
            <w:r w:rsidRPr="00467359">
              <w:rPr>
                <w:rFonts w:cs="Times New Roman"/>
                <w:szCs w:val="20"/>
                <w:lang w:val="en-US"/>
              </w:rPr>
              <w:t>- 1 port VGA</w:t>
            </w:r>
            <w:r>
              <w:rPr>
                <w:rFonts w:cs="Times New Roman"/>
                <w:szCs w:val="20"/>
                <w:lang w:val="en-US"/>
              </w:rPr>
              <w:t xml:space="preserve">   </w:t>
            </w:r>
            <w:r w:rsidRPr="00467359">
              <w:rPr>
                <w:rFonts w:cs="Times New Roman"/>
                <w:szCs w:val="20"/>
              </w:rPr>
              <w:t>- 1 port LAN RJ45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Pr="00467359">
              <w:rPr>
                <w:rFonts w:cs="Times New Roman"/>
                <w:szCs w:val="20"/>
              </w:rPr>
              <w:t xml:space="preserve">- 1 port audio 3.5mm </w:t>
            </w:r>
            <w:proofErr w:type="spellStart"/>
            <w:r w:rsidRPr="00467359">
              <w:rPr>
                <w:rFonts w:cs="Times New Roman"/>
                <w:szCs w:val="20"/>
              </w:rPr>
              <w:t>jack</w:t>
            </w:r>
            <w:proofErr w:type="spellEnd"/>
            <w:r w:rsidRPr="00467359">
              <w:rPr>
                <w:rFonts w:cs="Times New Roman"/>
                <w:szCs w:val="20"/>
              </w:rPr>
              <w:t xml:space="preserve"> (combo lub osobne łącza)</w:t>
            </w: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lastRenderedPageBreak/>
              <w:t>Klawiatura</w:t>
            </w:r>
          </w:p>
        </w:tc>
        <w:tc>
          <w:tcPr>
            <w:tcW w:w="8079" w:type="dxa"/>
          </w:tcPr>
          <w:p w:rsidR="00430AAE" w:rsidRDefault="00430AAE" w:rsidP="00F77BF4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 dedykowanym blokiem numerycznym po prawej stronie, podświetlona.</w:t>
            </w:r>
          </w:p>
          <w:p w:rsidR="00430AAE" w:rsidRPr="00467359" w:rsidRDefault="00430AAE" w:rsidP="00F77BF4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</w:p>
        </w:tc>
      </w:tr>
      <w:tr w:rsidR="00430AAE" w:rsidRPr="00467359" w:rsidTr="00F77BF4">
        <w:tc>
          <w:tcPr>
            <w:tcW w:w="1555" w:type="dxa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System operacyjny</w:t>
            </w:r>
          </w:p>
        </w:tc>
        <w:tc>
          <w:tcPr>
            <w:tcW w:w="8079" w:type="dxa"/>
          </w:tcPr>
          <w:p w:rsidR="00430AAE" w:rsidRPr="00467359" w:rsidRDefault="00430AAE" w:rsidP="00F77BF4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Nie</w:t>
            </w:r>
            <w:r w:rsidRPr="00467359">
              <w:rPr>
                <w:rFonts w:cs="Times New Roman"/>
                <w:szCs w:val="20"/>
              </w:rPr>
              <w:t>wymagający aktywacji za pomocą telefonu lub Internetu. Przez równoważność rozumie się min: wbudowany mechanizm ochrony przed programami szpiegującymi i innym niepożądanym oprogramowaniem wbudowaną zaporę firewall możliwość obsługi wielu monitorów wbudowany system obsługi faksów system automatycznej aktualizacji systemu i zabezpieczeń obsługę architektury 64-bitowej wbudowany system przywracania systemu w przypadku awarii wbudowany system tworzenia i przywracania kopii zapasowej systemu</w:t>
            </w:r>
            <w:r>
              <w:rPr>
                <w:rFonts w:cs="Times New Roman"/>
                <w:szCs w:val="20"/>
              </w:rPr>
              <w:t>.</w:t>
            </w:r>
          </w:p>
          <w:p w:rsidR="00430AAE" w:rsidRPr="00467359" w:rsidRDefault="00430AAE" w:rsidP="00F77BF4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Ze względu na wykorzystanie laptopów w szkołach dopuszczalna</w:t>
            </w:r>
            <w:r>
              <w:rPr>
                <w:rFonts w:cs="Times New Roman"/>
                <w:szCs w:val="20"/>
              </w:rPr>
              <w:t xml:space="preserve"> </w:t>
            </w:r>
            <w:r w:rsidRPr="00467359">
              <w:rPr>
                <w:rFonts w:cs="Times New Roman"/>
                <w:szCs w:val="20"/>
              </w:rPr>
              <w:t>licencja Edukacyjna.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Lp. 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mowy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2</w:t>
            </w:r>
          </w:p>
        </w:tc>
      </w:tr>
      <w:tr w:rsidR="00430AAE" w:rsidRPr="00467359" w:rsidTr="00F77BF4">
        <w:trPr>
          <w:trHeight w:val="826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Program z przeznaczeniem dla dzieci z :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afazją,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autyzmem,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niepełnosprawnością intelektualną,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zespołem Downa,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mózgowym porażeniem dziecięcym,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 xml:space="preserve">niepełnosprawnością ruchową 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dysartrią itp., które nie mogą się porozumiewać mową w sposób zrozumiały dla innych.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Lp. 3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percepcji wzrokowej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2</w:t>
            </w:r>
          </w:p>
        </w:tc>
      </w:tr>
      <w:tr w:rsidR="00430AAE" w:rsidRPr="00467359" w:rsidTr="00F77BF4">
        <w:trPr>
          <w:trHeight w:val="2399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0"/>
              </w:numPr>
              <w:shd w:val="clear" w:color="auto" w:fill="FFFFFF"/>
              <w:ind w:left="738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 wykorzystania na zajęciach korekcyjno-kompensacyjnych, rewalidacyjnych, dydaktyczno-wyrównawczych i innych mających na celu kształtowanie i usprawnianie percepcji wzrokowej,</w:t>
            </w:r>
          </w:p>
          <w:p w:rsidR="00430AAE" w:rsidRPr="00467359" w:rsidRDefault="00430AAE" w:rsidP="00F54826">
            <w:pPr>
              <w:numPr>
                <w:ilvl w:val="0"/>
                <w:numId w:val="60"/>
              </w:numPr>
              <w:shd w:val="clear" w:color="auto" w:fill="FFFFFF"/>
              <w:ind w:left="738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Ponad 600 ekranów interaktywnych oraz zestaw materiałów dodatkowych</w:t>
            </w:r>
            <w:r w:rsidR="00550213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77BF4">
            <w:pPr>
              <w:shd w:val="clear" w:color="auto" w:fill="FFFFFF"/>
              <w:ind w:left="738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 obszary:</w:t>
            </w:r>
          </w:p>
          <w:p w:rsidR="00430AAE" w:rsidRPr="00550213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Stałość spostrzegania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  <w:p w:rsidR="00430AAE" w:rsidRPr="00550213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Spostrzeganie figury i tła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  <w:p w:rsidR="00430AAE" w:rsidRPr="00550213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Spostrzeganie położenia przedmiotów w przestrzeni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  <w:p w:rsidR="00430AAE" w:rsidRPr="00550213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Spostrzeganie stosunków przestrzennych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  <w:p w:rsidR="00430AAE" w:rsidRPr="00550213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Koordynacja wzrokowo-ruchowa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  <w:p w:rsidR="00430AAE" w:rsidRPr="00467359" w:rsidRDefault="00430AAE" w:rsidP="00F54826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0213">
              <w:rPr>
                <w:rStyle w:val="Pogrubienie"/>
                <w:b w:val="0"/>
                <w:sz w:val="20"/>
                <w:szCs w:val="20"/>
              </w:rPr>
              <w:t>Pamięć wzrokowa</w:t>
            </w:r>
            <w:r w:rsidR="00550213">
              <w:rPr>
                <w:rStyle w:val="Pogrubienie"/>
                <w:b w:val="0"/>
                <w:sz w:val="20"/>
                <w:szCs w:val="20"/>
              </w:rPr>
              <w:t>,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t>Lp. 4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3316"/>
        </w:trPr>
        <w:tc>
          <w:tcPr>
            <w:tcW w:w="9634" w:type="dxa"/>
            <w:gridSpan w:val="2"/>
          </w:tcPr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szCs w:val="20"/>
              </w:rPr>
              <w:t>Program oferuje etap </w:t>
            </w:r>
            <w:r w:rsidRPr="00E40224">
              <w:rPr>
                <w:bCs/>
                <w:szCs w:val="20"/>
              </w:rPr>
              <w:t>NABYWANIA umiejętności ortograficznych</w:t>
            </w:r>
            <w:r w:rsidRPr="00E40224">
              <w:rPr>
                <w:szCs w:val="20"/>
              </w:rPr>
              <w:t> (nie jest tylko sprawdzaniem poziomu ortografii jak większość publikacji z zakresu ortografii na rynku),  kształtuje wrażliwość ortograficzną,</w:t>
            </w:r>
          </w:p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szCs w:val="20"/>
              </w:rPr>
              <w:t>Zasada </w:t>
            </w:r>
            <w:r w:rsidRPr="00E40224">
              <w:rPr>
                <w:bCs/>
                <w:szCs w:val="20"/>
              </w:rPr>
              <w:t>PODWÓJNEGO KODOWANIA</w:t>
            </w:r>
            <w:r w:rsidRPr="00E40224">
              <w:rPr>
                <w:szCs w:val="20"/>
              </w:rPr>
              <w:t> (prawie każdy trudny wyraz ma obrazek),</w:t>
            </w:r>
          </w:p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szCs w:val="20"/>
              </w:rPr>
              <w:t>W programie uczeń pracuje </w:t>
            </w:r>
            <w:r w:rsidRPr="00E40224">
              <w:rPr>
                <w:bCs/>
                <w:szCs w:val="20"/>
              </w:rPr>
              <w:t>NA WYRAZACH,</w:t>
            </w:r>
            <w:r w:rsidRPr="00E40224">
              <w:rPr>
                <w:szCs w:val="20"/>
              </w:rPr>
              <w:t> a nie na lukach, poniewa</w:t>
            </w:r>
            <w:r>
              <w:rPr>
                <w:szCs w:val="20"/>
              </w:rPr>
              <w:t>ż uważamy, że wypełnianie luk w </w:t>
            </w:r>
            <w:r w:rsidRPr="00E40224">
              <w:rPr>
                <w:szCs w:val="20"/>
              </w:rPr>
              <w:t>wyrazach nie podnosi w znaczący sposób poziomu nawyków ortograficznych,</w:t>
            </w:r>
          </w:p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szCs w:val="20"/>
              </w:rPr>
              <w:t>Tam, gdzie można, program prezentuje podejście nieoficjalne, ale</w:t>
            </w:r>
            <w:r>
              <w:rPr>
                <w:szCs w:val="20"/>
              </w:rPr>
              <w:t xml:space="preserve"> łatwiejsze dla ucznia – np. w </w:t>
            </w:r>
            <w:r w:rsidRPr="00E40224">
              <w:rPr>
                <w:szCs w:val="20"/>
              </w:rPr>
              <w:t>przypadku</w:t>
            </w:r>
            <w:r>
              <w:rPr>
                <w:szCs w:val="20"/>
              </w:rPr>
              <w:t xml:space="preserve"> </w:t>
            </w:r>
            <w:r w:rsidRPr="00E40224">
              <w:rPr>
                <w:iCs/>
                <w:szCs w:val="20"/>
              </w:rPr>
              <w:t>Ż </w:t>
            </w:r>
            <w:r w:rsidRPr="00E40224">
              <w:rPr>
                <w:i/>
                <w:iCs/>
                <w:szCs w:val="20"/>
              </w:rPr>
              <w:t>niewymiennego</w:t>
            </w:r>
            <w:r w:rsidRPr="00E40224">
              <w:rPr>
                <w:szCs w:val="20"/>
              </w:rPr>
              <w:t> jest zastosowana zasada, która znacznie zmniejsza dzieciom liczbę wyrazów  z Ż do zapamiętania; w tym konkretnym przypadku, w programie </w:t>
            </w:r>
            <w:r w:rsidRPr="00E40224">
              <w:rPr>
                <w:bCs/>
                <w:szCs w:val="20"/>
              </w:rPr>
              <w:t xml:space="preserve"> </w:t>
            </w:r>
            <w:r w:rsidRPr="00E40224">
              <w:rPr>
                <w:szCs w:val="20"/>
              </w:rPr>
              <w:t>wprowadzono zasadę, która NIE występuje chyba w żadnym słowniku, a ułatwiaj dzieciom orientację wśród wyrazów do zapamiętania,</w:t>
            </w:r>
          </w:p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szCs w:val="20"/>
              </w:rPr>
              <w:t>Materiał podzielono na najmniejsze możliwe cząstki – „</w:t>
            </w:r>
            <w:proofErr w:type="spellStart"/>
            <w:r w:rsidRPr="00E40224">
              <w:rPr>
                <w:szCs w:val="20"/>
              </w:rPr>
              <w:t>podreguły</w:t>
            </w:r>
            <w:proofErr w:type="spellEnd"/>
            <w:r w:rsidRPr="00E40224">
              <w:rPr>
                <w:szCs w:val="20"/>
              </w:rPr>
              <w:t>” (czyli np. jeśli mówimy o U to w programie  mamy osobny zestaw na </w:t>
            </w:r>
            <w:r w:rsidRPr="00E40224">
              <w:rPr>
                <w:i/>
                <w:iCs/>
                <w:szCs w:val="20"/>
              </w:rPr>
              <w:t>U na końcu wyrazu</w:t>
            </w:r>
            <w:r w:rsidRPr="00E40224">
              <w:rPr>
                <w:szCs w:val="20"/>
              </w:rPr>
              <w:t>, osobny na U w końcówkach </w:t>
            </w:r>
            <w:r w:rsidRPr="00E40224">
              <w:rPr>
                <w:i/>
                <w:iCs/>
                <w:szCs w:val="20"/>
              </w:rPr>
              <w:t>UNEK, UNKA,</w:t>
            </w:r>
            <w:r w:rsidRPr="00E40224">
              <w:rPr>
                <w:szCs w:val="20"/>
              </w:rPr>
              <w:t> osobny materiał w końcówkach</w:t>
            </w:r>
            <w:r w:rsidRPr="00E40224">
              <w:rPr>
                <w:i/>
                <w:iCs/>
                <w:szCs w:val="20"/>
              </w:rPr>
              <w:t> UJE</w:t>
            </w:r>
            <w:r w:rsidRPr="00E40224">
              <w:rPr>
                <w:szCs w:val="20"/>
              </w:rPr>
              <w:t>  itd. (a mówiąc OSOBNY materiał, mamy na myśli bardzo bogaty zestaw ćwiczeń i ilustracji - nie jakąś regułę jedynie).  Dopiero później mieszamy wszystkie przypadki z U. A jeszcze później (jak uczeń przerobi w ten sam sposób materiał z Ó) różnicujemy U i Ó. Natomiast większość propozycji (jeśli nie wszystkie) na rynku od tego właśnie zaczyna i na tym etapie w sumie kończy.</w:t>
            </w:r>
          </w:p>
          <w:p w:rsidR="00430AAE" w:rsidRPr="00E40224" w:rsidRDefault="00430AAE" w:rsidP="00F54826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100" w:beforeAutospacing="1" w:afterAutospacing="1"/>
              <w:contextualSpacing w:val="0"/>
              <w:jc w:val="both"/>
              <w:rPr>
                <w:szCs w:val="20"/>
              </w:rPr>
            </w:pPr>
            <w:r w:rsidRPr="00E40224">
              <w:rPr>
                <w:bCs/>
                <w:szCs w:val="20"/>
              </w:rPr>
              <w:t>Ortograficzne wyliczanki</w:t>
            </w:r>
            <w:r w:rsidRPr="00E40224">
              <w:rPr>
                <w:szCs w:val="20"/>
              </w:rPr>
              <w:t> – w programie  na każdą „podregułę” mamy propozycję łatwo zapamiętywanej wyliczanki ortograficznej (nie jest to mieszanie wyrazów trudnych i rymowanie ich w jednym tekście), ale nagromadzenie </w:t>
            </w:r>
          </w:p>
        </w:tc>
      </w:tr>
    </w:tbl>
    <w:p w:rsidR="00430AAE" w:rsidRDefault="00430AAE" w:rsidP="00430AAE">
      <w:pPr>
        <w:spacing w:after="0" w:line="240" w:lineRule="auto"/>
        <w:rPr>
          <w:rFonts w:cs="Times New Roman"/>
          <w:szCs w:val="20"/>
        </w:rPr>
      </w:pPr>
    </w:p>
    <w:p w:rsidR="00430AAE" w:rsidRDefault="00430AAE" w:rsidP="00430AAE">
      <w:pPr>
        <w:spacing w:after="0" w:line="240" w:lineRule="auto"/>
        <w:rPr>
          <w:rFonts w:cs="Times New Roman"/>
          <w:szCs w:val="20"/>
        </w:rPr>
      </w:pPr>
    </w:p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lastRenderedPageBreak/>
        <w:t>Lp. 5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dysgrafii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3316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3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baza blisko </w:t>
            </w:r>
            <w:r w:rsidRPr="00467359">
              <w:rPr>
                <w:rStyle w:val="Pogrubienie"/>
                <w:rFonts w:cs="Times New Roman"/>
                <w:szCs w:val="20"/>
              </w:rPr>
              <w:t>1000 </w:t>
            </w:r>
            <w:r w:rsidRPr="00467359">
              <w:rPr>
                <w:rFonts w:cs="Times New Roman"/>
                <w:szCs w:val="20"/>
              </w:rPr>
              <w:t>ekranów z ćwiczeniami interaktywnymi na tablicę interaktywną, komputer z monitorem dotykowym lub tablet</w:t>
            </w:r>
          </w:p>
          <w:p w:rsidR="00430AAE" w:rsidRPr="00467359" w:rsidRDefault="00430AAE" w:rsidP="00F54826">
            <w:pPr>
              <w:numPr>
                <w:ilvl w:val="0"/>
                <w:numId w:val="63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zestaw ćwiczeń z mikro- i makromotoryki (np. specjalnie zaprojektowane ćwiczenia rozmachowe na tablicę interaktywną), wspomagające rozwój wielu innych (poza umiejętnością pisania) obszarów, przydatnych w późniejszym życiu uczniów (np. mowa, precyzja, propriocepcja, koordynacja ogólna, stabilizacja całego ciała (mięśnie posturowe) i inne),</w:t>
            </w:r>
          </w:p>
          <w:p w:rsidR="00430AAE" w:rsidRPr="00467359" w:rsidRDefault="00430AAE" w:rsidP="00F54826">
            <w:pPr>
              <w:numPr>
                <w:ilvl w:val="0"/>
                <w:numId w:val="63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największy na rynku zestaw ćwiczeń uwzględniających wiele umiejętności potrzebnych w trakcie nauki pisania, przed nią, jak i w przypadku niepowodzeń, np.:</w:t>
            </w:r>
          </w:p>
          <w:p w:rsidR="00430AAE" w:rsidRPr="00550213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kreślenie linii pionowych</w:t>
            </w:r>
            <w:r w:rsidR="00550213">
              <w:rPr>
                <w:szCs w:val="20"/>
              </w:rPr>
              <w:t xml:space="preserve"> i </w:t>
            </w:r>
            <w:r w:rsidRPr="00550213">
              <w:rPr>
                <w:szCs w:val="20"/>
              </w:rPr>
              <w:t>poziomych,</w:t>
            </w:r>
          </w:p>
          <w:p w:rsidR="00430AAE" w:rsidRPr="00550213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kreślenie linii ukośnych,</w:t>
            </w:r>
            <w:r w:rsidR="00550213">
              <w:rPr>
                <w:szCs w:val="20"/>
              </w:rPr>
              <w:t xml:space="preserve"> </w:t>
            </w:r>
            <w:r w:rsidRPr="00550213">
              <w:rPr>
                <w:szCs w:val="20"/>
              </w:rPr>
              <w:t>owalnych i kół,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rysowanie z pamięci,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rysowanie do wzoru (w kratkach i bez),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rysowanie jednym ruchem ręki,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dokończanie niepełnego rysunku, wzoru,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ćwiczenia najczęściej z grafomotoryką kojarzone: labirynty, kolorowanie, łączenie punktów, wprawki, szlaczki,</w:t>
            </w:r>
          </w:p>
          <w:p w:rsidR="00430AAE" w:rsidRPr="00467359" w:rsidRDefault="00430AAE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 w:rsidRPr="00467359">
              <w:rPr>
                <w:szCs w:val="20"/>
              </w:rPr>
              <w:t>litery (nauka kreślenia na wielu poziomach),</w:t>
            </w:r>
          </w:p>
          <w:p w:rsidR="00430AAE" w:rsidRPr="00467359" w:rsidRDefault="00550213" w:rsidP="00550213">
            <w:pPr>
              <w:pStyle w:val="Akapitzlist"/>
              <w:numPr>
                <w:ilvl w:val="1"/>
                <w:numId w:val="100"/>
              </w:num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inne</w:t>
            </w:r>
            <w:r w:rsidR="00430AAE" w:rsidRPr="00467359">
              <w:rPr>
                <w:szCs w:val="20"/>
              </w:rPr>
              <w:t>.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dostosowany przez specjalistę materiał do pracy z </w:t>
            </w:r>
            <w:r w:rsidRPr="00550213">
              <w:rPr>
                <w:rStyle w:val="Pogrubienie"/>
                <w:rFonts w:cs="Times New Roman"/>
                <w:b w:val="0"/>
                <w:szCs w:val="20"/>
              </w:rPr>
              <w:t>4</w:t>
            </w:r>
            <w:r w:rsidRPr="00467359">
              <w:rPr>
                <w:rFonts w:cs="Times New Roman"/>
                <w:szCs w:val="20"/>
              </w:rPr>
              <w:t> zróżnicowanymi pod względem wieku, rozwoju i możliwości grupami (są tu zadania dla: trzylatków, czterolatków, pięciolatków oraz ostatnie dla grupy dzieci 6/7 letnich),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technologia wspomagająca intuicję, np.: automatyczna kontrola prawidłowego kierunku, kształtu, kolejności  kreślenia w przypadku liter, kontrola liczby przeciętych konturów i pominiętych punktów i inne,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pomoc w diagnozie wstępnej (badanie sprawności grafomotorycznej) i diagnozie kontrolnej,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zestaw pomocy dodatkowych uatrakc</w:t>
            </w:r>
            <w:r w:rsidR="00550213">
              <w:rPr>
                <w:rFonts w:cs="Times New Roman"/>
                <w:szCs w:val="20"/>
              </w:rPr>
              <w:t>yjniających ćwiczenia paluszków.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6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557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Część 1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pacing w:val="8"/>
                <w:szCs w:val="20"/>
                <w:lang w:eastAsia="pl-PL"/>
              </w:rPr>
              <w:t>ponad 400 interaktywnych ćwiczeń do nauki czytania dla dzieci, opartych na zbiorze sylab otwartych</w:t>
            </w:r>
            <w:r w:rsidR="00550213">
              <w:rPr>
                <w:rFonts w:eastAsia="Times New Roman" w:cs="Times New Roman"/>
                <w:bCs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przemyślany zestaw zadań, które krok po kroku wprowadzają dziecko w umiejętność dekodowania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zadania przekazane w atrakcyjnej formie, dzięki czemu czytanie nie jest męczące, a kolejne etapy przechodzi się komfortowo i bez frustracji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możliwość indywidualizacji pracy z dzieckiem i dobrania zadań, które najbardziej odpowiadają potrzebom (możliwość swobodnego kreowania własnych zestawów ćwiczeń)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możliwość wszechstronnego wykorzystania ćwiczeń – zarówno do pracy na tablecie i komputerze, jak i na tablicy interaktywnej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tradycyjne, kopiowalne karty pracy wspierające poszczególne etapy kształtowania umiejętności czytania u dzieci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64"/>
              </w:numPr>
              <w:tabs>
                <w:tab w:val="clear" w:pos="720"/>
                <w:tab w:val="num" w:pos="426"/>
              </w:tabs>
              <w:ind w:left="426" w:right="180" w:hanging="284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podręcznik metodyczny i scenariusze zajęć</w:t>
            </w:r>
            <w:r w:rsidR="00550213">
              <w:rPr>
                <w:rFonts w:eastAsia="Times New Roman" w:cs="Times New Roman"/>
                <w:spacing w:val="8"/>
                <w:szCs w:val="20"/>
                <w:lang w:eastAsia="pl-PL"/>
              </w:rPr>
              <w:t>.</w:t>
            </w:r>
          </w:p>
          <w:p w:rsidR="00430AAE" w:rsidRPr="00467359" w:rsidRDefault="00430AAE" w:rsidP="00F77BF4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Część 2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bCs/>
                <w:spacing w:val="8"/>
                <w:szCs w:val="20"/>
              </w:rPr>
              <w:t>zbiór ponad 500 uporządkowanych w kilkunastu zestawach ćwiczeń kształtujących w sposób praktyczny umiejętność czytania wyrazów</w:t>
            </w:r>
            <w:r w:rsidR="00550213">
              <w:rPr>
                <w:bCs/>
                <w:spacing w:val="8"/>
                <w:szCs w:val="20"/>
              </w:rPr>
              <w:t>,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ćwiczenia o przemyślanej konstrukcji wspierającej zdobywanie wiedzy, wykorzystujące wyrazy wcześniej poznane oraz stopniujące poziom trudności</w:t>
            </w:r>
            <w:r w:rsidR="00550213">
              <w:rPr>
                <w:spacing w:val="8"/>
                <w:szCs w:val="20"/>
              </w:rPr>
              <w:t>,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materiały do wykorzystania na zajęciach dydaktycznych (np. roczne przygotowanie przedszkolne lub wcześniej), dydaktyczno-wyrównawczych, logopedycznych, terapii pedagogicznej, rewalidacyjnych, a także w edukacji domowej i innych obszarach mających na celu wykształcenie u dziecka umiejętności czytania</w:t>
            </w:r>
            <w:r w:rsidR="00550213">
              <w:rPr>
                <w:spacing w:val="8"/>
                <w:szCs w:val="20"/>
              </w:rPr>
              <w:t>,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efektywne ćwiczenia, których konstrukcja opiera się na analizie sylabowo-głoskowej wyrazów w powiązaniu z ich budową literową</w:t>
            </w:r>
            <w:r w:rsidR="00550213">
              <w:rPr>
                <w:spacing w:val="8"/>
                <w:szCs w:val="20"/>
              </w:rPr>
              <w:t>,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propozycja uzupełniona o zestaw dodatkowych pomocy i publikacji autorskich (np. karty pracy do wydruku, przewodnik metodyczny)</w:t>
            </w:r>
            <w:r w:rsidR="00550213">
              <w:rPr>
                <w:spacing w:val="8"/>
                <w:szCs w:val="20"/>
              </w:rPr>
              <w:t>.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materiał z kilkustopniowym systemem motywacyjnym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5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produkt interaktywny zgodny z wytycznymi dostępności dla osób z niepełnosprawnościami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7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1971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ind w:left="180"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Zestaw interaktywnych ćwiczeń do pracy z uczniami ze spektrum autyzmu, a także niepełnosprawnością intelektualną i innymi problemami komunikacyjnymi.</w:t>
            </w:r>
          </w:p>
          <w:p w:rsidR="00430AAE" w:rsidRPr="00467359" w:rsidRDefault="00430AAE" w:rsidP="00F54826">
            <w:pPr>
              <w:numPr>
                <w:ilvl w:val="0"/>
                <w:numId w:val="65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Do wykorzystania na zajęciach rewalidacyjnych, terapeutycznych i dydaktycznych prowadzonych indywidualnie lub w małych grupach</w:t>
            </w:r>
          </w:p>
          <w:p w:rsidR="00430AAE" w:rsidRPr="00467359" w:rsidRDefault="00550213" w:rsidP="00F54826">
            <w:pPr>
              <w:numPr>
                <w:ilvl w:val="0"/>
                <w:numId w:val="65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P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onad 1500 ekranów interaktywnych, karty pracy, przewodniki metodyczne oraz zestaw dodatkowych pomocy i publikacji autorskich</w:t>
            </w:r>
          </w:p>
          <w:p w:rsidR="00430AAE" w:rsidRPr="00467359" w:rsidRDefault="00430AAE" w:rsidP="00F54826">
            <w:pPr>
              <w:numPr>
                <w:ilvl w:val="0"/>
                <w:numId w:val="65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Dla terapeutów pracujących z uczniami ze spektrum autyzmu, niepełnosprawnością intelektualną i innymi problemami komunikacyjnymi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Ćwiczenia wspomagające i rozwijające umiejętności arytmetyczne, kształtujące umiejętności myślenia i jasnego formułowania wniosków, przygotowujące uczniów do wykorzystania wiedzy matematycznej w rozwiązywaniu problemów z życia codziennego i doskonalące wiele umiejętności z innych ważnych obszarów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Blisko 600 niepowtarzalnych, zróżnicowanych ekranów, które aktywizują ucznia, rozwijają zdolności samokształcenia, pomagają pokonać ewentualne trudności w nauce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Produkt przeznaczony do wykorzystania podczas zajęć wyrównawczych, korekcyjno-kompensacyjnych i rewalidacyjnych z obszaru edukacji matematycznej dla uczniów klas 4-6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ćwiczenia adresowane do uczniów z trudnościami w uczeniu się matematyki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starannie dobrane, interesujące zadania umożliwiające harmonijny rozwój umiejętności interpretacyjnych ucznia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przyjazny przewodnik metodyczny z podpowiedziami i gotowymi propozycjami zajęć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zestaw materiałów dodatkowych w pudełku (np. karty pracy do wydruku, poradnik metodyczny, tradycyjne pomoce dydaktyczne)</w:t>
            </w:r>
          </w:p>
          <w:p w:rsidR="00430AAE" w:rsidRPr="00467359" w:rsidRDefault="00430AAE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>kurs obsługi narzędzia pozwalającego na tworzenie dodatkowych ekranów multimedialnych dla dzieci (np. większej liczby ekranów indywidualnie dostosowanych do danego ucznia lub zgodnych z jego bieżącymi zainteresowaniami)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Interaktywny program z ćwiczeniami i materiałami multimedialnymi skierowany do terapeutów i nauczycieli, którzy chcą uatrakcyjnić prowadzone przez siebie zajęcia w obszarze polonistycznym z uczniami klas 4-6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Blisko 600 niepowtarzalnych, zróżnicowanych ekranów, które aktywizują ucznia, rozwijają zdolności samokształcenia, pomagają pokonać ewentualne trudności w nauce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Materiały do wykorzystywania na zajęciach terapii pedagogicznej, logopedycznej, na zajęciach wyrównawczych i rewalidacyjnych, a także jako utrwalenie lub uzupełnienie na lekcjach języka polskiego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ćwiczenia adresowane do uczniów z trudnościami w uczeniu się języka polskiego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materiał wspomagający organizację pomocy psychologiczno-pedagogicznej ze starszymi uczniami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zestaw angażujących uczniów ćwiczeń, które integrują treści literackie, językowe, ortograficzne, gramatyczne i interpunkcyjne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starannie dobrane, interesujące teksty kultury umożliwiające harmonijny rozwój umiejętności interpretacyjnych ucznia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przyjazny przewodnik metodyczny z podpowiedziami i gotowymi propozycjami zajęć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zestaw materiałów dodatkowych w pudełku (np. karty pracy do wydruku, poradnik metodyczny, tradycyjne pomoce dydaktyczne)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kurs obsługi narzędzia pozwalającego na tworzenie dodatkowych ekranów multimedialnych dla dzieci (np. większej liczby ekranów indywidualnie dostosowanych do danego ucznia lub zgodnych z jego bieżącymi zainteresowaniami)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Do wykorzystania na zajęciach logopedycznych, rewalidacyjnych i terapii pedagogicznej, prowadzonych indywidualnie lub w małych grupach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Ponad 200 ekranów interaktywnych, karty pracy, przewodniki metodyczne oraz zestaw dodatkowych pomocy i publikacji autorskich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Dla terapeutów pracujących z uczniami ze spektrum autyzmu, niepełnosprawnością intelektualną i innymi problemami komunikacyjnymi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Ć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wiczenia o prostej i przemyślanej konstrukcji z obszarów takich jak: emocje, gesty, homonimy, synonimy, proste wyrażenia frazeologiczne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U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zupełnienie ćwiczeń z programów dotyczących pracy z uczniami ze spektrum autyzmu, a także niepełnosprawnością intelektualną i innymi problemami komunikacyjnymi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Z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estaw materiałów dodatkowych w pudełku (np. karty pracy do wydruku, poradnik metodyczny, tradycyjne pomoce dydaktyczne: kostki emocji, pieczątki)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K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urs obsługi narzędzia pozwalającego na tworzenie dodatkowych ekranów multimedialnych dla dzieci (np. większej liczby ekranów indywidualnie dostosowanych do danego dziecka, ekranów z ćwiczeniami z konkretnego obszaru lub z konkretnymi elementami graficznymi, np. z fotografiami twarzy osób znajomych dzieciom)</w:t>
            </w:r>
          </w:p>
          <w:p w:rsidR="00430AAE" w:rsidRPr="00DC338A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M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ateriały do pracy z uczniami ze spektrum autyzmu przystosowane do działania na większości urządzeń multimedialnych (komputer, tablica i monitor interaktywny, laptop, tablet, </w:t>
            </w:r>
            <w:proofErr w:type="spellStart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smartfon</w:t>
            </w:r>
            <w:proofErr w:type="spellEnd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)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Dla terapeutów pracujących z uczniami ze spektrum autyzmu, niepełnosprawnością intelektualną i innymi problemami komunikacyjnymi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Ponad 200 ekranów interaktywnych, karty pracy do wydruku, poradnik metodyczny oraz zestaw dodatkowych pomocy i publikacji autorskich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Produkt przeznaczony do pracy na zajęciach rewalidacyjnych, logopedycznych i terapii dydaktycznej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S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cenariusze zajęć stworzone przez doświadczonych terapeutów pracujących z dziećmi z całościowymi zaburzeniami rozwojowymi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Ć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wiczenia o prostej i przemyślanej konstrukcji z obszarów takich jak: zwroty grzecznościowe, tempo, </w:t>
            </w:r>
            <w:proofErr w:type="spellStart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fluencja</w:t>
            </w:r>
            <w:proofErr w:type="spellEnd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 mowy, intonacja, złożone wyrażenia frazeologiczne, a także wybrane obszary TUS (Treningu Umiejętności Społecznych)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O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sobne zbiory ćwiczeń dostosowane dla dzieci nieumiejących czytać oraz dla uczniów starszych, w przypadku których zadania zawierają tekst pisany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U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zupełnienie ćwiczeń z innych programów poświęconych całościowym zaburzeniom rozwoju</w:t>
            </w:r>
          </w:p>
          <w:p w:rsidR="00430AAE" w:rsidRPr="00467359" w:rsidRDefault="00550213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>
              <w:rPr>
                <w:rFonts w:eastAsia="Times New Roman" w:cs="Times New Roman"/>
                <w:spacing w:val="8"/>
                <w:szCs w:val="20"/>
                <w:lang w:eastAsia="pl-PL"/>
              </w:rPr>
              <w:t>M</w:t>
            </w:r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ateriały do pracy z uczniami ze spektrum autyzmu przystosowane do działania na większości urządzeń multimedialnych (komputer, tablica i monitor interaktywny, laptop, tablet, </w:t>
            </w:r>
            <w:proofErr w:type="spellStart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smartfon</w:t>
            </w:r>
            <w:proofErr w:type="spellEnd"/>
            <w:r w:rsidR="00430AAE"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)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wspomagający umiejętności matematyczne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Do wykorzystania na zajęciach korekcyjno-kompensacyjnych i dydaktyczno-wyrównawczych, a także innych mających na celu kształtowanie i nabywanie umiejętności matematycznych na poziomie pierwszego etapu edukacyjnego (klasy I-III)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Ponad 600 ekranów interaktywnych oraz zestaw materiałów dodatkowych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Produkt dla terapeutów pedagogicznych i nauczycieli zajmujących się wspomaganiem dzieci w nabywaniu przez nie sprawności w zakresie liczenia i myślenia matematycznego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Dzięki swojej zawartości i zastosowaniu specjalnych rozwiązań graficzno-funkcjonalnych, program świetnie nadaje się do pracy z dziećmi z dezintegracją sensoryczną, z dysleksją lub ryzykiem dysleksji, dziećmi nadpobudliwych psychoruchowo, mających kłopoty z koncentracją i koordynacją wzrokowo-ruchową</w:t>
            </w:r>
          </w:p>
          <w:p w:rsidR="00430AAE" w:rsidRPr="00467359" w:rsidRDefault="00550213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M</w:t>
            </w:r>
            <w:r w:rsidR="00430AAE" w:rsidRPr="00467359">
              <w:rPr>
                <w:spacing w:val="8"/>
                <w:szCs w:val="20"/>
              </w:rPr>
              <w:t>ateriał bliski dzieciom (tzw. „Matematyka codzienności”)</w:t>
            </w:r>
          </w:p>
          <w:p w:rsidR="00430AAE" w:rsidRPr="00467359" w:rsidRDefault="00550213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Z</w:t>
            </w:r>
            <w:r w:rsidR="00430AAE" w:rsidRPr="00467359">
              <w:rPr>
                <w:spacing w:val="8"/>
                <w:szCs w:val="20"/>
              </w:rPr>
              <w:t>adania na logiczne myślenie</w:t>
            </w:r>
          </w:p>
          <w:p w:rsidR="00430AAE" w:rsidRPr="00467359" w:rsidRDefault="00550213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Ć</w:t>
            </w:r>
            <w:r w:rsidR="00430AAE" w:rsidRPr="00467359">
              <w:rPr>
                <w:spacing w:val="8"/>
                <w:szCs w:val="20"/>
              </w:rPr>
              <w:t>wiczenie metodą tzw. małych kroczków – każde działanie jest rozdzielone na mniejsze etapy</w:t>
            </w:r>
          </w:p>
          <w:p w:rsidR="00550213" w:rsidRDefault="00550213" w:rsidP="00F54826">
            <w:pPr>
              <w:pStyle w:val="Akapitzlist"/>
              <w:numPr>
                <w:ilvl w:val="0"/>
                <w:numId w:val="66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P</w:t>
            </w:r>
            <w:r w:rsidR="00430AAE" w:rsidRPr="00467359">
              <w:rPr>
                <w:spacing w:val="8"/>
                <w:szCs w:val="20"/>
              </w:rPr>
              <w:t xml:space="preserve">rodukt </w:t>
            </w:r>
            <w:r>
              <w:rPr>
                <w:spacing w:val="8"/>
                <w:szCs w:val="20"/>
              </w:rPr>
              <w:t xml:space="preserve">powinien </w:t>
            </w:r>
            <w:r w:rsidR="00430AAE" w:rsidRPr="00467359">
              <w:rPr>
                <w:spacing w:val="8"/>
                <w:szCs w:val="20"/>
              </w:rPr>
              <w:t>zawiera</w:t>
            </w:r>
            <w:r>
              <w:rPr>
                <w:spacing w:val="8"/>
                <w:szCs w:val="20"/>
              </w:rPr>
              <w:t>ć:</w:t>
            </w:r>
          </w:p>
          <w:p w:rsidR="00430AAE" w:rsidRDefault="00430AAE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467359">
              <w:rPr>
                <w:spacing w:val="8"/>
                <w:szCs w:val="20"/>
              </w:rPr>
              <w:t xml:space="preserve">matematyczne gry zespołowe, w których mogą brać udział pary lub grupy dzieci </w:t>
            </w:r>
            <w:r w:rsidRPr="00467359">
              <w:rPr>
                <w:spacing w:val="8"/>
                <w:szCs w:val="20"/>
              </w:rPr>
              <w:lastRenderedPageBreak/>
              <w:t>uczęszczające na zajęcia</w:t>
            </w:r>
          </w:p>
          <w:p w:rsidR="00430AAE" w:rsidRDefault="00550213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m</w:t>
            </w:r>
            <w:r w:rsidR="00430AAE" w:rsidRPr="00550213">
              <w:rPr>
                <w:spacing w:val="8"/>
                <w:szCs w:val="20"/>
              </w:rPr>
              <w:t>ateriał poświęcony umiejętności szacowania, a także odczytywania wykresów</w:t>
            </w:r>
          </w:p>
          <w:p w:rsidR="00430AAE" w:rsidRDefault="00550213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z</w:t>
            </w:r>
            <w:r w:rsidR="00430AAE" w:rsidRPr="00550213">
              <w:rPr>
                <w:spacing w:val="8"/>
                <w:szCs w:val="20"/>
              </w:rPr>
              <w:t>adania na myślenie przestrzenne i perspektywiczne</w:t>
            </w:r>
          </w:p>
          <w:p w:rsidR="00430AAE" w:rsidRDefault="00430AAE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550213">
              <w:rPr>
                <w:spacing w:val="8"/>
                <w:szCs w:val="20"/>
              </w:rPr>
              <w:t>elementy kodowania, a także przykłady matematyki twórczej</w:t>
            </w:r>
          </w:p>
          <w:p w:rsidR="00430AAE" w:rsidRDefault="00430AAE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550213">
              <w:rPr>
                <w:spacing w:val="8"/>
                <w:szCs w:val="20"/>
              </w:rPr>
              <w:t>ćwiczenia terapeutyczne, np. ćwiczenia kształtujące percepcję wzrokową na materiale typowo matematycznym</w:t>
            </w:r>
          </w:p>
          <w:p w:rsidR="00430AAE" w:rsidRPr="00550213" w:rsidRDefault="00430AAE" w:rsidP="00550213">
            <w:pPr>
              <w:pStyle w:val="Akapitzlist"/>
              <w:numPr>
                <w:ilvl w:val="0"/>
                <w:numId w:val="101"/>
              </w:numPr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550213">
              <w:rPr>
                <w:spacing w:val="8"/>
                <w:szCs w:val="20"/>
              </w:rPr>
              <w:t>materiały do druku i pomoce tradycyjne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Lp.13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Rozwijanie kompetencji emocjonalno-społecznych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dwa programy , których celem jest wzmocnienie oddziaływań terapeutycznych i profilaktycznych w odniesieniu do dzieci i młodzieży, której dotyczą problemy w zakresie nawiązywania relacji z rówieśnikami i funkcjonowania w różnych sytuacjach społecznych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programy wpływające korzystnie na poziom sukcesu osobistego, obraz samego siebie oraz przeciwdziałające występowaniu nieakceptowanych społecznie zachowań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ćwiczenia multimedialne i scenariusze zajęć adresowane do młodszych i starszych uczniów szkoły podstawowej (6-13 lat)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blisko 300 ekranów multimedialnych z interaktywni ćwiczeniami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ćwiczenia usprawniające umiejętności skutecznego komunikowania się, okazywania empatii, rozwiązywania konfliktów, budowania dobrych relacji z innymi, a także kształcenie sposobów radzenia sobie z problemami związanymi z procesem rozwojowym lub sytuacjami kryzysowymi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materiały, które zgodnie z rozpoznanymi potrzebami, mogą być adresowane do większej grupy dzieci i młodzieży (uczestniczącej w zajęciach: socjoterapeutycznych, rozwijających kompetencje emocjonalno-społeczne, godzin wychowawczych, świetlicowych, terapii pedagogicznej, edukacyjnych, odbywających się podczas rocznego przygotowania przedszkolnego, edukacyjnych z zakresu edukacji społecznej w klasach i młodszych i starszych szkoły podstawowej)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osobne zbiory ćwiczeń dostosowane dla dzieci nieumiejących czytać oraz dla uczniów starszych, w przypadku których zadania zawierają tekst pisany i ćwiczenia bardziej złożone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zestaw materiałów dodatkowych w pudełku, w tym szczegółowy poradnik metodyczny z propozycjami spotkań tematycznych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dwa programy (dwie części dla dwóch grup wiekowych), do każdego licencje dla 3 użytkowników</w:t>
            </w:r>
          </w:p>
          <w:p w:rsidR="00430AAE" w:rsidRPr="00467359" w:rsidRDefault="00430AAE" w:rsidP="00F54826">
            <w:pPr>
              <w:numPr>
                <w:ilvl w:val="0"/>
                <w:numId w:val="66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pacing w:val="8"/>
                <w:szCs w:val="20"/>
                <w:lang w:eastAsia="pl-PL"/>
              </w:rPr>
              <w:t>dodatek w postaci kursu obsługi narzędzia pozwalającego na tworzenie dodatkowych ekranów multimedialnych dla dzieci (np. większej liczby ekranów indywidualnie dostosowanych do danego ucznia)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14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kompetencji emocjonalnych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u w:val="single"/>
                <w:lang w:eastAsia="pl-PL"/>
              </w:rPr>
              <w:t>Wspomaga</w:t>
            </w:r>
            <w:r w:rsidR="00E5257C">
              <w:rPr>
                <w:rFonts w:eastAsia="Times New Roman" w:cs="Times New Roman"/>
                <w:bCs/>
                <w:szCs w:val="20"/>
                <w:u w:val="single"/>
                <w:lang w:eastAsia="pl-PL"/>
              </w:rPr>
              <w:t>jący</w:t>
            </w:r>
            <w:r w:rsidRPr="00467359">
              <w:rPr>
                <w:rFonts w:eastAsia="Times New Roman" w:cs="Times New Roman"/>
                <w:bCs/>
                <w:szCs w:val="20"/>
                <w:u w:val="single"/>
                <w:lang w:eastAsia="pl-PL"/>
              </w:rPr>
              <w:t>: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br/>
              <w:t>– budowanie pozytywnego obrazu siebie,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kształcenie umiejętności rozpoznawania i nazywania emocji,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zdolność radzenia sobie z emocjami własnymi i innych,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rozwój empatii,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kształcenie umiejętności funkcjonowania i współpracy w grupie,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budowanie relacji,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– rozwój umiejętności dbania o własne zdrowie, higienę i bezpieczeństwo.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DC338A">
              <w:rPr>
                <w:rFonts w:eastAsia="Times New Roman" w:cs="Times New Roman"/>
                <w:bCs/>
                <w:szCs w:val="20"/>
                <w:u w:val="single"/>
                <w:lang w:eastAsia="pl-PL"/>
              </w:rPr>
              <w:t>Zawartość programu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:</w:t>
            </w:r>
          </w:p>
          <w:p w:rsidR="00430AAE" w:rsidRPr="00467359" w:rsidRDefault="00430AAE" w:rsidP="00F5482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40 lekcji multimedialnych na pendrive, w tym:</w:t>
            </w:r>
          </w:p>
          <w:p w:rsidR="00430AAE" w:rsidRDefault="00430AAE" w:rsidP="00E5257C">
            <w:pPr>
              <w:pStyle w:val="Akapitzlist"/>
              <w:numPr>
                <w:ilvl w:val="0"/>
                <w:numId w:val="10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E5257C">
              <w:rPr>
                <w:rFonts w:eastAsia="Times New Roman" w:cs="Times New Roman"/>
                <w:szCs w:val="20"/>
                <w:lang w:eastAsia="pl-PL"/>
              </w:rPr>
              <w:t>40 animacji i pokazów slajdów,</w:t>
            </w:r>
          </w:p>
          <w:p w:rsidR="00430AAE" w:rsidRDefault="00430AAE" w:rsidP="00E5257C">
            <w:pPr>
              <w:pStyle w:val="Akapitzlist"/>
              <w:numPr>
                <w:ilvl w:val="0"/>
                <w:numId w:val="10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E5257C">
              <w:rPr>
                <w:rFonts w:eastAsia="Times New Roman" w:cs="Times New Roman"/>
                <w:szCs w:val="20"/>
                <w:lang w:eastAsia="pl-PL"/>
              </w:rPr>
              <w:t>ponad 90 ćwiczeń multimedialnych,</w:t>
            </w:r>
          </w:p>
          <w:p w:rsidR="00430AAE" w:rsidRDefault="00430AAE" w:rsidP="00E5257C">
            <w:pPr>
              <w:pStyle w:val="Akapitzlist"/>
              <w:numPr>
                <w:ilvl w:val="0"/>
                <w:numId w:val="10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E5257C">
              <w:rPr>
                <w:rFonts w:eastAsia="Times New Roman" w:cs="Times New Roman"/>
                <w:szCs w:val="20"/>
                <w:lang w:eastAsia="pl-PL"/>
              </w:rPr>
              <w:t>animowane nagrody za rozwiązanie zadań,</w:t>
            </w:r>
          </w:p>
          <w:p w:rsidR="00430AAE" w:rsidRPr="00E5257C" w:rsidRDefault="00430AAE" w:rsidP="00E5257C">
            <w:pPr>
              <w:pStyle w:val="Akapitzlist"/>
              <w:numPr>
                <w:ilvl w:val="0"/>
                <w:numId w:val="10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E5257C">
              <w:rPr>
                <w:rFonts w:eastAsia="Times New Roman" w:cs="Times New Roman"/>
                <w:szCs w:val="20"/>
                <w:lang w:eastAsia="pl-PL"/>
              </w:rPr>
              <w:t>50 kart pracy do wydruku</w:t>
            </w:r>
          </w:p>
          <w:p w:rsidR="00430AAE" w:rsidRPr="00467359" w:rsidRDefault="00430AAE" w:rsidP="00F54826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publikacja - 40 scenariuszy zajęć, 50 kart pracy</w:t>
            </w:r>
          </w:p>
          <w:p w:rsidR="00430AAE" w:rsidRPr="00467359" w:rsidRDefault="00430AAE" w:rsidP="00F54826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publikacja – przewodnik metodyczny wraz z kartami obserwacji dziecka</w:t>
            </w:r>
          </w:p>
          <w:p w:rsidR="00430AAE" w:rsidRPr="00905E71" w:rsidRDefault="00430AAE" w:rsidP="00905E71">
            <w:pPr>
              <w:pStyle w:val="Akapitzlist"/>
              <w:numPr>
                <w:ilvl w:val="0"/>
                <w:numId w:val="10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905E71">
              <w:rPr>
                <w:rFonts w:eastAsia="Times New Roman" w:cs="Times New Roman"/>
                <w:szCs w:val="20"/>
                <w:lang w:eastAsia="pl-PL"/>
              </w:rPr>
              <w:t>cz. I – Zanim zaczniesz pracę z programem</w:t>
            </w:r>
          </w:p>
          <w:p w:rsidR="00430AAE" w:rsidRPr="00905E71" w:rsidRDefault="00905E71" w:rsidP="00905E71">
            <w:pPr>
              <w:pStyle w:val="Akapitzlist"/>
              <w:numPr>
                <w:ilvl w:val="0"/>
                <w:numId w:val="10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cz. II – </w:t>
            </w:r>
            <w:r w:rsidR="00430AAE" w:rsidRPr="00905E71">
              <w:rPr>
                <w:rFonts w:eastAsia="Times New Roman" w:cs="Times New Roman"/>
                <w:szCs w:val="20"/>
                <w:lang w:eastAsia="pl-PL"/>
              </w:rPr>
              <w:t>Jak pracować z programem Moc emocji?</w:t>
            </w:r>
          </w:p>
          <w:p w:rsidR="00430AAE" w:rsidRPr="00905E71" w:rsidRDefault="00430AAE" w:rsidP="00905E71">
            <w:pPr>
              <w:pStyle w:val="Akapitzlist"/>
              <w:numPr>
                <w:ilvl w:val="0"/>
                <w:numId w:val="10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905E71">
              <w:rPr>
                <w:rFonts w:eastAsia="Times New Roman" w:cs="Times New Roman"/>
                <w:szCs w:val="20"/>
                <w:lang w:eastAsia="pl-PL"/>
              </w:rPr>
              <w:t>cz. III – Co warto wiedzieć o rozwoju społecznym i emocjonalnym dzieci w wieku 6-10 lat.</w:t>
            </w:r>
          </w:p>
        </w:tc>
      </w:tr>
    </w:tbl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15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dzieci ze spektrum autyzmu + tablet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8352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Specjalistyczny program multimedialny dla nauczycieli i terapeutów przeznaczony do terapii dzieci ze spektrum autyzmu,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w wieku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 przedszkolnym i szkolnym.</w:t>
            </w:r>
          </w:p>
          <w:p w:rsidR="00430AAE" w:rsidRPr="00467359" w:rsidRDefault="00430AAE" w:rsidP="00F54826">
            <w:pPr>
              <w:numPr>
                <w:ilvl w:val="0"/>
                <w:numId w:val="69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wsparcie rozwoju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kompetencji emocjonalno-społecznych i komunikacyjnych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u dzieci ze spektrum autyzmu</w:t>
            </w:r>
          </w:p>
          <w:p w:rsidR="00430AAE" w:rsidRPr="00467359" w:rsidRDefault="00430AAE" w:rsidP="00F54826">
            <w:pPr>
              <w:numPr>
                <w:ilvl w:val="0"/>
                <w:numId w:val="69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narzędzie w pracy terapeutycznej ze wszystkimi dziećmi, u których występują trudne zachowania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SPEKTRUM AUTYZ</w:t>
            </w:r>
            <w:r w:rsidR="00E5257C">
              <w:rPr>
                <w:rFonts w:eastAsia="Times New Roman" w:cs="Times New Roman"/>
                <w:bCs/>
                <w:szCs w:val="20"/>
                <w:lang w:eastAsia="pl-PL"/>
              </w:rPr>
              <w:t xml:space="preserve">MU PRO 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program do pracy z dziećmi ze spektrum autyzmu mający status wyrobu medycznego i udowodnioną w opinii klinicznej skuteczność. 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Przeznaczony jest do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pracy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indywidualnej i w małych grupach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na zajęciach terapeutycznych, rewalidacyjnych oraz dydaktycznych. 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Zawartość zestawu: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blisko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300 multimedialnych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ćwiczeń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na pendrivie i na karcie SD – do wykorzystania na laptopie oraz na tablecie (Android),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tablet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dołączony do zestawu – do wykorzystania z ćwiczeniami multimedialnymi instalowanymi z karty SD,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aplikacja terapeuty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umożliwiająca śledzenie postępów dziecka i dokumentowanie przebiegu terapii (zapisywanie nagrań i zdjęć) – dostępna na pendrivie,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ponad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50 filmów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animowanych wspierających modelowanie zachowań,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moduł ustawiania dostępności zgodnie z WCAG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– system ustawień widoku ćwiczeń i innych funkcji pozwalających na indywidualizację pracy z programem (np. wybór głosu lektora, wyłączanie dźwięków),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Kreator komiksów do samodzielnego tworzenia komiksów z możliwością wydruku,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atrakcyjny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system motywacyjny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– do wyboru 6 postaci towarzyszących dziecku,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40 przykładowych scenariuszy zajęć terapeutycznych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wraz z kartami emocji i kartami pracy,</w:t>
            </w:r>
          </w:p>
          <w:p w:rsidR="00430AAE" w:rsidRPr="00467359" w:rsidRDefault="00430AAE" w:rsidP="00F54826">
            <w:pPr>
              <w:numPr>
                <w:ilvl w:val="0"/>
                <w:numId w:val="70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przewodnik metodyczny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opracowany przez doświadczonych terapeutów.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to baza blisko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300 ćwiczeń multimedialnych o zmiennym materiale ilustracyjnym i losowym doborze przykładów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do odtworzenia na komputerze oraz na dołączonym do zestawu tablecie.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Dobór ćwiczeń służy kształceniu kluczowych umiejętności dzieci ze spektrum autyzmu: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rozpoznawanie, wyrażanie i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nazywanie emocji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planowanie i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inicjowanie kontaktów społecznych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zachowania adekwatne do sytuacji,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radzenie sobie z odmową,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podążanie za wzrokiem patrzącego,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odczytywanie gestów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funkcjonowanie w grupie,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płynność wypowiedzi,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rozpoznawanie prozodii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rozumienie emocjonalnego zabarwienia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tekstu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ind w:left="270" w:right="45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różnicowanie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tempa czytania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i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natężenia głosu.</w:t>
            </w:r>
          </w:p>
        </w:tc>
      </w:tr>
      <w:tr w:rsidR="00430AAE" w:rsidRPr="00467359" w:rsidTr="00F77BF4">
        <w:trPr>
          <w:trHeight w:val="465"/>
        </w:trPr>
        <w:tc>
          <w:tcPr>
            <w:tcW w:w="9634" w:type="dxa"/>
            <w:gridSpan w:val="2"/>
            <w:tcBorders>
              <w:left w:val="nil"/>
              <w:right w:val="nil"/>
            </w:tcBorders>
          </w:tcPr>
          <w:p w:rsidR="00430AAE" w:rsidRPr="00DC338A" w:rsidRDefault="00430AAE" w:rsidP="00F77BF4">
            <w:pPr>
              <w:shd w:val="clear" w:color="auto" w:fill="FFFFFF"/>
              <w:ind w:right="45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Lp. 16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pedagogicznej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4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Najważniejsze cechy programu: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na polskim rynku produkt dla dzieci z dyskalkulią,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opracowany przez europejskich specjalistów,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5 części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tysiące ćwiczeń interaktywnych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ponad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1300 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kart pracy,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deklaracja zgodności WE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WYROBU MEDYCZNEGO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produkt zgodny z nową podstawą programową,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 zestawie,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inteligentna aplikacja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– materiał treningowy dobierany wedle umiejętności dziecka,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materiał realizujący jednocześnie zagadnienia z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edukacji przyrodniczej.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Seria składa się z pięciu programów, z których każdy może zostać przypisany do określonej grupy wiekowej (zgodnie z wymogami podstawy programowej). Ponieważ przy tworzeniu serii zastosowano podejście problemowe i każdy program dotyczy wybranych zagadnień matematycznych, to w praktyce można stosować je w pracy z uczniami w dowolnym wieku.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Produkt skierowany jest do nauczycieli matematyki oraz terapeutów zajmujących się profilaktyką i terapią zaburzeń umiejętności matematycznych. Pomaga w nauczaniu matematyki na poziomie szkoły podstawowej, szczególnie w przypadku występowania u uczniów trudności w zakresie zdobywania umiejętności matematycznych.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Seria multimedialnych programów  umożliwia: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przeprowadzenie przesiewowej diagnozy dotyczącej trudności matematycznych,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wspomaganie terapii pedagogicznej np. zajęć korekcyjno-kompensacyjnych,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urozmaicenie zajęć dydaktycznych, na których dzieci kształtują umiejętności matematyczne,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urozmaicenie zajęć wyrównujących braki wiedzy z zakresu matematyki (zajęcia wyrównawcze),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korzystanie z ponad 1000 kart pracy obejmujących materiał uzupełniający program multimedialny.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TERAPIA PEDAGOGICZNA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obejmuje: 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cz.1: Działania na liczbach 1-20,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cz.2: Działania na liczbach do 100,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cz.3: Działania na liczbach do 1000,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cz.4: Działania na liczbach wielocyfrowych - ułamki dziesiętne,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cz.5: Działania na liczbach wielocyfrowych - ułamki, procenty, czas, miary i wagi,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zestaw pomocy dydaktycznych uzupełniających materiał multimedialny.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Każda część serii rozgrywa się na jednym z kontynentów (Europa, Afryka, Azja, Ameryka Północna, Australia), a poszczególne zadania są pod wizerunkami zwierząt występujących w danym obszarze graficznym. W ten sposób dziecko równocześnie zdobywa dodatkową wiedzę.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 Model pracy z programem: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Test wstępny (w wersji elektronicznej z dołączonym modułem diagnostycznym) – można go przeprowadzić, aby sprawdzić, czy dziecko poradzi sobie z zagadnieniami zawartymi w danej partii materiału. W zależności od wyników można przeprowadzić rozmowę diagnostyczną.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Krótka powtórka – każde zajęcia rozpoczynają się od ćwiczeń powtórzeniowych trwających zwykle około 5 minut; pozwala to na szybkie przypomnienie zagadnień omawianych wcześniej.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Wprowadzenie – omówienie nowych zagadnień oraz rozwiązywanie ćwiczeń utrwalających pod opieką nauczyciela.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Samodzielne ćwiczenia – dziecko rozwiązuje zadania multimedialne lub ćwiczenia z arkuszy.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Dodatkowe wskazówki – jeśli dziecko ma nadal problemy z opanowaniem jakichś zagadnień, należy wykonać dodatkowe ćwiczenia utrwalające.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Test końcowy (w wersji elektronicznej z dołączonym modułem diagnostycznym) – można go wykonać po omówieniu danej partii materiału, aby sprawdzić stopień przyswojenia wiedzy i opanowania umiejętności.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Cele terapeutyczne programu: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stymulowanie i usprawnianie funkcji percepcyjno-motorycznych,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doskonalenie umiejętności szacowania, liczenia, czytania znaków matematycznych, rozumienia pojęć związanych z matematyką, zależności matematycznych i innych obszarów z tego zakresu,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wyrównywanie braków w wiadomościach i umiejętnościach,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rozwijanie motywacyjnej, emocjonalnej i społecznej sfery rozwoju dziecka,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mobilizacja do działań mających na celu pokonywanie trudności,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wzbudzenie w dziecku poczucia wiary we własne siły i możliwości,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dostarczanie pozytywnych emocji oraz wspieranie aktywności i zachowań zmierzających do osiągnięcia intelektualnego sukcesu,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rozwijanie zainteresowań dziecka i stymulowanie jego mocnych stron,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nawiązanie przyjaznych kontaktów w relacji terapeuta – dziecko,</w:t>
            </w:r>
          </w:p>
          <w:p w:rsidR="00430AAE" w:rsidRPr="00467359" w:rsidRDefault="00430AAE" w:rsidP="00F54826">
            <w:pPr>
              <w:numPr>
                <w:ilvl w:val="0"/>
                <w:numId w:val="7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monitorowanie postępów (Aplikacja Nauczyciela).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17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czytelne pisanie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2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Zestaw zawiera:</w:t>
            </w:r>
          </w:p>
          <w:p w:rsidR="00430AAE" w:rsidRPr="00467359" w:rsidRDefault="00430AAE" w:rsidP="00F54826">
            <w:pPr>
              <w:numPr>
                <w:ilvl w:val="0"/>
                <w:numId w:val="7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94 interaktywne ćwiczenia klasowe lub indywidualne,</w:t>
            </w:r>
          </w:p>
          <w:p w:rsidR="00430AAE" w:rsidRPr="00467359" w:rsidRDefault="00430AAE" w:rsidP="00F54826">
            <w:pPr>
              <w:numPr>
                <w:ilvl w:val="0"/>
                <w:numId w:val="7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 interaktywnych gier i zabaw klasowych,</w:t>
            </w:r>
          </w:p>
          <w:p w:rsidR="00430AAE" w:rsidRPr="00467359" w:rsidRDefault="00430AAE" w:rsidP="00F54826">
            <w:pPr>
              <w:numPr>
                <w:ilvl w:val="0"/>
                <w:numId w:val="7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120 kart pracy które pozwalają na utrwalenie materiału z ćwiczeń interaktywnych. W zestawie są czarno-białe karty – wzorce do kopiowania. Można je również samodzielnie wydrukować w kolorze lub czarno-białe.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Ćwiczenia, gry i zabawy, które zainteresują wszystkich uczniów!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Zestawy kart pracy oraz interaktywnych ćwiczeń:</w:t>
            </w:r>
          </w:p>
          <w:p w:rsidR="00430AAE" w:rsidRPr="00467359" w:rsidRDefault="00430AAE" w:rsidP="00F54826">
            <w:pPr>
              <w:numPr>
                <w:ilvl w:val="0"/>
                <w:numId w:val="7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świetnie sprawdzają się przy pracy z uczniami o podwyższonym ryzyku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dysleksji, dysortografii i dyskalkulii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;</w:t>
            </w:r>
          </w:p>
          <w:p w:rsidR="00430AAE" w:rsidRPr="00467359" w:rsidRDefault="00430AAE" w:rsidP="00F54826">
            <w:pPr>
              <w:numPr>
                <w:ilvl w:val="0"/>
                <w:numId w:val="7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doskonale wspomagają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pracę korekcyjną z dziećmi,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które natrafiły na problemy o podłożu wychowawczym lub emocjonalnym;</w:t>
            </w:r>
          </w:p>
          <w:p w:rsidR="00430AAE" w:rsidRPr="00467359" w:rsidRDefault="00430AAE" w:rsidP="00F54826">
            <w:pPr>
              <w:numPr>
                <w:ilvl w:val="0"/>
                <w:numId w:val="7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są przeznaczone do pracy z wszystkimi dziećmi, aby dobrze nauczyły się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czytania, pisania, liczenia.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Materiały są zgodne z podstawą programową, przewidziane do realizacji w ciągu całego roku szkolnego:</w:t>
            </w:r>
          </w:p>
          <w:p w:rsidR="00430AAE" w:rsidRPr="00467359" w:rsidRDefault="00430AAE" w:rsidP="00F54826">
            <w:pPr>
              <w:numPr>
                <w:ilvl w:val="0"/>
                <w:numId w:val="7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ćwiczenia interaktywne – do zastosowania na </w:t>
            </w:r>
            <w:r w:rsidRPr="00467359">
              <w:rPr>
                <w:rFonts w:eastAsia="Times New Roman" w:cs="Times New Roman"/>
                <w:bCs/>
                <w:szCs w:val="20"/>
                <w:lang w:eastAsia="pl-PL"/>
              </w:rPr>
              <w:t>komputerach i tablicach interaktywnych;</w:t>
            </w:r>
          </w:p>
          <w:p w:rsidR="00430AAE" w:rsidRPr="00467359" w:rsidRDefault="00430AAE" w:rsidP="00F54826">
            <w:pPr>
              <w:numPr>
                <w:ilvl w:val="0"/>
                <w:numId w:val="7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karty – do samodzielnej pracy uczniów.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harmonijny rozwój dzieci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Default="00430AAE" w:rsidP="00F77BF4">
            <w:pPr>
              <w:shd w:val="clear" w:color="auto" w:fill="FFFFFF"/>
              <w:ind w:left="720"/>
              <w:rPr>
                <w:rFonts w:cs="Times New Roman"/>
                <w:szCs w:val="20"/>
              </w:rPr>
            </w:pPr>
            <w:r w:rsidRPr="00384C64">
              <w:rPr>
                <w:rFonts w:cs="Times New Roman"/>
                <w:szCs w:val="20"/>
                <w:u w:val="single"/>
                <w:shd w:val="clear" w:color="auto" w:fill="FFFFFF"/>
              </w:rPr>
              <w:t>Pakiet zawiera</w:t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: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interaktywne gry przystosowane do zespołowego wykorzystania na tablicy multimedialnej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karty pracy do kopiowania zawierające ćwiczenia do pracy indywidualnej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grę edukacyjną wykonaną z kartonów o dużym formacie, przeznaczoną do gry na dywanie, do używania przez całą klasę lub większe grupy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poradnik metodyczny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licencja otwarta - nieograniczona ilość użytkowników i urządzeń.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1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gry interaktywne</w:t>
            </w:r>
            <w:r>
              <w:rPr>
                <w:szCs w:val="20"/>
                <w:shd w:val="clear" w:color="auto" w:fill="FFFFFF"/>
              </w:rPr>
              <w:t>: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Dopasuj przeciwne - zadaniem graczy jest połączenie ze sobą rysunków przedstawiających pojęcia przeciwstawne (np. duży-mały, jasny-ciemny itp.). Pomaga rozwijać słownictwo, uczy umiejętności abstrahowania cech i pracy w parach.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Ułóż zdania - pomaga w rozwijaniu umiejętności językowych, w szczególności rozumienia znaczenia kolejności słów w wypowiedzi i budowy zdania. Ćwiczy też percepcję wzrokową i uczy pracy w parach.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Poeci - gra polega na wykonywaniu pokazywanych na planszy ćwiczeń oddechowych kolejno przez cztery zespoły dzieci. Rozwija płynność i kontrolę głośności mowy.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Karty pracy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 xml:space="preserve">Znajdź drogę </w:t>
            </w:r>
            <w:r>
              <w:rPr>
                <w:szCs w:val="20"/>
                <w:shd w:val="clear" w:color="auto" w:fill="FFFFFF"/>
              </w:rPr>
              <w:t>–</w:t>
            </w:r>
            <w:r w:rsidRPr="00384C64">
              <w:rPr>
                <w:szCs w:val="20"/>
                <w:shd w:val="clear" w:color="auto" w:fill="FFFFFF"/>
              </w:rPr>
              <w:t xml:space="preserve"> labirynt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Połącz pasujące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Szlaczki - skoki żabki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Szlaczki - skoki żabki 2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Znajdź parę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Znajdź sekwencję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Wytnij litery (MYSZ)</w:t>
            </w:r>
            <w:r>
              <w:rPr>
                <w:szCs w:val="20"/>
                <w:shd w:val="clear" w:color="auto" w:fill="FFFFFF"/>
              </w:rPr>
              <w:t xml:space="preserve">           </w:t>
            </w:r>
            <w:r w:rsidRPr="00384C64">
              <w:rPr>
                <w:szCs w:val="20"/>
                <w:shd w:val="clear" w:color="auto" w:fill="FFFFFF"/>
              </w:rPr>
              <w:t>Wytnij litery (PORT)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Wytnij litery (BUKI)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Wytnij litery (FLAG)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Wytnij litery (CDEJ)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Wytnij litery (ŁNWH)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Na kartach 7-12znajdują się 24 litery alfabetu (bez znaków diakrytycznych). Nadają się także do używania na plakatach czy gazetkach.</w:t>
            </w:r>
          </w:p>
          <w:p w:rsidR="00430AAE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Gra wielkoformatowa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2"/>
              </w:numPr>
              <w:shd w:val="clear" w:color="auto" w:fill="FFFFFF"/>
              <w:ind w:left="2154" w:hanging="357"/>
              <w:contextualSpacing w:val="0"/>
              <w:jc w:val="both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Gra ,,Słowa, litery, znaki" składa się z dużych kartonów, na których znajdują się wszystkie litery alfabetu (z podziałem kolorystycznym na samogłoski i spółgłoski), pasujących do nich rysunków i całych wyrazów. Zabawa polega na łączeniu przez grupy dzieci pierwszych liter z wyrazem i odpowiadającym im rysunkiem. W trakcie gry dzieci ćwiczą rozpoznawanie liter, może także być pomocą w nauce czytania globalnego. Uczy też koncentracji i spostrzegawczości. Dołączone do gry litery z polskimi znakami diakrytycznymi pozwalają na dodatkowe wykorzystanie gry w pierwszej klasie do nauki czytania i pisania oraz rozpoznawania samogłosek i spółgłosek. Przykładowe scenariusze zabaw znajdują się w poradniku metodycznym.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dzieci wspierający zagadnienia matematyczno-polonistyczne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384C64" w:rsidRDefault="00430AAE" w:rsidP="00F54826">
            <w:pPr>
              <w:numPr>
                <w:ilvl w:val="0"/>
                <w:numId w:val="74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cs="Times New Roman"/>
                <w:szCs w:val="20"/>
                <w:shd w:val="clear" w:color="auto" w:fill="FFFFFF"/>
              </w:rPr>
              <w:t>W skład zestawu wchodzą:</w:t>
            </w:r>
          </w:p>
          <w:p w:rsidR="00430AAE" w:rsidRPr="00E5257C" w:rsidRDefault="00430AAE" w:rsidP="00E5257C">
            <w:pPr>
              <w:pStyle w:val="Akapitzlist"/>
              <w:numPr>
                <w:ilvl w:val="1"/>
                <w:numId w:val="93"/>
              </w:numPr>
              <w:shd w:val="clear" w:color="auto" w:fill="FFFFFF"/>
              <w:ind w:left="1135" w:hanging="284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Segregator – to aż 660 kart pracy o tematyce polonistycznej, matematycznej oraz przyrodniczej, w tym 40 plansz przyrodniczych. Nauczyciel może bez trudu dobrać materiały zgodne z realizowanym na bieżąco programem – tak, aby w przystępny sposób omówić z uczniem zagadnienia sprawiające mu szczególną trudność.</w:t>
            </w:r>
          </w:p>
          <w:p w:rsidR="00430AAE" w:rsidRPr="00384C64" w:rsidRDefault="00430AAE" w:rsidP="00F54826">
            <w:pPr>
              <w:pStyle w:val="Akapitzlist"/>
              <w:numPr>
                <w:ilvl w:val="1"/>
                <w:numId w:val="93"/>
              </w:numPr>
              <w:shd w:val="clear" w:color="auto" w:fill="FFFFFF"/>
              <w:ind w:left="1135" w:hanging="284"/>
              <w:contextualSpacing w:val="0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Teczka z 22 pomocami dydaktycznymi – to m.in. gry polonistyczne i matematyczne, historyjki, plansze obrazkowe, mapy myśli, banknoty i monety oraz znacznie więcej. Nauczyciel może je wykorzystać dla urozmaicenia zajęć lub zwizualizowania trudniejszych zagadnień.</w:t>
            </w:r>
          </w:p>
          <w:p w:rsidR="00905E71" w:rsidRDefault="00430AAE" w:rsidP="00F77BF4">
            <w:pPr>
              <w:pStyle w:val="Akapitzlist"/>
              <w:shd w:val="clear" w:color="auto" w:fill="FFFFFF"/>
              <w:ind w:left="1135"/>
              <w:rPr>
                <w:szCs w:val="20"/>
                <w:shd w:val="clear" w:color="auto" w:fill="FFFFFF"/>
              </w:rPr>
            </w:pPr>
            <w:r w:rsidRPr="00384C64">
              <w:rPr>
                <w:szCs w:val="20"/>
                <w:shd w:val="clear" w:color="auto" w:fill="FFFFFF"/>
              </w:rPr>
              <w:t>Korzystając z tych materiałów dydaktycznych, prowadzący zajęcia wyrównawcze ma możliwość sprawnej organizacji pracy w</w:t>
            </w:r>
            <w:r w:rsidR="00905E71">
              <w:rPr>
                <w:szCs w:val="20"/>
                <w:shd w:val="clear" w:color="auto" w:fill="FFFFFF"/>
              </w:rPr>
              <w:t xml:space="preserve"> grupie i jej indywidualizacji.</w:t>
            </w:r>
          </w:p>
          <w:p w:rsidR="00430AAE" w:rsidRDefault="00430AAE" w:rsidP="00F77BF4">
            <w:pPr>
              <w:pStyle w:val="Akapitzlist"/>
              <w:shd w:val="clear" w:color="auto" w:fill="FFFFFF"/>
              <w:ind w:left="1135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lastRenderedPageBreak/>
              <w:t>Gotowe karty pracy usprawniają zaplanowanie dodatkowych lekcji i pozwalają na wszechstronne kształtowanie i wzmacnianie kompetencji uczniów.</w:t>
            </w:r>
          </w:p>
          <w:p w:rsidR="00430AAE" w:rsidRPr="00384C64" w:rsidRDefault="00430AAE" w:rsidP="00F77BF4">
            <w:pPr>
              <w:pStyle w:val="Akapitzlist"/>
              <w:shd w:val="clear" w:color="auto" w:fill="FFFFFF"/>
              <w:ind w:left="1135"/>
              <w:rPr>
                <w:szCs w:val="20"/>
              </w:rPr>
            </w:pPr>
            <w:r w:rsidRPr="00384C64">
              <w:rPr>
                <w:szCs w:val="20"/>
                <w:shd w:val="clear" w:color="auto" w:fill="FFFFFF"/>
              </w:rPr>
              <w:t>Zajęcia wyrównawcze realizowane w oparciu o ten pakiet są spójne i mają przejrzystą strukturę, co sprawia, że uczniowie radzą sobie jeszcze sprawniej z rozwiązywaniem kolejnych zadań, a trudne tematy stają się dla nich łatwiejsze do zrozumienia.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problemami emocjonalnymi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4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 zawiera 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zestaw narzędzi dydaktycznych, które pomogą nauczycielem, pedagogom, terapeutom, rodzicom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w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prowadzeniu:</w:t>
            </w:r>
          </w:p>
          <w:p w:rsidR="00430AAE" w:rsidRPr="00467359" w:rsidRDefault="00430AAE" w:rsidP="00F54826">
            <w:pPr>
              <w:numPr>
                <w:ilvl w:val="0"/>
                <w:numId w:val="75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zajęć wychowawczych,</w:t>
            </w:r>
          </w:p>
          <w:p w:rsidR="00430AAE" w:rsidRPr="00467359" w:rsidRDefault="00430AAE" w:rsidP="00F54826">
            <w:pPr>
              <w:numPr>
                <w:ilvl w:val="0"/>
                <w:numId w:val="75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zajęć psychologicznych i socjoterapeutycznych,</w:t>
            </w:r>
          </w:p>
          <w:p w:rsidR="00430AAE" w:rsidRPr="00467359" w:rsidRDefault="00430AAE" w:rsidP="00F54826">
            <w:pPr>
              <w:numPr>
                <w:ilvl w:val="0"/>
                <w:numId w:val="75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zajęć korekcyjno-kompensacyjnych,</w:t>
            </w:r>
          </w:p>
          <w:p w:rsidR="00430AAE" w:rsidRPr="00467359" w:rsidRDefault="00430AAE" w:rsidP="00F54826">
            <w:pPr>
              <w:numPr>
                <w:ilvl w:val="0"/>
                <w:numId w:val="75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treningu umiejętności społecznych.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Problemy emocjonalne objawiają się nadmierną nieśmiałością, wycofaniem, autoagresją, wyuczoną bezradnością, a nawet zaburzeniami jedzenia. Pakiet pomoże określić:</w:t>
            </w:r>
          </w:p>
          <w:p w:rsidR="00430AAE" w:rsidRPr="00467359" w:rsidRDefault="00430AAE" w:rsidP="00F54826">
            <w:pPr>
              <w:numPr>
                <w:ilvl w:val="0"/>
                <w:numId w:val="76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jakie reakcje emocjonalne mieszczą się w normie rozwojowej, a jakie wymagają już korekty,</w:t>
            </w:r>
          </w:p>
          <w:p w:rsidR="00430AAE" w:rsidRPr="00467359" w:rsidRDefault="00430AAE" w:rsidP="00F54826">
            <w:pPr>
              <w:numPr>
                <w:ilvl w:val="0"/>
                <w:numId w:val="76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co to jest inteligencja emocjonalna, jakie jest jej znaczenie i jak ją rozwijać u uczniów,</w:t>
            </w:r>
          </w:p>
          <w:p w:rsidR="00430AAE" w:rsidRPr="00467359" w:rsidRDefault="00430AAE" w:rsidP="00F54826">
            <w:pPr>
              <w:numPr>
                <w:ilvl w:val="0"/>
                <w:numId w:val="76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jaka jest natura emocji i dlaczego trzeba uczyć dzieci radzenia sobie z emocjami, zamiast ich tłumienia,</w:t>
            </w:r>
          </w:p>
          <w:p w:rsidR="00430AAE" w:rsidRPr="00467359" w:rsidRDefault="00430AAE" w:rsidP="00F54826">
            <w:pPr>
              <w:numPr>
                <w:ilvl w:val="0"/>
                <w:numId w:val="76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jakie mogą być negatywne skutki tłumienia emocji,</w:t>
            </w:r>
          </w:p>
          <w:p w:rsidR="00430AAE" w:rsidRPr="00467359" w:rsidRDefault="00430AAE" w:rsidP="00F54826">
            <w:pPr>
              <w:numPr>
                <w:ilvl w:val="0"/>
                <w:numId w:val="76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 rozpoznawać problemy emocjonalne u uczniów.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terapeutyczny  opiera się na założeniu, że 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rozwój emocjonalny jest jednym z najważniejszych obszarów funkcjonowania człowieka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ponieważ zaburzenia w na tej płaszczyźnie nie pozwalają na rozwinięcie swojego potencjału w innych dziedzinach. W skrajnych przypadkach np.: autoagresji, prowadzą wręcz do destrukcji i śmierci.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Zestaw zawiera:</w:t>
            </w:r>
          </w:p>
          <w:p w:rsidR="00430AAE" w:rsidRPr="00467359" w:rsidRDefault="00430AAE" w:rsidP="00F54826">
            <w:pPr>
              <w:numPr>
                <w:ilvl w:val="0"/>
                <w:numId w:val="7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płytę CD z elektronicznymi dokumentami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(poradniki, scenariusze, prezentacje multimedialne, ulotki, formularze) z możliwością użycia ich na ekranie i wydruku,</w:t>
            </w:r>
          </w:p>
          <w:p w:rsidR="00430AAE" w:rsidRPr="00467359" w:rsidRDefault="00430AAE" w:rsidP="00F54826">
            <w:pPr>
              <w:numPr>
                <w:ilvl w:val="0"/>
                <w:numId w:val="7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poradnik metodyczny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7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gry na zajęcia wychowawcze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w formie kartonowych elementów:</w:t>
            </w:r>
          </w:p>
          <w:p w:rsidR="00430AAE" w:rsidRPr="00467359" w:rsidRDefault="00430AAE" w:rsidP="00905E71">
            <w:pPr>
              <w:numPr>
                <w:ilvl w:val="1"/>
                <w:numId w:val="105"/>
              </w:numPr>
              <w:shd w:val="clear" w:color="auto" w:fill="FFFFFF"/>
              <w:tabs>
                <w:tab w:val="clear" w:pos="1440"/>
                <w:tab w:val="num" w:pos="1134"/>
              </w:tabs>
              <w:ind w:left="1134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 większych kół z „emotikonami” symbolizującymi główne kategorie uzewnętrznianych emocji (szczęście, radość, smutek, strach, złość, inne),</w:t>
            </w:r>
          </w:p>
          <w:p w:rsidR="00430AAE" w:rsidRPr="00467359" w:rsidRDefault="00430AAE" w:rsidP="00905E71">
            <w:pPr>
              <w:numPr>
                <w:ilvl w:val="1"/>
                <w:numId w:val="105"/>
              </w:numPr>
              <w:shd w:val="clear" w:color="auto" w:fill="FFFFFF"/>
              <w:tabs>
                <w:tab w:val="clear" w:pos="1440"/>
                <w:tab w:val="num" w:pos="1134"/>
              </w:tabs>
              <w:ind w:left="1134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24 mniejsze koła z symbolami twarzy reprezentujących warianty powyższych emocji.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21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uzależnieniami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4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Pakiet 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 pozwala w sposób spójny i planowy wdrożyć działania zwiększające 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bezpieczeństwo psychologiczne i społeczne uczniów szkół podstawowych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pomaga w uświadomieniu mechanizmu powstawania uzależnienia, rozpoznawaniu symptomów oraz właściwego reagowania na zdarzenia. Przeznaczony jest dla szkoły jako placówki edukacyjnej, a jego poszczególne części i materiały są adresowane do:</w:t>
            </w:r>
          </w:p>
          <w:p w:rsidR="00430AAE" w:rsidRPr="00467359" w:rsidRDefault="00430AAE" w:rsidP="00F54826">
            <w:pPr>
              <w:numPr>
                <w:ilvl w:val="0"/>
                <w:numId w:val="7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dyrektorów placówek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którzy wdrażają odpowiednie procedury w szkole;</w:t>
            </w:r>
          </w:p>
          <w:p w:rsidR="00430AAE" w:rsidRPr="00467359" w:rsidRDefault="00430AAE" w:rsidP="00F54826">
            <w:pPr>
              <w:numPr>
                <w:ilvl w:val="0"/>
                <w:numId w:val="7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pedagogów i psychologów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którzy poza kluczową rolą w wypadku zaistnienia problemów związanych z uzależnieniami wspierają i przygotowują nauczycieli m.in. prowadząc wewnętrzne szkolenia;</w:t>
            </w:r>
          </w:p>
          <w:p w:rsidR="00430AAE" w:rsidRPr="00467359" w:rsidRDefault="00430AAE" w:rsidP="00F54826">
            <w:pPr>
              <w:numPr>
                <w:ilvl w:val="0"/>
                <w:numId w:val="7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nauczycieli-wychowawców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którzy zawsze stanowią pierwszą, kluczową linię profilaktyki, rozpoznawania i reagowania na symptomy uzależnień;</w:t>
            </w:r>
          </w:p>
          <w:p w:rsidR="00430AAE" w:rsidRPr="00467359" w:rsidRDefault="00430AAE" w:rsidP="00F54826">
            <w:pPr>
              <w:numPr>
                <w:ilvl w:val="0"/>
                <w:numId w:val="7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wszystkich nauczycieli w szkole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, którzy podobnie do wychowawców powinni potrafić rozpoznawać problemy z zakresu uzależnień, odpowiednio na nie reagować, a także, przez tworzenie przyjaznego środowiska nauczania zapobiegać ich występowaniu.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Przeciwdziałanie i rozwiązanie problemu uzależnień wymaga w pierwszej kolejności przygotowania do działań profilaktycznych wszystkich nauczycieli a szczególnie wychowawców.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Z materiałów szkoleniowych nauczyciele dowiedzą się: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na czym polega uzależnienie,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jakie są fazy uzależnienia,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 czym można poznać, że uczeń jest uzależniony,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jakie są czynniki ryzyka wejścia w uzależnienie,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 media i otoczenie przyczyniają się do uzależnień,</w:t>
            </w:r>
          </w:p>
          <w:p w:rsidR="00430AAE" w:rsidRPr="00467359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 pomóc uczniowi i jego rodzicom poradzić sobie z uzależnieniem,</w:t>
            </w:r>
          </w:p>
          <w:p w:rsidR="00430AAE" w:rsidRDefault="00430AAE" w:rsidP="00F54826">
            <w:pPr>
              <w:numPr>
                <w:ilvl w:val="0"/>
                <w:numId w:val="79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jak budować zdrową, silną i odporna na uzależnienia osobowość młodych ludzi.</w:t>
            </w:r>
          </w:p>
          <w:p w:rsidR="00905E71" w:rsidRPr="00467359" w:rsidRDefault="00905E71" w:rsidP="00905E71">
            <w:pPr>
              <w:shd w:val="clear" w:color="auto" w:fill="FFFFFF"/>
              <w:ind w:left="720"/>
              <w:rPr>
                <w:rFonts w:eastAsia="Times New Roman" w:cs="Times New Roman"/>
                <w:szCs w:val="20"/>
                <w:lang w:eastAsia="pl-PL"/>
              </w:rPr>
            </w:pP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Zakres tematyczny modułu obejmuje 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nie tylko "klasyczne" uzależnienia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od alkoholu, nikotyny i substancji psychoaktywnych, ale też </w:t>
            </w: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inne formy i źródła uzależnień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 takie jak:</w:t>
            </w:r>
          </w:p>
          <w:p w:rsidR="00430AAE" w:rsidRPr="00467359" w:rsidRDefault="00430AAE" w:rsidP="00F54826">
            <w:pPr>
              <w:numPr>
                <w:ilvl w:val="0"/>
                <w:numId w:val="8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gry komputerowe,</w:t>
            </w:r>
          </w:p>
          <w:p w:rsidR="00430AAE" w:rsidRPr="00467359" w:rsidRDefault="00430AAE" w:rsidP="00F54826">
            <w:pPr>
              <w:numPr>
                <w:ilvl w:val="0"/>
                <w:numId w:val="8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Internet,</w:t>
            </w:r>
          </w:p>
          <w:p w:rsidR="00430AAE" w:rsidRPr="00467359" w:rsidRDefault="00430AAE" w:rsidP="00F54826">
            <w:pPr>
              <w:numPr>
                <w:ilvl w:val="0"/>
                <w:numId w:val="8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zakupy,</w:t>
            </w:r>
          </w:p>
          <w:p w:rsidR="00430AAE" w:rsidRPr="00E5257C" w:rsidRDefault="00430AAE" w:rsidP="00E5257C">
            <w:pPr>
              <w:numPr>
                <w:ilvl w:val="0"/>
                <w:numId w:val="8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ryzykowne zachowania.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Komplet materiałów potrzebnych szkole do zapobiegania i reagowania na uzależnienia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:</w:t>
            </w:r>
          </w:p>
          <w:p w:rsidR="00430AAE" w:rsidRPr="00467359" w:rsidRDefault="00430AAE" w:rsidP="00F54826">
            <w:pPr>
              <w:numPr>
                <w:ilvl w:val="0"/>
                <w:numId w:val="8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opis obowiązków prawnych oraz propozycje tworzenia programu zapobiegania uzależnieniom w szkole, graficzne schematy procedur;</w:t>
            </w:r>
          </w:p>
          <w:p w:rsidR="00430AAE" w:rsidRPr="00467359" w:rsidRDefault="00430AAE" w:rsidP="00F54826">
            <w:pPr>
              <w:numPr>
                <w:ilvl w:val="0"/>
                <w:numId w:val="8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poradniki, scenariusze, prezentacje multimedialne i kompletne materiały na wewnętrzne szkolenia nauczycieli prowadzone przez pedagogów i psychologów;</w:t>
            </w:r>
          </w:p>
          <w:p w:rsidR="00430AAE" w:rsidRPr="00467359" w:rsidRDefault="00430AAE" w:rsidP="00F54826">
            <w:pPr>
              <w:numPr>
                <w:ilvl w:val="0"/>
                <w:numId w:val="8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narzędzia ułatwiające rozpoznanie uzależnień – formularze diagnostyczne</w:t>
            </w:r>
          </w:p>
          <w:p w:rsidR="00430AAE" w:rsidRPr="00467359" w:rsidRDefault="00430AAE" w:rsidP="00F54826">
            <w:pPr>
              <w:numPr>
                <w:ilvl w:val="0"/>
                <w:numId w:val="8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scenariusze i materiały na lekcje wychowawcze – prezentacje multimedialne, karty pracy</w:t>
            </w:r>
          </w:p>
          <w:p w:rsidR="00430AAE" w:rsidRPr="00467359" w:rsidRDefault="00430AAE" w:rsidP="00F54826">
            <w:pPr>
              <w:numPr>
                <w:ilvl w:val="0"/>
                <w:numId w:val="8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scenariusze i materiały na spotkania z rodzicami – m.in. ulotki informacyjne dla rodziców.</w:t>
            </w:r>
          </w:p>
          <w:p w:rsidR="00430AAE" w:rsidRPr="00467359" w:rsidRDefault="00430AAE" w:rsidP="00F77BF4">
            <w:p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b/>
                <w:bCs/>
                <w:szCs w:val="20"/>
                <w:lang w:eastAsia="pl-PL"/>
              </w:rPr>
              <w:t>Pakiet  zawiera:</w:t>
            </w:r>
          </w:p>
          <w:p w:rsidR="00430AAE" w:rsidRPr="00467359" w:rsidRDefault="00430AAE" w:rsidP="00F54826">
            <w:pPr>
              <w:numPr>
                <w:ilvl w:val="0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pendrive z 40 elektronicznymi dokumentami (poradniki, scenariusze, prezentacje multimedialne, ulotki, formularze) z możliwością użycia ich na ekranie i wydruku,</w:t>
            </w:r>
          </w:p>
          <w:p w:rsidR="00430AAE" w:rsidRPr="00467359" w:rsidRDefault="00430AAE" w:rsidP="00F54826">
            <w:pPr>
              <w:numPr>
                <w:ilvl w:val="0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poradnik metodyczny,</w:t>
            </w:r>
          </w:p>
          <w:p w:rsidR="00430AAE" w:rsidRPr="00467359" w:rsidRDefault="00430AAE" w:rsidP="00F54826">
            <w:pPr>
              <w:numPr>
                <w:ilvl w:val="0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gry na zajęcia wychowawcze </w:t>
            </w:r>
            <w:r w:rsidR="00E5257C">
              <w:rPr>
                <w:rFonts w:eastAsia="Times New Roman" w:cs="Times New Roman"/>
                <w:szCs w:val="20"/>
                <w:lang w:eastAsia="pl-PL"/>
              </w:rPr>
              <w:t>w formie kartonowych elementów:</w:t>
            </w:r>
          </w:p>
          <w:p w:rsidR="00430AAE" w:rsidRPr="00467359" w:rsidRDefault="00430AAE" w:rsidP="00F54826">
            <w:pPr>
              <w:numPr>
                <w:ilvl w:val="1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 większych kół z symbolami różnych sfer naszego życia z białymi polami do umieszczania mniejszych kół (rodzina, rówieśnicy, szkoła, plan dnia, emocje w ciągu dnia, życie bez tego co nas może uzależniać),</w:t>
            </w:r>
          </w:p>
          <w:p w:rsidR="00430AAE" w:rsidRPr="00467359" w:rsidRDefault="00430AAE" w:rsidP="00F54826">
            <w:pPr>
              <w:numPr>
                <w:ilvl w:val="1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 mniejszych kół symbolizujących potencjalne źródła uzależnień – celowo wybrano obszary, które nie są w oczywisty sposób negatywne, a jednak mogą powodować uzależnienia,</w:t>
            </w:r>
          </w:p>
          <w:p w:rsidR="00430AAE" w:rsidRPr="00467359" w:rsidRDefault="00430AAE" w:rsidP="00F54826">
            <w:pPr>
              <w:numPr>
                <w:ilvl w:val="1"/>
                <w:numId w:val="8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 dwustronnych kół z różnymi ocenami sytuacji, służących do wyrażania opinii przez uczniów.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br/>
              <w:t>Zastosowane na kartonowych kołach ilustracje kojarzą się z ikonami stosowanymi w portalach społecznościowych, co sprawia, że są zrozumiałe nawet dla najmłodszych uczniów, a jednocześnie akceptowane nawet przez ósmoklasistów.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Lp.22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zaburzeniami przemocy i agresji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4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pomoże:</w:t>
            </w:r>
          </w:p>
          <w:p w:rsidR="00430AAE" w:rsidRPr="00467359" w:rsidRDefault="00430AAE" w:rsidP="00F54826">
            <w:pPr>
              <w:numPr>
                <w:ilvl w:val="0"/>
                <w:numId w:val="8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komunikować się z uczniem, tak by w sposób naturalny, w trakcie rozwiązywania bieżących problemów, wspierać i rozwijać u niego kompetencje niezbędne do budowania prawidłowych relacji z rówieśnikami i dorosłymi,</w:t>
            </w:r>
          </w:p>
          <w:p w:rsidR="00430AAE" w:rsidRPr="00467359" w:rsidRDefault="00430AAE" w:rsidP="00F54826">
            <w:pPr>
              <w:numPr>
                <w:ilvl w:val="0"/>
                <w:numId w:val="8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budować w szkole klimat sprzyjający rozwojowi postaw prospołecznych,</w:t>
            </w:r>
          </w:p>
          <w:p w:rsidR="00430AAE" w:rsidRPr="00467359" w:rsidRDefault="00430AAE" w:rsidP="00F54826">
            <w:pPr>
              <w:numPr>
                <w:ilvl w:val="0"/>
                <w:numId w:val="8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stawiać granice w sposób zdecydowany i konsekwentny, a za razem łagodny,</w:t>
            </w:r>
          </w:p>
          <w:p w:rsidR="00430AAE" w:rsidRPr="00467359" w:rsidRDefault="00430AAE" w:rsidP="00F54826">
            <w:pPr>
              <w:numPr>
                <w:ilvl w:val="0"/>
                <w:numId w:val="8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doprowadzić do tego, aby wszyscy znali i stosowali te same reguły i normy,</w:t>
            </w:r>
          </w:p>
          <w:p w:rsidR="00430AAE" w:rsidRPr="00467359" w:rsidRDefault="00430AAE" w:rsidP="00F54826">
            <w:pPr>
              <w:numPr>
                <w:ilvl w:val="0"/>
                <w:numId w:val="8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zrezygnować z zachowań agresywnych, dając uczniowi w zamian nowe strategie niezbędne do budowania satysfakcjonujących związków.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Scenariusze zajęć uzupełnione są materiałami szkoleniowymi i informacyjnymi dla nauczycieli i rodziców w tym szkoleniami online przeznaczone dla użytkowników programu.</w:t>
            </w:r>
          </w:p>
          <w:p w:rsidR="00430AAE" w:rsidRPr="00467359" w:rsidRDefault="00430AAE" w:rsidP="00F77BF4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Zestaw zawiera: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4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</w:rPr>
              <w:t>pendrive z elektronicznymi dokumentami (poradniki, scenariusze, prezentacje multimedialne, ulotki, formularze) z możliwością użycia ich na ekranie i wydruku,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4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</w:rPr>
              <w:t>poradnik metodyczny,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4"/>
              </w:numPr>
              <w:shd w:val="clear" w:color="auto" w:fill="FFFFFF"/>
              <w:contextualSpacing w:val="0"/>
              <w:rPr>
                <w:szCs w:val="20"/>
              </w:rPr>
            </w:pPr>
            <w:r w:rsidRPr="00384C64">
              <w:rPr>
                <w:szCs w:val="20"/>
              </w:rPr>
              <w:t>gry na zajęcia wychowawcze w formie kartonowych elementów: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5"/>
              </w:numPr>
              <w:shd w:val="clear" w:color="auto" w:fill="FFFFFF"/>
              <w:ind w:left="1418"/>
              <w:contextualSpacing w:val="0"/>
              <w:rPr>
                <w:szCs w:val="20"/>
              </w:rPr>
            </w:pPr>
            <w:r w:rsidRPr="00384C64">
              <w:rPr>
                <w:szCs w:val="20"/>
              </w:rPr>
              <w:t>6 większych kół symbolizujących typowe reakcje na przemoc lub agresję wokół nas</w:t>
            </w:r>
          </w:p>
          <w:p w:rsidR="00430AAE" w:rsidRPr="00384C64" w:rsidRDefault="00430AAE" w:rsidP="00F54826">
            <w:pPr>
              <w:pStyle w:val="Akapitzlist"/>
              <w:numPr>
                <w:ilvl w:val="0"/>
                <w:numId w:val="95"/>
              </w:numPr>
              <w:shd w:val="clear" w:color="auto" w:fill="FFFFFF"/>
              <w:ind w:left="1418"/>
              <w:contextualSpacing w:val="0"/>
              <w:rPr>
                <w:szCs w:val="20"/>
              </w:rPr>
            </w:pPr>
            <w:r w:rsidRPr="00384C64">
              <w:rPr>
                <w:szCs w:val="20"/>
              </w:rPr>
              <w:t>24 mniejszych kół służące do oceniania przedstawianych sytuacji i reakcji.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23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dla dzieci posiadających trudności w pisaniu i czytaniu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Dzięki Aplikacji nauczyciela przeprowadzisz szereg diagnoz, zaplanujesz zajęcia z uczniami wymagającymi wsparcia, zarejestrujesz ich wyniki oraz przeanalizujesz efekty pracy z uczniem.</w:t>
            </w:r>
            <w:r w:rsidRPr="00467359">
              <w:rPr>
                <w:sz w:val="20"/>
                <w:szCs w:val="20"/>
              </w:rPr>
              <w:br/>
            </w:r>
            <w:r w:rsidRPr="00467359">
              <w:rPr>
                <w:rStyle w:val="Pogrubienie"/>
                <w:sz w:val="20"/>
                <w:szCs w:val="20"/>
              </w:rPr>
              <w:t>Aplikacja nauczyciela umożliwia także przeprowadzenie:</w:t>
            </w:r>
            <w:r w:rsidRPr="00467359">
              <w:rPr>
                <w:sz w:val="20"/>
                <w:szCs w:val="20"/>
              </w:rPr>
              <w:t> wstępnej diagnozy pedagogicznej z orientacyjną oceną gotowości szkolnej oraz oceny r</w:t>
            </w:r>
            <w:r>
              <w:rPr>
                <w:sz w:val="20"/>
                <w:szCs w:val="20"/>
              </w:rPr>
              <w:t>yzyka dysleksji i dyskalkulii.</w:t>
            </w:r>
            <w:r>
              <w:rPr>
                <w:sz w:val="20"/>
                <w:szCs w:val="20"/>
              </w:rPr>
              <w:br/>
            </w:r>
            <w:r w:rsidRPr="00467359">
              <w:rPr>
                <w:sz w:val="20"/>
                <w:szCs w:val="20"/>
              </w:rPr>
              <w:t>Gotowe diagnozy testy diagnostyczne, przygotowane przez zespół specjalistów, pozwalają nauczycielowi</w:t>
            </w:r>
            <w:r>
              <w:rPr>
                <w:sz w:val="20"/>
                <w:szCs w:val="20"/>
              </w:rPr>
              <w:t xml:space="preserve"> lub terapeucie na sprawdzenie:</w:t>
            </w:r>
            <w:r>
              <w:rPr>
                <w:sz w:val="20"/>
                <w:szCs w:val="20"/>
              </w:rPr>
              <w:br/>
              <w:t xml:space="preserve">- funkcji językowych oraz  </w:t>
            </w:r>
            <w:r w:rsidRPr="00467359">
              <w:rPr>
                <w:sz w:val="20"/>
                <w:szCs w:val="20"/>
              </w:rPr>
              <w:t>funkcji wzr</w:t>
            </w:r>
            <w:r>
              <w:rPr>
                <w:sz w:val="20"/>
                <w:szCs w:val="20"/>
              </w:rPr>
              <w:t>okowych,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pamięci,</w:t>
            </w:r>
            <w:r>
              <w:rPr>
                <w:sz w:val="20"/>
                <w:szCs w:val="20"/>
              </w:rPr>
              <w:br/>
              <w:t>- myślenia.</w:t>
            </w:r>
            <w:r w:rsidRPr="00467359">
              <w:rPr>
                <w:sz w:val="20"/>
                <w:szCs w:val="20"/>
              </w:rPr>
              <w:br/>
            </w:r>
            <w:r w:rsidRPr="00467359">
              <w:rPr>
                <w:rStyle w:val="Pogrubienie"/>
                <w:sz w:val="20"/>
                <w:szCs w:val="20"/>
              </w:rPr>
              <w:t>Uczniowie z ryzykiem dysleksji lub zdiagnozowaną dysleksją rozwojową mają szansę opanować umiejętności:</w:t>
            </w:r>
            <w:r w:rsidRPr="00467359">
              <w:rPr>
                <w:sz w:val="20"/>
                <w:szCs w:val="20"/>
              </w:rPr>
              <w:br/>
              <w:t>- koncentracji uwagi,</w:t>
            </w:r>
            <w:r w:rsidRPr="00467359">
              <w:rPr>
                <w:sz w:val="20"/>
                <w:szCs w:val="20"/>
              </w:rPr>
              <w:br/>
              <w:t>- sylabizowania i budowania zdań,</w:t>
            </w:r>
            <w:r w:rsidRPr="00467359">
              <w:rPr>
                <w:sz w:val="20"/>
                <w:szCs w:val="20"/>
              </w:rPr>
              <w:br/>
              <w:t>- czytania i pisania,</w:t>
            </w:r>
            <w:r w:rsidRPr="00467359">
              <w:rPr>
                <w:sz w:val="20"/>
                <w:szCs w:val="20"/>
              </w:rPr>
              <w:br/>
              <w:t>- pisania poprawnego ortograficznie.</w:t>
            </w:r>
            <w:r w:rsidRPr="00467359">
              <w:rPr>
                <w:sz w:val="20"/>
                <w:szCs w:val="20"/>
              </w:rPr>
              <w:br/>
            </w:r>
            <w:r w:rsidRPr="00467359">
              <w:rPr>
                <w:rStyle w:val="Pogrubienie"/>
                <w:sz w:val="20"/>
                <w:szCs w:val="20"/>
              </w:rPr>
              <w:t>Program zawiera:</w:t>
            </w:r>
            <w:r w:rsidRPr="00467359">
              <w:rPr>
                <w:sz w:val="20"/>
                <w:szCs w:val="20"/>
              </w:rPr>
              <w:br/>
              <w:t>- 16 interaktywnych ćwiczeń diagnostycznych</w:t>
            </w:r>
            <w:r w:rsidRPr="00467359">
              <w:rPr>
                <w:sz w:val="20"/>
                <w:szCs w:val="20"/>
              </w:rPr>
              <w:br/>
              <w:t>- 436 terapeutycznych ćwiczeń interaktywnych</w:t>
            </w:r>
            <w:r w:rsidRPr="00467359">
              <w:rPr>
                <w:sz w:val="20"/>
                <w:szCs w:val="20"/>
              </w:rPr>
              <w:br/>
              <w:t>- 22 ćwiczenia filmowe</w:t>
            </w:r>
            <w:r w:rsidRPr="00467359">
              <w:rPr>
                <w:sz w:val="20"/>
                <w:szCs w:val="20"/>
              </w:rPr>
              <w:br/>
              <w:t>- 15 interaktywnyc</w:t>
            </w:r>
            <w:r>
              <w:rPr>
                <w:sz w:val="20"/>
                <w:szCs w:val="20"/>
              </w:rPr>
              <w:t>h gier i zabaw</w:t>
            </w:r>
            <w:r>
              <w:rPr>
                <w:sz w:val="20"/>
                <w:szCs w:val="20"/>
              </w:rPr>
              <w:br/>
              <w:t>- 219 kart pracy</w:t>
            </w:r>
            <w:r w:rsidRPr="00467359">
              <w:rPr>
                <w:sz w:val="20"/>
                <w:szCs w:val="20"/>
              </w:rPr>
              <w:br/>
            </w:r>
            <w:r w:rsidRPr="00467359">
              <w:rPr>
                <w:rStyle w:val="Pogrubienie"/>
                <w:sz w:val="20"/>
                <w:szCs w:val="20"/>
              </w:rPr>
              <w:t>Nowe opakowanie programu zawiera:</w:t>
            </w:r>
            <w:r w:rsidRPr="00467359">
              <w:rPr>
                <w:sz w:val="20"/>
                <w:szCs w:val="20"/>
              </w:rPr>
              <w:br/>
              <w:t xml:space="preserve">- płytę </w:t>
            </w:r>
            <w:proofErr w:type="spellStart"/>
            <w:r w:rsidRPr="00467359">
              <w:rPr>
                <w:sz w:val="20"/>
                <w:szCs w:val="20"/>
              </w:rPr>
              <w:t>DVD-ROM</w:t>
            </w:r>
            <w:proofErr w:type="spellEnd"/>
            <w:r w:rsidRPr="00467359">
              <w:rPr>
                <w:sz w:val="20"/>
                <w:szCs w:val="20"/>
              </w:rPr>
              <w:t xml:space="preserve"> z nową wersją programu,</w:t>
            </w:r>
            <w:r w:rsidRPr="00467359">
              <w:rPr>
                <w:sz w:val="20"/>
                <w:szCs w:val="20"/>
              </w:rPr>
              <w:br/>
              <w:t>- poradnik metodyczny z instrukcją instalacji i obsługi,</w:t>
            </w:r>
            <w:r w:rsidRPr="00467359">
              <w:rPr>
                <w:sz w:val="20"/>
                <w:szCs w:val="20"/>
              </w:rPr>
              <w:br/>
              <w:t>- wydrukowany komplet kart pracy – aż 184 karty!,</w:t>
            </w:r>
            <w:r w:rsidRPr="00467359">
              <w:rPr>
                <w:sz w:val="20"/>
                <w:szCs w:val="20"/>
              </w:rPr>
              <w:br/>
              <w:t>- komplet kolorowych naklejek,</w:t>
            </w:r>
            <w:r w:rsidRPr="00467359">
              <w:rPr>
                <w:sz w:val="20"/>
                <w:szCs w:val="20"/>
              </w:rPr>
              <w:br/>
              <w:t xml:space="preserve">- zestaw nowych, autorskich pomocy tradycyjnych – Bingo literowe, Alfabet oraz </w:t>
            </w:r>
            <w:proofErr w:type="spellStart"/>
            <w:r w:rsidRPr="00467359">
              <w:rPr>
                <w:sz w:val="20"/>
                <w:szCs w:val="20"/>
              </w:rPr>
              <w:t>Rozsypanki</w:t>
            </w:r>
            <w:proofErr w:type="spellEnd"/>
            <w:r w:rsidRPr="00467359">
              <w:rPr>
                <w:sz w:val="20"/>
                <w:szCs w:val="20"/>
              </w:rPr>
              <w:t xml:space="preserve"> sylabowe.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24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ze specjalnymi potrzebami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2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 xml:space="preserve">Program koncentruje się na czterech najpowszechniejszych zaburzeniach </w:t>
            </w:r>
            <w:proofErr w:type="spellStart"/>
            <w:r w:rsidRPr="00467359">
              <w:rPr>
                <w:sz w:val="20"/>
                <w:szCs w:val="20"/>
              </w:rPr>
              <w:t>tj</w:t>
            </w:r>
            <w:proofErr w:type="spellEnd"/>
            <w:r w:rsidRPr="00467359">
              <w:rPr>
                <w:sz w:val="20"/>
                <w:szCs w:val="20"/>
              </w:rPr>
              <w:t>:</w:t>
            </w:r>
          </w:p>
          <w:p w:rsidR="00430AAE" w:rsidRPr="00467359" w:rsidRDefault="00430AAE" w:rsidP="00F54826">
            <w:pPr>
              <w:numPr>
                <w:ilvl w:val="0"/>
                <w:numId w:val="8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Dysleksja</w:t>
            </w:r>
            <w:r w:rsidRPr="00467359">
              <w:rPr>
                <w:rFonts w:cs="Times New Roman"/>
                <w:szCs w:val="20"/>
              </w:rPr>
              <w:t> (w wąskim rozumieniu) – trudności w czytaniu,</w:t>
            </w:r>
          </w:p>
          <w:p w:rsidR="00430AAE" w:rsidRPr="00467359" w:rsidRDefault="00430AAE" w:rsidP="00F54826">
            <w:pPr>
              <w:numPr>
                <w:ilvl w:val="0"/>
                <w:numId w:val="8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Dysortografia</w:t>
            </w:r>
            <w:r w:rsidRPr="00467359">
              <w:rPr>
                <w:rFonts w:cs="Times New Roman"/>
                <w:szCs w:val="20"/>
              </w:rPr>
              <w:t> – trudności z opanowaniem poprawnej pisowni,</w:t>
            </w:r>
          </w:p>
          <w:p w:rsidR="00430AAE" w:rsidRPr="00467359" w:rsidRDefault="00430AAE" w:rsidP="00F54826">
            <w:pPr>
              <w:numPr>
                <w:ilvl w:val="0"/>
                <w:numId w:val="8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Dysgrafia</w:t>
            </w:r>
            <w:r w:rsidRPr="00467359">
              <w:rPr>
                <w:rFonts w:cs="Times New Roman"/>
                <w:szCs w:val="20"/>
              </w:rPr>
              <w:t> – trudności z opanowaniem czytelnego graficznie pisania</w:t>
            </w:r>
          </w:p>
          <w:p w:rsidR="00430AAE" w:rsidRPr="00467359" w:rsidRDefault="00430AAE" w:rsidP="00F54826">
            <w:pPr>
              <w:numPr>
                <w:ilvl w:val="0"/>
                <w:numId w:val="84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Dyskalkulia</w:t>
            </w:r>
            <w:r w:rsidRPr="00467359">
              <w:rPr>
                <w:rFonts w:cs="Times New Roman"/>
                <w:szCs w:val="20"/>
              </w:rPr>
              <w:t> – trudność w rozumieniu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Program obejmuje:</w:t>
            </w:r>
          </w:p>
          <w:p w:rsidR="00430AAE" w:rsidRPr="00467359" w:rsidRDefault="00430AAE" w:rsidP="00F54826">
            <w:pPr>
              <w:numPr>
                <w:ilvl w:val="0"/>
                <w:numId w:val="85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ogromną bazę ćwiczeń i materiałów pomocniczych, które można komponować zależnie od zdiagnozowanych problemów ucznia,</w:t>
            </w:r>
          </w:p>
          <w:p w:rsidR="00430AAE" w:rsidRPr="00467359" w:rsidRDefault="00430AAE" w:rsidP="00F54826">
            <w:pPr>
              <w:numPr>
                <w:ilvl w:val="0"/>
                <w:numId w:val="85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zestaw interaktywnych ćwiczeń, zabaw i gier edukacyjnych, nawiązujących do znanych gier komputerowych,</w:t>
            </w:r>
          </w:p>
          <w:p w:rsidR="00430AAE" w:rsidRPr="00467359" w:rsidRDefault="00430AAE" w:rsidP="00F54826">
            <w:pPr>
              <w:numPr>
                <w:ilvl w:val="0"/>
                <w:numId w:val="85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karty pracy, bogaty materiał przeznaczony do wydruku i stosowania podczas zajęć lub w domu.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Jądrem programu są </w:t>
            </w:r>
            <w:r w:rsidRPr="00467359">
              <w:rPr>
                <w:rStyle w:val="Pogrubienie"/>
                <w:sz w:val="20"/>
                <w:szCs w:val="20"/>
              </w:rPr>
              <w:t>multimedialne ćwiczenia i zabawy edukacyjne</w:t>
            </w:r>
            <w:r w:rsidRPr="00467359">
              <w:rPr>
                <w:sz w:val="20"/>
                <w:szCs w:val="20"/>
              </w:rPr>
              <w:t> oraz</w:t>
            </w:r>
            <w:r w:rsidRPr="00467359">
              <w:rPr>
                <w:rStyle w:val="Pogrubienie"/>
                <w:sz w:val="20"/>
                <w:szCs w:val="20"/>
              </w:rPr>
              <w:t> karty pracy</w:t>
            </w:r>
            <w:r w:rsidRPr="00467359">
              <w:rPr>
                <w:sz w:val="20"/>
                <w:szCs w:val="20"/>
              </w:rPr>
              <w:t>. Uzupełniają je </w:t>
            </w:r>
            <w:r w:rsidRPr="00467359">
              <w:rPr>
                <w:rStyle w:val="Pogrubienie"/>
                <w:sz w:val="20"/>
                <w:szCs w:val="20"/>
              </w:rPr>
              <w:t>materiały szkoleniowe i informacyjne </w:t>
            </w:r>
            <w:r w:rsidRPr="00467359">
              <w:rPr>
                <w:sz w:val="20"/>
                <w:szCs w:val="20"/>
              </w:rPr>
              <w:t>dla nauczycieli oraz poradnik dla rodziców.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Część materiału ćwiczeniowego może być równolegle wykorzystany </w:t>
            </w:r>
            <w:r w:rsidRPr="00467359">
              <w:rPr>
                <w:rStyle w:val="Pogrubienie"/>
                <w:sz w:val="20"/>
                <w:szCs w:val="20"/>
              </w:rPr>
              <w:t>do wspierania rozwoju kluczowych kompetencji językowych i matematycznych wśród uczniów</w:t>
            </w:r>
            <w:r w:rsidRPr="00467359">
              <w:rPr>
                <w:sz w:val="20"/>
                <w:szCs w:val="20"/>
              </w:rPr>
              <w:t>:</w:t>
            </w:r>
          </w:p>
          <w:p w:rsidR="00430AAE" w:rsidRPr="00467359" w:rsidRDefault="00430AAE" w:rsidP="00F54826">
            <w:pPr>
              <w:numPr>
                <w:ilvl w:val="0"/>
                <w:numId w:val="86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zaniedbanych społecznie</w:t>
            </w:r>
          </w:p>
          <w:p w:rsidR="00430AAE" w:rsidRPr="00467359" w:rsidRDefault="00430AAE" w:rsidP="00F54826">
            <w:pPr>
              <w:numPr>
                <w:ilvl w:val="0"/>
                <w:numId w:val="86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 niewielkim deficytem rozwoju intelektualnego,</w:t>
            </w:r>
          </w:p>
          <w:p w:rsidR="00430AAE" w:rsidRPr="00467359" w:rsidRDefault="00430AAE" w:rsidP="00F54826">
            <w:pPr>
              <w:numPr>
                <w:ilvl w:val="0"/>
                <w:numId w:val="86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 niewielkimi problemami widzenia i słyszenia,</w:t>
            </w:r>
          </w:p>
          <w:p w:rsidR="00430AAE" w:rsidRPr="00467359" w:rsidRDefault="00430AAE" w:rsidP="00F54826">
            <w:pPr>
              <w:numPr>
                <w:ilvl w:val="0"/>
                <w:numId w:val="86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 różnymi formami nadpobudliwości (np. ADHD),</w:t>
            </w:r>
          </w:p>
          <w:p w:rsidR="00430AAE" w:rsidRPr="00467359" w:rsidRDefault="00430AAE" w:rsidP="00F54826">
            <w:pPr>
              <w:numPr>
                <w:ilvl w:val="0"/>
                <w:numId w:val="86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Z problemami emocjonalnymi w tym problemami ze spektrum autyzmu.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rStyle w:val="Pogrubienie"/>
                <w:sz w:val="20"/>
                <w:szCs w:val="20"/>
              </w:rPr>
              <w:t>Zawartość pakietu: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blisko 500 ćwiczeń multimedialnych</w:t>
            </w:r>
            <w:r w:rsidRPr="00467359">
              <w:rPr>
                <w:rFonts w:cs="Times New Roman"/>
                <w:szCs w:val="20"/>
              </w:rPr>
              <w:t>, które można komponować zależnie od zdiagnozowanych problemów ucznia,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zestaw interaktywnych ćwiczeń, zabaw i gier edukacyjnych</w:t>
            </w:r>
            <w:r w:rsidRPr="00467359">
              <w:rPr>
                <w:rFonts w:cs="Times New Roman"/>
                <w:szCs w:val="20"/>
              </w:rPr>
              <w:t>, nawiązujących do znanych gier komputerowych,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420 wydrukowanych kart pracy</w:t>
            </w:r>
            <w:r w:rsidRPr="00467359">
              <w:rPr>
                <w:rFonts w:cs="Times New Roman"/>
                <w:szCs w:val="20"/>
              </w:rPr>
              <w:t> dostępnych również w programie,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poradnik metodyczny</w:t>
            </w:r>
            <w:r w:rsidRPr="00467359">
              <w:rPr>
                <w:rFonts w:cs="Times New Roman"/>
                <w:szCs w:val="20"/>
              </w:rPr>
              <w:t> z instrukcją obsługi,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Style w:val="Pogrubienie"/>
                <w:rFonts w:cs="Times New Roman"/>
                <w:szCs w:val="20"/>
              </w:rPr>
              <w:t>poradnik dla rodziców</w:t>
            </w:r>
            <w:r w:rsidRPr="00467359">
              <w:rPr>
                <w:rFonts w:cs="Times New Roman"/>
                <w:szCs w:val="20"/>
              </w:rPr>
              <w:t>,</w:t>
            </w:r>
          </w:p>
          <w:p w:rsidR="00430AAE" w:rsidRPr="00467359" w:rsidRDefault="00430AAE" w:rsidP="00F54826">
            <w:pPr>
              <w:numPr>
                <w:ilvl w:val="0"/>
                <w:numId w:val="87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wraz z szablonami rysunków dla uczniów z problemami matematycznymi, które zmieniają je w przestrzenne obiekty.</w:t>
            </w:r>
          </w:p>
        </w:tc>
      </w:tr>
    </w:tbl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rPr>
          <w:rFonts w:cs="Times New Roman"/>
          <w:szCs w:val="20"/>
        </w:rPr>
      </w:pPr>
    </w:p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25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pamięci wzrokowej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4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Zestaw przeznaczony do </w:t>
            </w:r>
            <w:r w:rsidRPr="00467359">
              <w:rPr>
                <w:rStyle w:val="Pogrubienie"/>
                <w:sz w:val="20"/>
                <w:szCs w:val="20"/>
              </w:rPr>
              <w:t>kształtowania percepcji oraz pamięci wzrokowej </w:t>
            </w:r>
            <w:r w:rsidRPr="00467359">
              <w:rPr>
                <w:sz w:val="20"/>
                <w:szCs w:val="20"/>
              </w:rPr>
              <w:t>obejmuje ćwiczenia interaktywne dostosowane do tablic multimedialnych, grupowe gry i zabawy planszowe oraz karty pracy, tworzące razem </w:t>
            </w:r>
            <w:r w:rsidRPr="00467359">
              <w:rPr>
                <w:rStyle w:val="Pogrubienie"/>
                <w:sz w:val="20"/>
                <w:szCs w:val="20"/>
              </w:rPr>
              <w:t>komplementarny zestaw materiałów dydaktycznych. 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Zestaw zawiera ćwiczenia analizy i syntezy wzrokowej w obszarach takich, jak: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kolory</w:t>
            </w:r>
            <w:r>
              <w:rPr>
                <w:rFonts w:cs="Times New Roman"/>
                <w:szCs w:val="20"/>
              </w:rPr>
              <w:t xml:space="preserve"> i desenie</w:t>
            </w:r>
          </w:p>
          <w:p w:rsidR="00430AAE" w:rsidRPr="00384C64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kształty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kierunki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wielkości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proporcje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rozmieszczenie na płaszczyźnie</w:t>
            </w:r>
          </w:p>
          <w:p w:rsidR="00430AAE" w:rsidRPr="00467359" w:rsidRDefault="00430AAE" w:rsidP="00F54826">
            <w:pPr>
              <w:numPr>
                <w:ilvl w:val="0"/>
                <w:numId w:val="88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rozmieszczenie w przestrzeni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Materiał zawiera warstwę tematyczną i warstwę abstrakcyjną (prowadzącą do znaków i liter).</w:t>
            </w:r>
          </w:p>
          <w:p w:rsidR="00430AAE" w:rsidRPr="00467359" w:rsidRDefault="00430AAE" w:rsidP="00F77BF4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aps/>
                <w:color w:val="auto"/>
                <w:sz w:val="20"/>
                <w:szCs w:val="20"/>
              </w:rPr>
            </w:pPr>
            <w:r w:rsidRPr="00467359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0"/>
                <w:szCs w:val="20"/>
              </w:rPr>
              <w:t>ZAWARTOŚĆ ZESTAWU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W opakowaniu znajdują się: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instrukcja użytkowania A5 z numerem seryjnymi i karta rejestracyjną,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 zestawy kamieni po 18 czarnych i 18 białych w każdym,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6 zestawów kości do gry: jedna z kolorami dwie z kropkami-liczbami w każdym,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1 zestaw sześciu długich sznurków w sześciu kolorach (2 m)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6 plansz biurkowych,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6 zestawów małych kształtów kartonowych w sześciu kolorach każdy (18 formatek do wyciśnięcia),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duże koła kartonowe w sześciu kolorach (6 formatek do wyciśnięcia),</w:t>
            </w:r>
          </w:p>
          <w:p w:rsidR="00430AAE" w:rsidRPr="00467359" w:rsidRDefault="00430AAE" w:rsidP="00F54826">
            <w:pPr>
              <w:numPr>
                <w:ilvl w:val="0"/>
                <w:numId w:val="89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36 woreczków foliowych na drobne elementy kartonowe.</w:t>
            </w:r>
          </w:p>
          <w:p w:rsidR="00430AAE" w:rsidRPr="00467359" w:rsidRDefault="00430AAE" w:rsidP="00F77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7359">
              <w:rPr>
                <w:sz w:val="20"/>
                <w:szCs w:val="20"/>
              </w:rPr>
              <w:t>W części cyfrowej:</w:t>
            </w:r>
          </w:p>
          <w:p w:rsidR="00430AAE" w:rsidRPr="00467359" w:rsidRDefault="00430AAE" w:rsidP="00F54826">
            <w:pPr>
              <w:numPr>
                <w:ilvl w:val="0"/>
                <w:numId w:val="90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250 ekranów interaktywnych ćwiczeń indywidualnych lub multimedialnych ćwiczeń klasowych,</w:t>
            </w:r>
          </w:p>
          <w:p w:rsidR="00430AAE" w:rsidRPr="00467359" w:rsidRDefault="00430AAE" w:rsidP="00F54826">
            <w:pPr>
              <w:numPr>
                <w:ilvl w:val="0"/>
                <w:numId w:val="90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50 kart pracy współpracujących z elementami kartonowymi i ćwiczeniami multimedialnymi.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26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430AAE" w:rsidRPr="00467359" w:rsidRDefault="00430AAE" w:rsidP="00F77BF4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pomocy przygotowujący dzieci do szkoły</w:t>
            </w:r>
          </w:p>
        </w:tc>
      </w:tr>
      <w:tr w:rsidR="00430AAE" w:rsidRPr="00467359" w:rsidTr="00F77BF4">
        <w:tc>
          <w:tcPr>
            <w:tcW w:w="1555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30AAE" w:rsidRPr="00467359" w:rsidRDefault="00430AAE" w:rsidP="00F77BF4">
            <w:pPr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</w:rPr>
              <w:t>1</w:t>
            </w:r>
          </w:p>
        </w:tc>
      </w:tr>
      <w:tr w:rsidR="00430AAE" w:rsidRPr="00467359" w:rsidTr="00F77BF4">
        <w:trPr>
          <w:trHeight w:val="708"/>
        </w:trPr>
        <w:tc>
          <w:tcPr>
            <w:tcW w:w="9634" w:type="dxa"/>
            <w:gridSpan w:val="2"/>
          </w:tcPr>
          <w:p w:rsidR="00430AAE" w:rsidRPr="00467359" w:rsidRDefault="00430AAE" w:rsidP="00F54826">
            <w:pPr>
              <w:numPr>
                <w:ilvl w:val="0"/>
                <w:numId w:val="90"/>
              </w:numPr>
              <w:shd w:val="clear" w:color="auto" w:fill="FFFFFF"/>
              <w:rPr>
                <w:rFonts w:cs="Times New Roman"/>
                <w:szCs w:val="20"/>
              </w:rPr>
            </w:pPr>
            <w:r w:rsidRPr="00467359">
              <w:rPr>
                <w:rFonts w:cs="Times New Roman"/>
                <w:szCs w:val="20"/>
                <w:shd w:val="clear" w:color="auto" w:fill="FFFFFF"/>
              </w:rPr>
              <w:t xml:space="preserve">Zestaw materiałów przeznaczonych dla dzieci </w:t>
            </w:r>
            <w:proofErr w:type="spellStart"/>
            <w:r w:rsidRPr="00467359">
              <w:rPr>
                <w:rFonts w:cs="Times New Roman"/>
                <w:szCs w:val="20"/>
                <w:shd w:val="clear" w:color="auto" w:fill="FFFFFF"/>
              </w:rPr>
              <w:t>pięcio-sześcioletnich</w:t>
            </w:r>
            <w:proofErr w:type="spellEnd"/>
            <w:r w:rsidRPr="00467359">
              <w:rPr>
                <w:rFonts w:cs="Times New Roman"/>
                <w:szCs w:val="20"/>
                <w:shd w:val="clear" w:color="auto" w:fill="FFFFFF"/>
              </w:rPr>
              <w:t xml:space="preserve"> uczęszczających do przedszkolnych i szkolnych ,,zerówek". Pozwala rozwijać w zabawie umiejętności przygotowujące do szkoły, wykorzystując do tego wzajemne interakcje dzieci i związane z tym emocje. Seria wykorzystuje technologię i multimedia oraz pomoce do aktywności w dużej grupie i w zespołach przy stolikach. Angażuje nie tylko przestrzeń w salach przedszkolnych, ale także poza budynkiem. Dzięki temu dzieci rozwijają swoje umiejętności percepcyjne i ruchowe, społeczne i emocjonalne, motoryczne i technologiczne.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Aplikacja obejmująca multimedia, zasoby do samodzielnego wydrukowania, poradniki i scenariusze. Licencja jest bezterminowa i obejmuje całą placówkę edukacyjną. Pozwala na zainstalowanie programu na wszystkich komputerach oraz drukowanie i kopiowanie materiałów zamieszczonych w programie. Ponadto umożliwia dostęp do aktualizacji aplikacji oraz zasobów.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Pakiet obejmuje następujące części: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Rozumiem i mówię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Spostrzegam i rozpoznaję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Liczę i wnioskuję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Gram i planuję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Buduję i tworzę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Dbam i szanuję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Współdziałam i czuję.</w:t>
            </w:r>
            <w:r w:rsidRPr="00467359">
              <w:rPr>
                <w:rFonts w:cs="Times New Roman"/>
                <w:szCs w:val="20"/>
              </w:rPr>
              <w:br/>
            </w:r>
            <w:r w:rsidRPr="00467359">
              <w:rPr>
                <w:rFonts w:cs="Times New Roman"/>
                <w:szCs w:val="20"/>
                <w:shd w:val="clear" w:color="auto" w:fill="FFFFFF"/>
              </w:rPr>
              <w:t>W każdym zestawie znajdują się: formatyki z elementami gier i zabaw, kości, kamienie, plansze do gier, ekrany z  ćwiczeniami multimedialnymi oraz kart pracy do wydrukowania.</w:t>
            </w:r>
          </w:p>
        </w:tc>
      </w:tr>
    </w:tbl>
    <w:p w:rsidR="00430AAE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E5257C" w:rsidRDefault="00E5257C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Pr="00467359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  <w:r w:rsidRPr="00467359">
        <w:rPr>
          <w:rFonts w:cs="Times New Roman"/>
          <w:szCs w:val="20"/>
        </w:rPr>
        <w:lastRenderedPageBreak/>
        <w:t>ZESTAWIENIE Z PODZIAŁEM NA ODDZIAŁY SZKOLNE</w:t>
      </w: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430AAE" w:rsidRPr="00467359" w:rsidTr="00F77BF4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GABINET TERAPEUTYCZNY  - dla uczniów szkół podstawowych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mowy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percepcji wzrokowej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dysgrafii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wspomagający umiejętności matematyczne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1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dzieci ze spektrum autyzmu + 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pedagogicznej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problemami emocjonalnymi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czytelne pisanie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Eduterapeutica Problemy wychowawcze. Przemoc, emocje, uzależnienia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zaburzeniami przemocy i agresji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dla dzieci posiadających trudności w pisaniu i czytaniu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harmonijny rozwój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dzieci wspierający zagadnienia matematyczno-polonistyczne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4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ze specjalnymi potrzebami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pamięci wzrokowej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430AAE" w:rsidRPr="00467359" w:rsidTr="00F77BF4">
        <w:trPr>
          <w:trHeight w:val="1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Dla przedszkoli - 1 zestaw terapeutyczny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dysgrafii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wspomagający umiejętności matematyczne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Rozwijanie kompetencji emocjonalno-społecznych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kompetencji emocjonalnych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Program wspierający dzieci ze spektrum autyzmu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+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 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pomocy przygotowujący dzieci do szkoły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dla dzieci posiadających trudności w pisaniu i czytaniu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harmonijny rozwój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dzieci wspierający zagadnienia matematyczno-polonistyczne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</w:tbl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430AAE" w:rsidRPr="00467359" w:rsidTr="00F77BF4">
        <w:trPr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Dla szkół ponadpodstawowych </w:t>
            </w:r>
            <w:r>
              <w:rPr>
                <w:rFonts w:eastAsia="Times New Roman" w:cs="Times New Roman"/>
                <w:szCs w:val="20"/>
                <w:lang w:eastAsia="pl-PL"/>
              </w:rPr>
              <w:t>–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2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zestawy terapeutyczne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dysgrafii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Rozwijanie kompetencji emocjonalno-społecznych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pedagogicznej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problemami emocjonalnymi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4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uzależnieniami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zaburzeniami przemocy i agresji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30AAE" w:rsidRPr="00467359" w:rsidTr="00F77BF4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pamięci wzrokowej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AE" w:rsidRPr="00467359" w:rsidRDefault="00430AAE" w:rsidP="00F77BF4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</w:tbl>
    <w:p w:rsidR="00430AAE" w:rsidRPr="00467359" w:rsidRDefault="00430AAE" w:rsidP="00430AAE">
      <w:pPr>
        <w:spacing w:after="0" w:line="240" w:lineRule="auto"/>
        <w:jc w:val="center"/>
        <w:rPr>
          <w:rFonts w:cs="Times New Roman"/>
          <w:szCs w:val="20"/>
        </w:rPr>
      </w:pPr>
    </w:p>
    <w:p w:rsidR="00430AAE" w:rsidRPr="00467359" w:rsidRDefault="00430AAE" w:rsidP="00430AAE">
      <w:pPr>
        <w:spacing w:after="0" w:line="240" w:lineRule="auto"/>
        <w:rPr>
          <w:rFonts w:cs="Times New Roman"/>
          <w:szCs w:val="20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0AAE" w:rsidRDefault="00430A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30AAE" w:rsidSect="0090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87343" w15:done="0"/>
  <w15:commentEx w15:paraId="643ABD76" w15:done="0"/>
  <w15:commentEx w15:paraId="3C8335D4" w15:done="0"/>
  <w15:commentEx w15:paraId="10B4D751" w15:done="0"/>
  <w15:commentEx w15:paraId="04B4F4FA" w15:done="0"/>
  <w15:commentEx w15:paraId="2D26D74A" w15:done="0"/>
  <w15:commentEx w15:paraId="461DFBC3" w15:done="0"/>
  <w15:commentEx w15:paraId="0750456E" w15:done="0"/>
  <w15:commentEx w15:paraId="2D843B6B" w15:done="0"/>
  <w15:commentEx w15:paraId="44E84306" w15:done="0"/>
  <w15:commentEx w15:paraId="1D601E24" w15:done="0"/>
  <w15:commentEx w15:paraId="0B710035" w15:done="0"/>
  <w15:commentEx w15:paraId="09219C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16" w:rsidRDefault="00592D16">
      <w:pPr>
        <w:spacing w:after="0" w:line="240" w:lineRule="auto"/>
      </w:pPr>
      <w:r>
        <w:separator/>
      </w:r>
    </w:p>
  </w:endnote>
  <w:endnote w:type="continuationSeparator" w:id="0">
    <w:p w:rsidR="00592D16" w:rsidRDefault="005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1149D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E71">
      <w:rPr>
        <w:szCs w:val="20"/>
      </w:rPr>
      <w:instrText xml:space="preserve"> PAGE </w:instrText>
    </w:r>
    <w:r>
      <w:rPr>
        <w:szCs w:val="20"/>
      </w:rPr>
      <w:fldChar w:fldCharType="separate"/>
    </w:r>
    <w:r w:rsidR="00EC4623">
      <w:rPr>
        <w:noProof/>
        <w:szCs w:val="20"/>
      </w:rPr>
      <w:t>1</w:t>
    </w:r>
    <w:r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16" w:rsidRDefault="00592D16">
      <w:pPr>
        <w:spacing w:after="0" w:line="240" w:lineRule="auto"/>
      </w:pPr>
      <w:r>
        <w:separator/>
      </w:r>
    </w:p>
  </w:footnote>
  <w:footnote w:type="continuationSeparator" w:id="0">
    <w:p w:rsidR="00592D16" w:rsidRDefault="0059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Pr="00F77BF4" w:rsidRDefault="00905E71" w:rsidP="00F77BF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1" w:rsidRPr="00F77BF4" w:rsidRDefault="00905E71" w:rsidP="00F77B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9FA5F1E"/>
    <w:multiLevelType w:val="multilevel"/>
    <w:tmpl w:val="9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B429A5"/>
    <w:multiLevelType w:val="hybridMultilevel"/>
    <w:tmpl w:val="CA3C1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C833D91"/>
    <w:multiLevelType w:val="hybridMultilevel"/>
    <w:tmpl w:val="23BC393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354EFE"/>
    <w:multiLevelType w:val="multilevel"/>
    <w:tmpl w:val="66F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61B4CCA"/>
    <w:multiLevelType w:val="multilevel"/>
    <w:tmpl w:val="561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4F19D4"/>
    <w:multiLevelType w:val="multilevel"/>
    <w:tmpl w:val="30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F90B25"/>
    <w:multiLevelType w:val="multilevel"/>
    <w:tmpl w:val="65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2A0994"/>
    <w:multiLevelType w:val="multilevel"/>
    <w:tmpl w:val="4CB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EFF5DBA"/>
    <w:multiLevelType w:val="multilevel"/>
    <w:tmpl w:val="4A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E7AA1"/>
    <w:multiLevelType w:val="hybridMultilevel"/>
    <w:tmpl w:val="7E6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17E7E"/>
    <w:multiLevelType w:val="multilevel"/>
    <w:tmpl w:val="18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257F07"/>
    <w:multiLevelType w:val="hybridMultilevel"/>
    <w:tmpl w:val="F104E2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3D1B0C"/>
    <w:multiLevelType w:val="multilevel"/>
    <w:tmpl w:val="8FB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F27EB9"/>
    <w:multiLevelType w:val="multilevel"/>
    <w:tmpl w:val="A55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6195A"/>
    <w:multiLevelType w:val="multilevel"/>
    <w:tmpl w:val="7C8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2518E"/>
    <w:multiLevelType w:val="multilevel"/>
    <w:tmpl w:val="07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814CB"/>
    <w:multiLevelType w:val="multilevel"/>
    <w:tmpl w:val="B37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610E8"/>
    <w:multiLevelType w:val="multilevel"/>
    <w:tmpl w:val="7B4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E505012"/>
    <w:multiLevelType w:val="hybridMultilevel"/>
    <w:tmpl w:val="0138F9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F2655ED"/>
    <w:multiLevelType w:val="multilevel"/>
    <w:tmpl w:val="34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363D0C"/>
    <w:multiLevelType w:val="multilevel"/>
    <w:tmpl w:val="600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CAF14FF"/>
    <w:multiLevelType w:val="hybridMultilevel"/>
    <w:tmpl w:val="60C4C5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DF054C"/>
    <w:multiLevelType w:val="hybridMultilevel"/>
    <w:tmpl w:val="B66C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51670FE"/>
    <w:multiLevelType w:val="hybridMultilevel"/>
    <w:tmpl w:val="21681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85C9F"/>
    <w:multiLevelType w:val="multilevel"/>
    <w:tmpl w:val="F4A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C37EBD"/>
    <w:multiLevelType w:val="multilevel"/>
    <w:tmpl w:val="FE7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5F2559"/>
    <w:multiLevelType w:val="multilevel"/>
    <w:tmpl w:val="234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13AC1"/>
    <w:multiLevelType w:val="multilevel"/>
    <w:tmpl w:val="647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ED1FE6"/>
    <w:multiLevelType w:val="hybridMultilevel"/>
    <w:tmpl w:val="CB96B47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>
    <w:nsid w:val="6FC36D3F"/>
    <w:multiLevelType w:val="hybridMultilevel"/>
    <w:tmpl w:val="C3F0618A"/>
    <w:lvl w:ilvl="0" w:tplc="D4009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165408"/>
    <w:multiLevelType w:val="hybridMultilevel"/>
    <w:tmpl w:val="E64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3">
    <w:nsid w:val="756B5E52"/>
    <w:multiLevelType w:val="multilevel"/>
    <w:tmpl w:val="5A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5F05CCC"/>
    <w:multiLevelType w:val="multilevel"/>
    <w:tmpl w:val="9F4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223EC2"/>
    <w:multiLevelType w:val="multilevel"/>
    <w:tmpl w:val="8ED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DF2A20"/>
    <w:multiLevelType w:val="multilevel"/>
    <w:tmpl w:val="A9A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A4BB4"/>
    <w:multiLevelType w:val="multilevel"/>
    <w:tmpl w:val="EDD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92F463A"/>
    <w:multiLevelType w:val="multilevel"/>
    <w:tmpl w:val="C97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3C6694"/>
    <w:multiLevelType w:val="hybridMultilevel"/>
    <w:tmpl w:val="28C0BEF2"/>
    <w:lvl w:ilvl="0" w:tplc="03F8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E15C06"/>
    <w:multiLevelType w:val="multilevel"/>
    <w:tmpl w:val="1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37"/>
  </w:num>
  <w:num w:numId="3">
    <w:abstractNumId w:val="69"/>
  </w:num>
  <w:num w:numId="4">
    <w:abstractNumId w:val="47"/>
  </w:num>
  <w:num w:numId="5">
    <w:abstractNumId w:val="52"/>
  </w:num>
  <w:num w:numId="6">
    <w:abstractNumId w:val="94"/>
  </w:num>
  <w:num w:numId="7">
    <w:abstractNumId w:val="91"/>
  </w:num>
  <w:num w:numId="8">
    <w:abstractNumId w:val="55"/>
  </w:num>
  <w:num w:numId="9">
    <w:abstractNumId w:val="115"/>
  </w:num>
  <w:num w:numId="10">
    <w:abstractNumId w:val="88"/>
  </w:num>
  <w:num w:numId="11">
    <w:abstractNumId w:val="130"/>
  </w:num>
  <w:num w:numId="12">
    <w:abstractNumId w:val="132"/>
  </w:num>
  <w:num w:numId="13">
    <w:abstractNumId w:val="93"/>
  </w:num>
  <w:num w:numId="14">
    <w:abstractNumId w:val="99"/>
  </w:num>
  <w:num w:numId="15">
    <w:abstractNumId w:val="118"/>
  </w:num>
  <w:num w:numId="16">
    <w:abstractNumId w:val="131"/>
  </w:num>
  <w:num w:numId="17">
    <w:abstractNumId w:val="86"/>
  </w:num>
  <w:num w:numId="18">
    <w:abstractNumId w:val="62"/>
  </w:num>
  <w:num w:numId="19">
    <w:abstractNumId w:val="136"/>
  </w:num>
  <w:num w:numId="20">
    <w:abstractNumId w:val="111"/>
  </w:num>
  <w:num w:numId="21">
    <w:abstractNumId w:val="82"/>
  </w:num>
  <w:num w:numId="22">
    <w:abstractNumId w:val="97"/>
  </w:num>
  <w:num w:numId="23">
    <w:abstractNumId w:val="134"/>
  </w:num>
  <w:num w:numId="24">
    <w:abstractNumId w:val="92"/>
  </w:num>
  <w:num w:numId="25">
    <w:abstractNumId w:val="104"/>
  </w:num>
  <w:num w:numId="26">
    <w:abstractNumId w:val="110"/>
  </w:num>
  <w:num w:numId="27">
    <w:abstractNumId w:val="75"/>
  </w:num>
  <w:num w:numId="28">
    <w:abstractNumId w:val="70"/>
  </w:num>
  <w:num w:numId="29">
    <w:abstractNumId w:val="37"/>
  </w:num>
  <w:num w:numId="30">
    <w:abstractNumId w:val="33"/>
  </w:num>
  <w:num w:numId="31">
    <w:abstractNumId w:val="83"/>
  </w:num>
  <w:num w:numId="32">
    <w:abstractNumId w:val="96"/>
  </w:num>
  <w:num w:numId="33">
    <w:abstractNumId w:val="34"/>
  </w:num>
  <w:num w:numId="34">
    <w:abstractNumId w:val="42"/>
  </w:num>
  <w:num w:numId="35">
    <w:abstractNumId w:val="58"/>
  </w:num>
  <w:num w:numId="36">
    <w:abstractNumId w:val="68"/>
  </w:num>
  <w:num w:numId="37">
    <w:abstractNumId w:val="85"/>
  </w:num>
  <w:num w:numId="38">
    <w:abstractNumId w:val="66"/>
  </w:num>
  <w:num w:numId="39">
    <w:abstractNumId w:val="31"/>
  </w:num>
  <w:num w:numId="40">
    <w:abstractNumId w:val="117"/>
  </w:num>
  <w:num w:numId="41">
    <w:abstractNumId w:val="103"/>
  </w:num>
  <w:num w:numId="42">
    <w:abstractNumId w:val="78"/>
  </w:num>
  <w:num w:numId="43">
    <w:abstractNumId w:val="126"/>
  </w:num>
  <w:num w:numId="44">
    <w:abstractNumId w:val="7"/>
  </w:num>
  <w:num w:numId="45">
    <w:abstractNumId w:val="25"/>
  </w:num>
  <w:num w:numId="46">
    <w:abstractNumId w:val="76"/>
  </w:num>
  <w:num w:numId="47">
    <w:abstractNumId w:val="74"/>
  </w:num>
  <w:num w:numId="48">
    <w:abstractNumId w:val="56"/>
  </w:num>
  <w:num w:numId="49">
    <w:abstractNumId w:val="59"/>
  </w:num>
  <w:num w:numId="50">
    <w:abstractNumId w:val="35"/>
  </w:num>
  <w:num w:numId="51">
    <w:abstractNumId w:val="77"/>
  </w:num>
  <w:num w:numId="52">
    <w:abstractNumId w:val="113"/>
  </w:num>
  <w:num w:numId="53">
    <w:abstractNumId w:val="107"/>
  </w:num>
  <w:num w:numId="54">
    <w:abstractNumId w:val="122"/>
  </w:num>
  <w:num w:numId="55">
    <w:abstractNumId w:val="73"/>
  </w:num>
  <w:num w:numId="56">
    <w:abstractNumId w:val="114"/>
  </w:num>
  <w:num w:numId="57">
    <w:abstractNumId w:val="43"/>
  </w:num>
  <w:num w:numId="58">
    <w:abstractNumId w:val="44"/>
  </w:num>
  <w:num w:numId="59">
    <w:abstractNumId w:val="109"/>
  </w:num>
  <w:num w:numId="60">
    <w:abstractNumId w:val="39"/>
  </w:num>
  <w:num w:numId="61">
    <w:abstractNumId w:val="28"/>
  </w:num>
  <w:num w:numId="62">
    <w:abstractNumId w:val="46"/>
  </w:num>
  <w:num w:numId="63">
    <w:abstractNumId w:val="51"/>
  </w:num>
  <w:num w:numId="64">
    <w:abstractNumId w:val="135"/>
  </w:num>
  <w:num w:numId="65">
    <w:abstractNumId w:val="81"/>
  </w:num>
  <w:num w:numId="66">
    <w:abstractNumId w:val="119"/>
  </w:num>
  <w:num w:numId="67">
    <w:abstractNumId w:val="101"/>
  </w:num>
  <w:num w:numId="68">
    <w:abstractNumId w:val="128"/>
  </w:num>
  <w:num w:numId="69">
    <w:abstractNumId w:val="61"/>
  </w:num>
  <w:num w:numId="70">
    <w:abstractNumId w:val="129"/>
  </w:num>
  <w:num w:numId="71">
    <w:abstractNumId w:val="127"/>
  </w:num>
  <w:num w:numId="72">
    <w:abstractNumId w:val="72"/>
  </w:num>
  <w:num w:numId="73">
    <w:abstractNumId w:val="106"/>
  </w:num>
  <w:num w:numId="74">
    <w:abstractNumId w:val="45"/>
  </w:num>
  <w:num w:numId="75">
    <w:abstractNumId w:val="36"/>
  </w:num>
  <w:num w:numId="76">
    <w:abstractNumId w:val="50"/>
  </w:num>
  <w:num w:numId="77">
    <w:abstractNumId w:val="80"/>
  </w:num>
  <w:num w:numId="78">
    <w:abstractNumId w:val="124"/>
  </w:num>
  <w:num w:numId="79">
    <w:abstractNumId w:val="48"/>
  </w:num>
  <w:num w:numId="80">
    <w:abstractNumId w:val="60"/>
  </w:num>
  <w:num w:numId="81">
    <w:abstractNumId w:val="27"/>
  </w:num>
  <w:num w:numId="82">
    <w:abstractNumId w:val="116"/>
  </w:num>
  <w:num w:numId="83">
    <w:abstractNumId w:val="64"/>
  </w:num>
  <w:num w:numId="84">
    <w:abstractNumId w:val="105"/>
  </w:num>
  <w:num w:numId="85">
    <w:abstractNumId w:val="38"/>
  </w:num>
  <w:num w:numId="86">
    <w:abstractNumId w:val="41"/>
  </w:num>
  <w:num w:numId="87">
    <w:abstractNumId w:val="100"/>
  </w:num>
  <w:num w:numId="88">
    <w:abstractNumId w:val="123"/>
  </w:num>
  <w:num w:numId="89">
    <w:abstractNumId w:val="40"/>
  </w:num>
  <w:num w:numId="90">
    <w:abstractNumId w:val="125"/>
  </w:num>
  <w:num w:numId="91">
    <w:abstractNumId w:val="29"/>
  </w:num>
  <w:num w:numId="92">
    <w:abstractNumId w:val="30"/>
  </w:num>
  <w:num w:numId="93">
    <w:abstractNumId w:val="90"/>
  </w:num>
  <w:num w:numId="94">
    <w:abstractNumId w:val="133"/>
  </w:num>
  <w:num w:numId="95">
    <w:abstractNumId w:val="71"/>
  </w:num>
  <w:num w:numId="96">
    <w:abstractNumId w:val="120"/>
  </w:num>
  <w:num w:numId="97">
    <w:abstractNumId w:val="26"/>
  </w:num>
  <w:num w:numId="98">
    <w:abstractNumId w:val="98"/>
  </w:num>
  <w:num w:numId="99">
    <w:abstractNumId w:val="89"/>
  </w:num>
  <w:num w:numId="100">
    <w:abstractNumId w:val="121"/>
  </w:num>
  <w:num w:numId="101">
    <w:abstractNumId w:val="112"/>
  </w:num>
  <w:num w:numId="102">
    <w:abstractNumId w:val="84"/>
  </w:num>
  <w:num w:numId="103">
    <w:abstractNumId w:val="87"/>
  </w:num>
  <w:num w:numId="104">
    <w:abstractNumId w:val="49"/>
  </w:num>
  <w:num w:numId="105">
    <w:abstractNumId w:val="5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49DA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A46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2D16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CC3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E75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4623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1861-64E3-4653-B0BC-A8F54039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7178</Words>
  <Characters>43072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2021-11-17T08:09:00Z</cp:lastPrinted>
  <dcterms:created xsi:type="dcterms:W3CDTF">2021-12-08T19:27:00Z</dcterms:created>
  <dcterms:modified xsi:type="dcterms:W3CDTF">2021-12-09T11:41:00Z</dcterms:modified>
</cp:coreProperties>
</file>