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Pr="0032179C" w:rsidRDefault="00386AA7">
      <w:pPr>
        <w:pStyle w:val="Nagwek2"/>
        <w:spacing w:before="0"/>
        <w:jc w:val="right"/>
        <w:rPr>
          <w:sz w:val="24"/>
          <w:szCs w:val="24"/>
        </w:rPr>
      </w:pP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2179C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17F30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DB5853">
        <w:rPr>
          <w:rFonts w:eastAsia="Times New Roman" w:cs="Times New Roman"/>
          <w:bCs/>
          <w:szCs w:val="28"/>
          <w:lang w:eastAsia="pl-PL"/>
        </w:rPr>
        <w:t>(Dz. U. z 2023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 xml:space="preserve"> r., poz. </w:t>
      </w:r>
      <w:r w:rsidR="00DB5853">
        <w:rPr>
          <w:rFonts w:eastAsia="Times New Roman" w:cs="Times New Roman"/>
          <w:bCs/>
          <w:szCs w:val="28"/>
          <w:lang w:eastAsia="pl-PL"/>
        </w:rPr>
        <w:t>1605 i 1720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  <w:bookmarkStart w:id="1" w:name="_GoBack"/>
      <w:bookmarkEnd w:id="1"/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6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05A"/>
    <w:rsid w:val="0032179C"/>
    <w:rsid w:val="00386AA7"/>
    <w:rsid w:val="00417F30"/>
    <w:rsid w:val="00756AE9"/>
    <w:rsid w:val="008D3B7E"/>
    <w:rsid w:val="00A5405A"/>
    <w:rsid w:val="00CD2128"/>
    <w:rsid w:val="00DB5853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16</cp:revision>
  <cp:lastPrinted>2018-07-26T06:11:00Z</cp:lastPrinted>
  <dcterms:created xsi:type="dcterms:W3CDTF">2018-06-18T07:31:00Z</dcterms:created>
  <dcterms:modified xsi:type="dcterms:W3CDTF">2024-02-09T08:09:00Z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