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5BBF" w14:textId="77777777" w:rsidR="00823071" w:rsidRDefault="00000000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76409423" w14:textId="77777777" w:rsidR="00823071" w:rsidRDefault="00823071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67FF62E" w14:textId="77777777" w:rsidR="00823071" w:rsidRDefault="00000000">
      <w:pPr>
        <w:pStyle w:val="Akapitzlist"/>
        <w:spacing w:line="276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Przedmiotem zamówieni</w:t>
      </w:r>
      <w:r>
        <w:rPr>
          <w:rFonts w:ascii="Times New Roman" w:hAnsi="Times New Roman" w:cs="Times New Roman"/>
        </w:rPr>
        <w:t>a jest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zakup wraz z dostawą płyt drogowych żelbetowych pełnych o wym. 120cm x 80 cm x 16 cm dla sołectw na terenie Gminy Nowy Tomyśl. </w:t>
      </w:r>
    </w:p>
    <w:p w14:paraId="1614191B" w14:textId="77777777" w:rsidR="00823071" w:rsidRDefault="00823071">
      <w:pPr>
        <w:pStyle w:val="Akapitzlist"/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13E4D9" w14:textId="77777777" w:rsidR="00823071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Zamówienie obejmuje:</w:t>
      </w:r>
    </w:p>
    <w:p w14:paraId="423F099C" w14:textId="77777777" w:rsidR="00823071" w:rsidRDefault="00000000" w:rsidP="00E155D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W ramach dostawy przewiduje się wykonanie i dostarczenie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płyt drogowych żelbetowych pełnych o wym. 120cm x 80 cm x 16 cm dla sołectw na terenie Gminy Nowy Tomyśl wraz z drewnianymi paletami zwrotnymi lub bez - zgodnie z zestawieniem umieszczonym w tab. 2. </w:t>
      </w:r>
    </w:p>
    <w:p w14:paraId="07608908" w14:textId="77777777" w:rsidR="00823071" w:rsidRDefault="00000000" w:rsidP="00E155DE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Dostawa płyt musi odbywać się samochodem ciężarowym wyposażonym w hydrauliczny dźwig samochodowy umożliwiający rozładunek płyt wraz z paletami jak i bez palet ze złożeniem na wcześniej przygotowane palety na gruncie.</w:t>
      </w:r>
    </w:p>
    <w:p w14:paraId="1D75A5D7" w14:textId="77777777" w:rsidR="00823071" w:rsidRDefault="00000000" w:rsidP="00E155DE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Dostawca przed wykonaniem każdorazowej dostawy zobowiązany jest do poinformowania telefonicznego właściwego sołtysa celem zapowiedzenia terminu dostawy i wskazania dokładnej lokalizacji dostawy. </w:t>
      </w:r>
    </w:p>
    <w:p w14:paraId="4567E9D8" w14:textId="77777777" w:rsidR="00823071" w:rsidRDefault="00000000" w:rsidP="00E155DE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wykonania dostawy: 2 miesiące na realizację przedmiotu zamówienia</w:t>
      </w:r>
    </w:p>
    <w:p w14:paraId="3E82DAE9" w14:textId="321779FE" w:rsidR="00823071" w:rsidRDefault="00000000" w:rsidP="00E155DE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Zamawiający wymaga udzielenia </w:t>
      </w:r>
      <w:r w:rsidR="005F0F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minimum </w:t>
      </w:r>
      <w:r w:rsidR="005716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miesięcznej gwarancji </w:t>
      </w:r>
      <w:r w:rsidR="00F371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jakości rękojmi za wady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płyty.</w:t>
      </w:r>
    </w:p>
    <w:p w14:paraId="3D14F583" w14:textId="77777777" w:rsidR="00823071" w:rsidRDefault="00000000" w:rsidP="00E155DE">
      <w:pPr>
        <w:jc w:val="both"/>
        <w:rPr>
          <w:rFonts w:hint="eastAsia"/>
        </w:rPr>
      </w:pPr>
      <w:bookmarkStart w:id="0" w:name="__DdeLink__435_4027863830"/>
      <w:r>
        <w:rPr>
          <w:rFonts w:ascii="Times New Roman" w:eastAsia="Times New Roman" w:hAnsi="Times New Roman" w:cs="Times New Roman"/>
          <w:color w:val="000000"/>
          <w:lang w:eastAsia="pl-PL"/>
        </w:rPr>
        <w:t>Płyty drogowe muszą spełniać właściwości użytkowe opisane w tabeli nr 1.</w:t>
      </w:r>
      <w:bookmarkEnd w:id="0"/>
    </w:p>
    <w:p w14:paraId="681B6666" w14:textId="77777777" w:rsidR="00823071" w:rsidRDefault="00000000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Tabela nr.1 </w:t>
      </w:r>
    </w:p>
    <w:tbl>
      <w:tblPr>
        <w:tblW w:w="679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7"/>
        <w:gridCol w:w="2550"/>
      </w:tblGrid>
      <w:tr w:rsidR="00E37E7E" w14:paraId="25E0AFE4" w14:textId="77777777" w:rsidTr="00E37E7E">
        <w:trPr>
          <w:trHeight w:val="589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43FA7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Zasadnicze charakterystyki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7AD963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Deklarowane właściwości użytkowe</w:t>
            </w:r>
          </w:p>
        </w:tc>
      </w:tr>
      <w:tr w:rsidR="00E37E7E" w14:paraId="706D3325" w14:textId="77777777" w:rsidTr="00E37E7E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8823D" w14:textId="77777777" w:rsidR="00E37E7E" w:rsidRDefault="00E37E7E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Odchyłka od wymiarów nominalnych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- długość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- szerokość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- grubość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931C8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pacing w:val="-3"/>
                <w:sz w:val="16"/>
              </w:rPr>
              <w:t>wg PN-EN 13369:2018-05</w:t>
            </w:r>
          </w:p>
          <w:p w14:paraId="07379469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± 30 mm;</w:t>
            </w:r>
            <w:r>
              <w:rPr>
                <w:rFonts w:ascii="Arial" w:hAnsi="Arial"/>
                <w:sz w:val="16"/>
                <w:szCs w:val="16"/>
              </w:rPr>
              <w:br/>
              <w:t>+ 15 mm, - 10 mm;</w:t>
            </w:r>
            <w:r>
              <w:rPr>
                <w:rFonts w:ascii="Arial" w:hAnsi="Arial"/>
                <w:sz w:val="16"/>
                <w:szCs w:val="16"/>
              </w:rPr>
              <w:br/>
              <w:t>+10 mm, - 5 mm;</w:t>
            </w:r>
          </w:p>
        </w:tc>
      </w:tr>
      <w:tr w:rsidR="00E37E7E" w14:paraId="53C95293" w14:textId="77777777" w:rsidTr="00E37E7E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FFBA4" w14:textId="77777777" w:rsidR="00E37E7E" w:rsidRDefault="00E37E7E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Wytrzymałość na ściskanie, klasa betonu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759D52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wg PN-EN 206+A1:2016-12                  ≥ C30/37                                               </w:t>
            </w:r>
          </w:p>
        </w:tc>
      </w:tr>
      <w:tr w:rsidR="00E37E7E" w14:paraId="1D4290C1" w14:textId="77777777" w:rsidTr="00E37E7E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1A432" w14:textId="77777777" w:rsidR="00E37E7E" w:rsidRDefault="00E37E7E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Nasiąkliwość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5075A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wg PN-B-06250:1988                             ≤ 5 % (m/m)</w:t>
            </w:r>
          </w:p>
        </w:tc>
      </w:tr>
      <w:tr w:rsidR="00E37E7E" w14:paraId="4375656C" w14:textId="77777777" w:rsidTr="00E37E7E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B7F9A2" w14:textId="77777777" w:rsidR="00E37E7E" w:rsidRDefault="00E37E7E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Odporność na działanie mrozu, stopień mrozoodporności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07433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wg </w:t>
            </w:r>
            <w:r>
              <w:rPr>
                <w:rFonts w:ascii="Arial" w:hAnsi="Arial"/>
                <w:sz w:val="16"/>
              </w:rPr>
              <w:t xml:space="preserve">PN-B-06265:2018-10                        </w:t>
            </w:r>
            <w:r>
              <w:rPr>
                <w:rFonts w:ascii="Arial" w:hAnsi="Arial"/>
                <w:sz w:val="16"/>
                <w:szCs w:val="16"/>
              </w:rPr>
              <w:t>≥ F150 do zastosowań stałych</w:t>
            </w:r>
          </w:p>
          <w:p w14:paraId="64A692C8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≥ F100 do zastosowań tymczasowych</w:t>
            </w:r>
          </w:p>
        </w:tc>
      </w:tr>
      <w:tr w:rsidR="00E37E7E" w14:paraId="25FF234D" w14:textId="77777777" w:rsidTr="00E37E7E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0AD44" w14:textId="77777777" w:rsidR="00E37E7E" w:rsidRDefault="00E37E7E">
            <w:pPr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Odporność na ścieranie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3B2B0" w14:textId="77777777" w:rsidR="00E37E7E" w:rsidRDefault="00E37E7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wg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PN-EN 1339:2005                            do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zastosowań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stałych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Arial" w:hAnsi="Arial"/>
                <w:sz w:val="16"/>
                <w:szCs w:val="16"/>
                <w:lang w:val="en-US"/>
              </w:rPr>
              <w:br/>
              <w:t>≤ 18 000 / 5 000 mm</w:t>
            </w:r>
            <w:r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/mm</w:t>
            </w:r>
            <w:r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E37E7E" w14:paraId="1132CC1E" w14:textId="77777777" w:rsidTr="00E37E7E">
        <w:trPr>
          <w:trHeight w:val="283"/>
          <w:jc w:val="center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A011C" w14:textId="77777777" w:rsidR="00E37E7E" w:rsidRDefault="00E37E7E">
            <w:pPr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Grubość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otuliny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prętów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zbrojeniowych</w:t>
            </w:r>
            <w:proofErr w:type="spellEnd"/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97B97" w14:textId="77777777" w:rsidR="00E37E7E" w:rsidRDefault="00E37E7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30 ± 5 mm</w:t>
            </w:r>
          </w:p>
        </w:tc>
      </w:tr>
    </w:tbl>
    <w:p w14:paraId="64CD52F1" w14:textId="77777777" w:rsidR="00823071" w:rsidRDefault="00000000">
      <w:pPr>
        <w:spacing w:before="240" w:line="360" w:lineRule="auto"/>
        <w:contextualSpacing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Tabela nr 2</w:t>
      </w:r>
    </w:p>
    <w:tbl>
      <w:tblPr>
        <w:tblpPr w:leftFromText="141" w:rightFromText="141" w:vertAnchor="text" w:tblpY="1"/>
        <w:tblOverlap w:val="never"/>
        <w:tblW w:w="988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3"/>
        <w:gridCol w:w="4306"/>
      </w:tblGrid>
      <w:tr w:rsidR="003D5193" w14:paraId="2C853DA9" w14:textId="77777777" w:rsidTr="003D5193">
        <w:tc>
          <w:tcPr>
            <w:tcW w:w="98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180D11" w14:textId="742F9B27" w:rsidR="003D5193" w:rsidRDefault="003D5193" w:rsidP="003D5193">
            <w:pPr>
              <w:pStyle w:val="Zawartotabeli"/>
              <w:spacing w:after="1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Dostawa bez palet zwrotnych</w:t>
            </w:r>
          </w:p>
        </w:tc>
      </w:tr>
      <w:tr w:rsidR="003D5193" w14:paraId="6CB36F96" w14:textId="77777777" w:rsidTr="003D5193">
        <w:tc>
          <w:tcPr>
            <w:tcW w:w="5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B9DFD9" w14:textId="77777777" w:rsidR="003D5193" w:rsidRP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  <w:b/>
                <w:bCs/>
              </w:rPr>
            </w:pPr>
            <w:r w:rsidRPr="003D5193">
              <w:rPr>
                <w:rFonts w:ascii="Times New Roman" w:hAnsi="Times New Roman"/>
                <w:b/>
                <w:bCs/>
              </w:rPr>
              <w:t>Sołectwo (miejsce dostawy)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CD3C96" w14:textId="77777777" w:rsidR="003D5193" w:rsidRP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  <w:b/>
                <w:bCs/>
              </w:rPr>
            </w:pPr>
            <w:r w:rsidRPr="003D5193">
              <w:rPr>
                <w:rFonts w:ascii="Times New Roman" w:hAnsi="Times New Roman"/>
                <w:b/>
                <w:bCs/>
              </w:rPr>
              <w:t>Ilość płyt (szt.)</w:t>
            </w:r>
          </w:p>
        </w:tc>
      </w:tr>
      <w:tr w:rsidR="003D5193" w14:paraId="3CC9FBAC" w14:textId="77777777" w:rsidTr="003D5193">
        <w:tc>
          <w:tcPr>
            <w:tcW w:w="5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CCD078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Wytomyśl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66528D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</w:tr>
      <w:tr w:rsidR="003D5193" w14:paraId="6B2B022E" w14:textId="77777777" w:rsidTr="003D5193">
        <w:tc>
          <w:tcPr>
            <w:tcW w:w="5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C8C655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Kozie Laski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6D8458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</w:tr>
      <w:tr w:rsidR="003D5193" w14:paraId="7E9D7154" w14:textId="77777777" w:rsidTr="003D5193">
        <w:tc>
          <w:tcPr>
            <w:tcW w:w="98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AE650F" w14:textId="067E25E6" w:rsidR="003D5193" w:rsidRDefault="003D5193" w:rsidP="003D5193">
            <w:pPr>
              <w:pStyle w:val="Zawartotabeli"/>
              <w:spacing w:after="160"/>
              <w:ind w:right="-8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Dostawa z paletami zwrotnymi</w:t>
            </w:r>
          </w:p>
        </w:tc>
      </w:tr>
      <w:tr w:rsidR="003D5193" w14:paraId="7738E253" w14:textId="77777777" w:rsidTr="003D5193">
        <w:tc>
          <w:tcPr>
            <w:tcW w:w="5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E907D42" w14:textId="77777777" w:rsidR="003D5193" w:rsidRP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  <w:b/>
                <w:bCs/>
              </w:rPr>
            </w:pPr>
            <w:r w:rsidRPr="003D5193">
              <w:rPr>
                <w:rFonts w:ascii="Times New Roman" w:hAnsi="Times New Roman"/>
                <w:b/>
                <w:bCs/>
              </w:rPr>
              <w:t>Sołectwo (miejsce dostawy)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222B88" w14:textId="77777777" w:rsidR="003D5193" w:rsidRP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  <w:b/>
                <w:bCs/>
              </w:rPr>
            </w:pPr>
            <w:r w:rsidRPr="003D5193">
              <w:rPr>
                <w:rFonts w:ascii="Times New Roman" w:hAnsi="Times New Roman"/>
                <w:b/>
                <w:bCs/>
              </w:rPr>
              <w:t>Ilość płyt (szt.)</w:t>
            </w:r>
          </w:p>
        </w:tc>
      </w:tr>
      <w:tr w:rsidR="003D5193" w14:paraId="1731E33B" w14:textId="77777777" w:rsidTr="003D5193">
        <w:tc>
          <w:tcPr>
            <w:tcW w:w="5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C4F8076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Paproć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10027E0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</w:tr>
      <w:tr w:rsidR="003D5193" w14:paraId="0574E277" w14:textId="77777777" w:rsidTr="003D5193">
        <w:tc>
          <w:tcPr>
            <w:tcW w:w="5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E70AC0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Nowa Róża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944A0F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</w:tr>
      <w:tr w:rsidR="003D5193" w14:paraId="5566456F" w14:textId="77777777" w:rsidTr="003D5193">
        <w:tc>
          <w:tcPr>
            <w:tcW w:w="5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20ACAB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Jastrzębsko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08D1A3A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</w:tr>
      <w:tr w:rsidR="003D5193" w14:paraId="0D712736" w14:textId="77777777" w:rsidTr="003D5193">
        <w:tc>
          <w:tcPr>
            <w:tcW w:w="5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829554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Bukowiec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FA7A7D5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</w:tr>
      <w:tr w:rsidR="003D5193" w14:paraId="13924202" w14:textId="77777777" w:rsidTr="003D5193">
        <w:tc>
          <w:tcPr>
            <w:tcW w:w="5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F9F9B0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Sękowo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CC22F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</w:tr>
      <w:tr w:rsidR="003D5193" w14:paraId="5ED15F0D" w14:textId="77777777" w:rsidTr="003D5193">
        <w:tc>
          <w:tcPr>
            <w:tcW w:w="5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FAF4BB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Sękowo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28B9800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3D5193" w14:paraId="3952C159" w14:textId="77777777" w:rsidTr="003D5193">
        <w:tc>
          <w:tcPr>
            <w:tcW w:w="5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384CF1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Sątopy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EC7D84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</w:tr>
      <w:tr w:rsidR="003D5193" w14:paraId="16009939" w14:textId="77777777" w:rsidTr="003D5193">
        <w:tc>
          <w:tcPr>
            <w:tcW w:w="5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D03798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Boruja Kościelna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F187E6" w14:textId="77777777" w:rsidR="003D5193" w:rsidRDefault="003D5193" w:rsidP="003D5193">
            <w:pPr>
              <w:pStyle w:val="Zawartotabeli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</w:tbl>
    <w:p w14:paraId="4BC2D1FD" w14:textId="33AD3804" w:rsidR="00CF4192" w:rsidRDefault="003D5193">
      <w:pPr>
        <w:spacing w:before="240" w:line="360" w:lineRule="auto"/>
        <w:contextualSpacing/>
        <w:rPr>
          <w:rFonts w:hint="eastAsia"/>
        </w:rPr>
      </w:pPr>
      <w:r>
        <w:br w:type="textWrapping" w:clear="all"/>
      </w:r>
    </w:p>
    <w:p w14:paraId="07A16E24" w14:textId="77777777" w:rsidR="00CF4192" w:rsidRDefault="00CF4192" w:rsidP="00CF4192">
      <w:pPr>
        <w:spacing w:before="240" w:line="360" w:lineRule="auto"/>
        <w:contextualSpacing/>
        <w:jc w:val="both"/>
        <w:rPr>
          <w:rFonts w:hint="eastAsia"/>
        </w:rPr>
      </w:pPr>
      <w:r>
        <w:t>Jednocześnie Zamawiający wyjaśnia, że:</w:t>
      </w:r>
    </w:p>
    <w:p w14:paraId="4470ABB1" w14:textId="05500DEB" w:rsidR="00CF4192" w:rsidRDefault="00CF4192" w:rsidP="00CF4192">
      <w:pPr>
        <w:pStyle w:val="Akapitzlist"/>
        <w:numPr>
          <w:ilvl w:val="0"/>
          <w:numId w:val="1"/>
        </w:numPr>
        <w:spacing w:before="240" w:line="360" w:lineRule="auto"/>
        <w:contextualSpacing/>
        <w:jc w:val="both"/>
        <w:rPr>
          <w:rFonts w:hint="eastAsia"/>
        </w:rPr>
      </w:pPr>
      <w:r w:rsidRPr="00CF4192">
        <w:t>Zamawiaj</w:t>
      </w:r>
      <w:r w:rsidRPr="00CF4192">
        <w:rPr>
          <w:rFonts w:hint="cs"/>
        </w:rPr>
        <w:t>ą</w:t>
      </w:r>
      <w:r w:rsidRPr="00CF4192">
        <w:t>cy nie posiada projektu p</w:t>
      </w:r>
      <w:r w:rsidRPr="00CF4192">
        <w:rPr>
          <w:rFonts w:hint="cs"/>
        </w:rPr>
        <w:t>ł</w:t>
      </w:r>
      <w:r w:rsidRPr="00CF4192">
        <w:t>yt. P</w:t>
      </w:r>
      <w:r w:rsidRPr="00CF4192">
        <w:rPr>
          <w:rFonts w:hint="cs"/>
        </w:rPr>
        <w:t>ł</w:t>
      </w:r>
      <w:r w:rsidRPr="00CF4192">
        <w:t>yty powinny by</w:t>
      </w:r>
      <w:r w:rsidRPr="00CF4192">
        <w:rPr>
          <w:rFonts w:hint="cs"/>
        </w:rPr>
        <w:t>ć</w:t>
      </w:r>
      <w:r w:rsidRPr="00CF4192">
        <w:t xml:space="preserve"> wykonane zgodnie z obowi</w:t>
      </w:r>
      <w:r w:rsidRPr="00CF4192">
        <w:rPr>
          <w:rFonts w:hint="cs"/>
        </w:rPr>
        <w:t>ą</w:t>
      </w:r>
      <w:r w:rsidRPr="00CF4192">
        <w:t>zuj</w:t>
      </w:r>
      <w:r w:rsidRPr="00CF4192">
        <w:rPr>
          <w:rFonts w:hint="cs"/>
        </w:rPr>
        <w:t>ą</w:t>
      </w:r>
      <w:r w:rsidRPr="00CF4192">
        <w:t>cym prawem, wiedz</w:t>
      </w:r>
      <w:r w:rsidRPr="00CF4192">
        <w:rPr>
          <w:rFonts w:hint="cs"/>
        </w:rPr>
        <w:t>ą</w:t>
      </w:r>
      <w:r w:rsidRPr="00CF4192">
        <w:t xml:space="preserve"> techniczn</w:t>
      </w:r>
      <w:r w:rsidRPr="00CF4192">
        <w:rPr>
          <w:rFonts w:hint="cs"/>
        </w:rPr>
        <w:t>ą</w:t>
      </w:r>
      <w:r w:rsidRPr="00CF4192">
        <w:t xml:space="preserve"> i w</w:t>
      </w:r>
      <w:r w:rsidRPr="00CF4192">
        <w:rPr>
          <w:rFonts w:hint="cs"/>
        </w:rPr>
        <w:t>ł</w:t>
      </w:r>
      <w:r w:rsidRPr="00CF4192">
        <w:t>a</w:t>
      </w:r>
      <w:r w:rsidRPr="00CF4192">
        <w:rPr>
          <w:rFonts w:hint="cs"/>
        </w:rPr>
        <w:t>ś</w:t>
      </w:r>
      <w:r w:rsidRPr="00CF4192">
        <w:t>ciwo</w:t>
      </w:r>
      <w:r w:rsidRPr="00CF4192">
        <w:rPr>
          <w:rFonts w:hint="cs"/>
        </w:rPr>
        <w:t>ś</w:t>
      </w:r>
      <w:r w:rsidRPr="00CF4192">
        <w:t>ciami u</w:t>
      </w:r>
      <w:r w:rsidRPr="00CF4192">
        <w:rPr>
          <w:rFonts w:hint="cs"/>
        </w:rPr>
        <w:t>ż</w:t>
      </w:r>
      <w:r w:rsidRPr="00CF4192">
        <w:t xml:space="preserve">ytkowymi wskazanymi </w:t>
      </w:r>
      <w:r>
        <w:br/>
      </w:r>
      <w:r w:rsidRPr="00CF4192">
        <w:t xml:space="preserve">w Opisie Przedmiotu </w:t>
      </w:r>
      <w:r w:rsidRPr="00CF4192">
        <w:rPr>
          <w:rFonts w:ascii="Times New Roman" w:hAnsi="Times New Roman" w:cs="Times New Roman"/>
        </w:rPr>
        <w:t>Zamówienia</w:t>
      </w:r>
      <w:r w:rsidRPr="00CF4192">
        <w:t>. Po stronie producenta p</w:t>
      </w:r>
      <w:r w:rsidRPr="00CF4192">
        <w:rPr>
          <w:rFonts w:hint="cs"/>
        </w:rPr>
        <w:t>ł</w:t>
      </w:r>
      <w:r w:rsidRPr="00CF4192">
        <w:t>yt le</w:t>
      </w:r>
      <w:r w:rsidRPr="00CF4192">
        <w:rPr>
          <w:rFonts w:hint="cs"/>
        </w:rPr>
        <w:t>ż</w:t>
      </w:r>
      <w:r w:rsidRPr="00CF4192">
        <w:t>y sporz</w:t>
      </w:r>
      <w:r w:rsidRPr="00CF4192">
        <w:rPr>
          <w:rFonts w:hint="cs"/>
        </w:rPr>
        <w:t>ą</w:t>
      </w:r>
      <w:r w:rsidRPr="00CF4192">
        <w:t>dzenie projektu, je</w:t>
      </w:r>
      <w:r w:rsidRPr="00CF4192">
        <w:rPr>
          <w:rFonts w:hint="cs"/>
        </w:rPr>
        <w:t>ś</w:t>
      </w:r>
      <w:r w:rsidRPr="00CF4192">
        <w:t>li jest to niezb</w:t>
      </w:r>
      <w:r w:rsidRPr="00CF4192">
        <w:rPr>
          <w:rFonts w:hint="cs"/>
        </w:rPr>
        <w:t>ę</w:t>
      </w:r>
      <w:r w:rsidRPr="00CF4192">
        <w:t>dne do ich produkcji</w:t>
      </w:r>
      <w:r>
        <w:t>;</w:t>
      </w:r>
    </w:p>
    <w:p w14:paraId="7E24DE80" w14:textId="4F8A3CEC" w:rsidR="00CF4192" w:rsidRDefault="00CF4192" w:rsidP="00CF4192">
      <w:pPr>
        <w:pStyle w:val="Akapitzlist"/>
        <w:numPr>
          <w:ilvl w:val="0"/>
          <w:numId w:val="1"/>
        </w:numPr>
        <w:spacing w:before="240" w:line="360" w:lineRule="auto"/>
        <w:contextualSpacing/>
        <w:jc w:val="both"/>
        <w:rPr>
          <w:rFonts w:hint="eastAsia"/>
        </w:rPr>
      </w:pPr>
      <w:r w:rsidRPr="00CF4192">
        <w:t>p</w:t>
      </w:r>
      <w:r w:rsidRPr="00CF4192">
        <w:rPr>
          <w:rFonts w:hint="cs"/>
        </w:rPr>
        <w:t>ł</w:t>
      </w:r>
      <w:r w:rsidRPr="00CF4192">
        <w:t>yty, obj</w:t>
      </w:r>
      <w:r w:rsidRPr="00CF4192">
        <w:rPr>
          <w:rFonts w:hint="cs"/>
        </w:rPr>
        <w:t>ę</w:t>
      </w:r>
      <w:r w:rsidRPr="00CF4192">
        <w:t xml:space="preserve">te przedmiotem </w:t>
      </w:r>
      <w:r w:rsidRPr="00CF4192">
        <w:rPr>
          <w:rFonts w:ascii="Times New Roman" w:hAnsi="Times New Roman" w:cs="Times New Roman"/>
        </w:rPr>
        <w:t>zam</w:t>
      </w:r>
      <w:r>
        <w:rPr>
          <w:rFonts w:ascii="Times New Roman" w:hAnsi="Times New Roman" w:cs="Times New Roman"/>
        </w:rPr>
        <w:t>ó</w:t>
      </w:r>
      <w:r w:rsidRPr="00CF4192">
        <w:rPr>
          <w:rFonts w:ascii="Times New Roman" w:hAnsi="Times New Roman" w:cs="Times New Roman"/>
        </w:rPr>
        <w:t>wienia</w:t>
      </w:r>
      <w:r w:rsidRPr="00CF4192">
        <w:t>, s</w:t>
      </w:r>
      <w:r w:rsidRPr="00CF4192">
        <w:rPr>
          <w:rFonts w:hint="cs"/>
        </w:rPr>
        <w:t>ł</w:t>
      </w:r>
      <w:r w:rsidRPr="00CF4192">
        <w:t>u</w:t>
      </w:r>
      <w:r w:rsidRPr="00CF4192">
        <w:rPr>
          <w:rFonts w:hint="cs"/>
        </w:rPr>
        <w:t>ż</w:t>
      </w:r>
      <w:r w:rsidRPr="00CF4192">
        <w:t>y</w:t>
      </w:r>
      <w:r w:rsidRPr="00CF4192">
        <w:rPr>
          <w:rFonts w:hint="cs"/>
        </w:rPr>
        <w:t>ć</w:t>
      </w:r>
      <w:r w:rsidRPr="00CF4192">
        <w:t xml:space="preserve"> maj</w:t>
      </w:r>
      <w:r w:rsidRPr="00CF4192">
        <w:rPr>
          <w:rFonts w:hint="cs"/>
        </w:rPr>
        <w:t>ą</w:t>
      </w:r>
      <w:r w:rsidRPr="00CF4192">
        <w:t xml:space="preserve"> do budowy </w:t>
      </w:r>
      <w:r w:rsidRPr="00CF4192"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</w:rPr>
        <w:t>ó</w:t>
      </w:r>
      <w:r w:rsidRPr="00CF4192">
        <w:rPr>
          <w:rFonts w:ascii="Times New Roman" w:hAnsi="Times New Roman" w:cs="Times New Roman"/>
        </w:rPr>
        <w:t>g</w:t>
      </w:r>
      <w:r w:rsidRPr="00CF4192">
        <w:t xml:space="preserve"> metod</w:t>
      </w:r>
      <w:r w:rsidRPr="00CF4192">
        <w:rPr>
          <w:rFonts w:hint="cs"/>
        </w:rPr>
        <w:t>ą</w:t>
      </w:r>
      <w:r w:rsidRPr="00CF4192">
        <w:t xml:space="preserve"> </w:t>
      </w:r>
      <w:r w:rsidRPr="00CF4192">
        <w:rPr>
          <w:rFonts w:hint="cs"/>
        </w:rPr>
        <w:t>ś</w:t>
      </w:r>
      <w:r w:rsidRPr="00CF4192">
        <w:t>ladow</w:t>
      </w:r>
      <w:r w:rsidRPr="00CF4192">
        <w:rPr>
          <w:rFonts w:hint="cs"/>
        </w:rPr>
        <w:t>ą</w:t>
      </w:r>
      <w:r w:rsidRPr="00CF4192">
        <w:t>, st</w:t>
      </w:r>
      <w:r w:rsidRPr="00CF4192">
        <w:rPr>
          <w:rFonts w:hint="cs"/>
        </w:rPr>
        <w:t>ą</w:t>
      </w:r>
      <w:r w:rsidRPr="00CF4192">
        <w:t>d istotny jest ich rozmiar i forma monta</w:t>
      </w:r>
      <w:r w:rsidRPr="00CF4192">
        <w:rPr>
          <w:rFonts w:hint="cs"/>
        </w:rPr>
        <w:t>ż</w:t>
      </w:r>
      <w:r w:rsidRPr="00CF4192">
        <w:t xml:space="preserve">u na zasadzie </w:t>
      </w:r>
      <w:r w:rsidRPr="00CF4192"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/>
        </w:rPr>
        <w:t>ó</w:t>
      </w:r>
      <w:r w:rsidRPr="00CF4192">
        <w:rPr>
          <w:rFonts w:ascii="Times New Roman" w:hAnsi="Times New Roman" w:cs="Times New Roman"/>
        </w:rPr>
        <w:t>ro</w:t>
      </w:r>
      <w:r w:rsidRPr="00CF4192">
        <w:t>-wpust.</w:t>
      </w:r>
    </w:p>
    <w:sectPr w:rsidR="00CF419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23E81"/>
    <w:multiLevelType w:val="hybridMultilevel"/>
    <w:tmpl w:val="B12EE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24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71"/>
    <w:rsid w:val="003D5193"/>
    <w:rsid w:val="005716C6"/>
    <w:rsid w:val="005F0F65"/>
    <w:rsid w:val="00823071"/>
    <w:rsid w:val="00A5510C"/>
    <w:rsid w:val="00AF0142"/>
    <w:rsid w:val="00CF4192"/>
    <w:rsid w:val="00E155DE"/>
    <w:rsid w:val="00E37E7E"/>
    <w:rsid w:val="00F37143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6388"/>
  <w15:docId w15:val="{2BDD474A-F911-4B12-B44E-4929DCE3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szs4</cp:lastModifiedBy>
  <cp:revision>5</cp:revision>
  <cp:lastPrinted>2022-05-31T08:37:00Z</cp:lastPrinted>
  <dcterms:created xsi:type="dcterms:W3CDTF">2023-05-23T13:04:00Z</dcterms:created>
  <dcterms:modified xsi:type="dcterms:W3CDTF">2023-05-24T09:19:00Z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