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BC" w:rsidRPr="00766808" w:rsidRDefault="00294D6A" w:rsidP="002B0EE0">
      <w:pPr>
        <w:spacing w:line="360" w:lineRule="auto"/>
        <w:rPr>
          <w:rFonts w:cs="Times New Roman"/>
          <w:spacing w:val="20"/>
          <w:sz w:val="24"/>
          <w:szCs w:val="24"/>
        </w:rPr>
      </w:pPr>
      <w:r w:rsidRPr="00766808">
        <w:rPr>
          <w:rFonts w:cs="Times New Roman"/>
          <w:spacing w:val="20"/>
          <w:sz w:val="24"/>
          <w:szCs w:val="24"/>
        </w:rPr>
        <w:t xml:space="preserve">Sandomierz, </w:t>
      </w:r>
      <w:r w:rsidR="00A41D87" w:rsidRPr="00766808">
        <w:rPr>
          <w:rFonts w:cs="Times New Roman"/>
          <w:spacing w:val="20"/>
          <w:sz w:val="24"/>
          <w:szCs w:val="24"/>
        </w:rPr>
        <w:t>18.01.2021</w:t>
      </w:r>
      <w:r w:rsidRPr="00766808">
        <w:rPr>
          <w:rFonts w:cs="Times New Roman"/>
          <w:spacing w:val="20"/>
          <w:sz w:val="24"/>
          <w:szCs w:val="24"/>
        </w:rPr>
        <w:t>r.</w:t>
      </w:r>
    </w:p>
    <w:p w:rsidR="00BF71BC" w:rsidRPr="00766808" w:rsidRDefault="00BF71BC" w:rsidP="00766808">
      <w:pPr>
        <w:spacing w:after="0" w:line="360" w:lineRule="auto"/>
        <w:rPr>
          <w:rFonts w:cs="Times New Roman"/>
          <w:b/>
          <w:spacing w:val="20"/>
          <w:sz w:val="24"/>
          <w:szCs w:val="24"/>
        </w:rPr>
      </w:pPr>
      <w:r w:rsidRPr="00766808">
        <w:rPr>
          <w:rFonts w:cs="Times New Roman"/>
          <w:b/>
          <w:spacing w:val="20"/>
          <w:sz w:val="24"/>
          <w:szCs w:val="24"/>
        </w:rPr>
        <w:t>Zamawiający:</w:t>
      </w:r>
    </w:p>
    <w:p w:rsidR="00BF71BC" w:rsidRPr="00766808" w:rsidRDefault="00294D6A" w:rsidP="00766808">
      <w:pPr>
        <w:spacing w:after="0" w:line="360" w:lineRule="auto"/>
        <w:rPr>
          <w:rFonts w:cs="Times New Roman"/>
          <w:b/>
          <w:spacing w:val="20"/>
          <w:sz w:val="24"/>
          <w:szCs w:val="24"/>
        </w:rPr>
      </w:pPr>
      <w:r w:rsidRPr="00766808">
        <w:rPr>
          <w:rFonts w:cs="Times New Roman"/>
          <w:b/>
          <w:spacing w:val="20"/>
          <w:sz w:val="24"/>
          <w:szCs w:val="24"/>
        </w:rPr>
        <w:t>Gmina</w:t>
      </w:r>
      <w:r w:rsidR="00BF71BC" w:rsidRPr="00766808">
        <w:rPr>
          <w:rFonts w:cs="Times New Roman"/>
          <w:b/>
          <w:spacing w:val="20"/>
          <w:sz w:val="24"/>
          <w:szCs w:val="24"/>
        </w:rPr>
        <w:t xml:space="preserve"> Sandomierz</w:t>
      </w:r>
    </w:p>
    <w:p w:rsidR="00BF71BC" w:rsidRPr="00766808" w:rsidRDefault="00BF71BC" w:rsidP="00766808">
      <w:pPr>
        <w:spacing w:after="0" w:line="360" w:lineRule="auto"/>
        <w:rPr>
          <w:rFonts w:cs="Times New Roman"/>
          <w:b/>
          <w:spacing w:val="20"/>
          <w:sz w:val="24"/>
          <w:szCs w:val="24"/>
        </w:rPr>
      </w:pPr>
      <w:r w:rsidRPr="00766808">
        <w:rPr>
          <w:rFonts w:cs="Times New Roman"/>
          <w:b/>
          <w:spacing w:val="20"/>
          <w:sz w:val="24"/>
          <w:szCs w:val="24"/>
        </w:rPr>
        <w:t>Plac Poniatowskiego 3</w:t>
      </w:r>
    </w:p>
    <w:p w:rsidR="00BF71BC" w:rsidRPr="00766808" w:rsidRDefault="00BF71BC" w:rsidP="00766808">
      <w:pPr>
        <w:spacing w:after="0" w:line="360" w:lineRule="auto"/>
        <w:rPr>
          <w:rFonts w:cs="Times New Roman"/>
          <w:b/>
          <w:spacing w:val="20"/>
          <w:sz w:val="24"/>
          <w:szCs w:val="24"/>
        </w:rPr>
      </w:pPr>
      <w:r w:rsidRPr="00766808">
        <w:rPr>
          <w:rFonts w:cs="Times New Roman"/>
          <w:b/>
          <w:spacing w:val="20"/>
          <w:sz w:val="24"/>
          <w:szCs w:val="24"/>
        </w:rPr>
        <w:t>27-600 Sandomierz</w:t>
      </w:r>
    </w:p>
    <w:p w:rsidR="00EA2A88" w:rsidRPr="00766808" w:rsidRDefault="00EA2A88" w:rsidP="00766808">
      <w:pPr>
        <w:spacing w:line="360" w:lineRule="auto"/>
        <w:rPr>
          <w:rFonts w:cs="Times New Roman"/>
          <w:spacing w:val="20"/>
          <w:sz w:val="24"/>
          <w:szCs w:val="24"/>
        </w:rPr>
      </w:pPr>
      <w:bookmarkStart w:id="0" w:name="_GoBack"/>
      <w:bookmarkEnd w:id="0"/>
    </w:p>
    <w:p w:rsidR="00C220C3" w:rsidRPr="00766808" w:rsidRDefault="00A262E6" w:rsidP="00766808">
      <w:pPr>
        <w:spacing w:before="120" w:after="120" w:line="360" w:lineRule="auto"/>
        <w:ind w:left="360"/>
        <w:rPr>
          <w:rFonts w:eastAsia="Times New Roman" w:cs="Times New Roman"/>
          <w:i/>
          <w:color w:val="C0C0C0"/>
          <w:spacing w:val="20"/>
          <w:sz w:val="24"/>
          <w:szCs w:val="24"/>
          <w:lang w:eastAsia="pl-PL"/>
        </w:rPr>
      </w:pPr>
      <w:bookmarkStart w:id="1" w:name="_Hlk26886531"/>
      <w:r w:rsidRPr="00766808">
        <w:rPr>
          <w:rFonts w:eastAsia="Times New Roman" w:cs="Times New Roman"/>
          <w:b/>
          <w:spacing w:val="20"/>
          <w:sz w:val="24"/>
          <w:szCs w:val="24"/>
          <w:lang w:eastAsia="ar-SA"/>
        </w:rPr>
        <w:t xml:space="preserve">„Modernizacja miejskiego oświetlenia ulicznego na energooszczędne na terenie Miasta Sandomierza etap I </w:t>
      </w:r>
      <w:proofErr w:type="spellStart"/>
      <w:r w:rsidRPr="00766808">
        <w:rPr>
          <w:rFonts w:eastAsia="Times New Roman" w:cs="Times New Roman"/>
          <w:b/>
          <w:spacing w:val="20"/>
          <w:sz w:val="24"/>
          <w:szCs w:val="24"/>
          <w:lang w:eastAsia="ar-SA"/>
        </w:rPr>
        <w:t>i</w:t>
      </w:r>
      <w:proofErr w:type="spellEnd"/>
      <w:r w:rsidRPr="00766808">
        <w:rPr>
          <w:rFonts w:eastAsia="Times New Roman" w:cs="Times New Roman"/>
          <w:b/>
          <w:spacing w:val="20"/>
          <w:sz w:val="24"/>
          <w:szCs w:val="24"/>
          <w:lang w:eastAsia="ar-SA"/>
        </w:rPr>
        <w:t xml:space="preserve"> II” </w:t>
      </w:r>
      <w:r w:rsidRPr="00766808">
        <w:rPr>
          <w:rFonts w:eastAsia="Times New Roman" w:cs="Times New Roman"/>
          <w:bCs/>
          <w:spacing w:val="20"/>
          <w:sz w:val="24"/>
          <w:szCs w:val="24"/>
          <w:lang w:eastAsia="ar-SA"/>
        </w:rPr>
        <w:t xml:space="preserve">realizowanego </w:t>
      </w:r>
      <w:r w:rsidRPr="00766808">
        <w:rPr>
          <w:rFonts w:eastAsia="Times New Roman" w:cs="Times New Roman"/>
          <w:spacing w:val="20"/>
          <w:sz w:val="24"/>
          <w:szCs w:val="24"/>
          <w:lang w:eastAsia="pl-PL"/>
        </w:rPr>
        <w:t>w ramach naborów nr RPSW.03.04.00-IŻ.00-26-136/17 oraz RPSW.03.04.00-IŻ.00-26-035/18 dla Działania 3.4 Strategia Niskoemisyjna, wsparcie zrównoważonej multimodalnej mobilności miejskiej Regionalnego Programu Operacyjnego Województwa Świętokrzyskiego na lata 2014-2020 dla projektów dotyczących modernizacji oświetlenia ulicznego (ulic, placów, terenów publicznych) na energooszczędne.</w:t>
      </w:r>
      <w:r w:rsidR="00766808">
        <w:rPr>
          <w:rFonts w:eastAsia="Times New Roman" w:cs="Times New Roman"/>
          <w:i/>
          <w:color w:val="C0C0C0"/>
          <w:spacing w:val="20"/>
          <w:sz w:val="24"/>
          <w:szCs w:val="24"/>
          <w:lang w:eastAsia="pl-PL"/>
        </w:rPr>
        <w:t xml:space="preserve"> </w:t>
      </w:r>
      <w:r w:rsidRPr="00766808">
        <w:rPr>
          <w:rFonts w:cs="Times New Roman"/>
          <w:b/>
          <w:spacing w:val="20"/>
          <w:sz w:val="24"/>
          <w:szCs w:val="24"/>
        </w:rPr>
        <w:t xml:space="preserve">Znak sprawy: </w:t>
      </w:r>
      <w:r w:rsidRPr="00766808">
        <w:rPr>
          <w:rFonts w:eastAsia="Times New Roman" w:cs="Times New Roman"/>
          <w:spacing w:val="20"/>
          <w:sz w:val="24"/>
          <w:szCs w:val="24"/>
          <w:lang w:eastAsia="pl-PL"/>
        </w:rPr>
        <w:t>RZP.271.1.11.2020.DDR</w:t>
      </w:r>
    </w:p>
    <w:bookmarkEnd w:id="1"/>
    <w:p w:rsidR="00E53727" w:rsidRPr="00766808" w:rsidRDefault="00E53727" w:rsidP="00766808">
      <w:pPr>
        <w:spacing w:after="0" w:line="360" w:lineRule="auto"/>
        <w:rPr>
          <w:rFonts w:cs="Times New Roman"/>
          <w:b/>
          <w:spacing w:val="20"/>
          <w:sz w:val="24"/>
          <w:szCs w:val="24"/>
        </w:rPr>
      </w:pPr>
    </w:p>
    <w:p w:rsidR="00C220C3" w:rsidRPr="00766808" w:rsidRDefault="00EA2A88" w:rsidP="00766808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766808">
        <w:rPr>
          <w:rFonts w:eastAsia="Times New Roman" w:cs="Times New Roman"/>
          <w:b/>
          <w:bCs/>
          <w:iCs/>
          <w:spacing w:val="20"/>
          <w:sz w:val="24"/>
          <w:szCs w:val="24"/>
          <w:lang w:eastAsia="pl-PL"/>
        </w:rPr>
        <w:t>Treść zapytań i wyjaśnienia zapisów treści</w:t>
      </w:r>
      <w:r w:rsidR="00766808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r w:rsidRPr="00766808">
        <w:rPr>
          <w:rFonts w:eastAsia="Times New Roman" w:cs="Times New Roman"/>
          <w:b/>
          <w:bCs/>
          <w:iCs/>
          <w:spacing w:val="20"/>
          <w:sz w:val="24"/>
          <w:szCs w:val="24"/>
          <w:lang w:eastAsia="pl-PL"/>
        </w:rPr>
        <w:t>specyfikacji istotnych warunków zamówienia</w:t>
      </w:r>
    </w:p>
    <w:p w:rsidR="00EA2A88" w:rsidRPr="00766808" w:rsidRDefault="00EA2A88" w:rsidP="00766808">
      <w:pPr>
        <w:spacing w:before="100" w:beforeAutospacing="1" w:after="100" w:afterAutospacing="1" w:line="360" w:lineRule="auto"/>
        <w:ind w:firstLine="708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766808">
        <w:rPr>
          <w:rFonts w:eastAsia="Times New Roman" w:cs="Times New Roman"/>
          <w:spacing w:val="20"/>
          <w:sz w:val="24"/>
          <w:szCs w:val="24"/>
          <w:lang w:eastAsia="pl-PL"/>
        </w:rPr>
        <w:t>Zgodnie z art. 38 ust. 2</w:t>
      </w:r>
      <w:r w:rsidR="00D55C21" w:rsidRPr="00766808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r w:rsidRPr="00766808">
        <w:rPr>
          <w:rFonts w:eastAsia="Times New Roman" w:cs="Times New Roman"/>
          <w:spacing w:val="20"/>
          <w:sz w:val="24"/>
          <w:szCs w:val="24"/>
          <w:lang w:eastAsia="pl-PL"/>
        </w:rPr>
        <w:t xml:space="preserve"> ustawy z dnia 29 stycznia 2004 r. - Prawo zamówień p</w:t>
      </w:r>
      <w:r w:rsidR="000B70EA" w:rsidRPr="00766808">
        <w:rPr>
          <w:rFonts w:eastAsia="Times New Roman" w:cs="Times New Roman"/>
          <w:spacing w:val="20"/>
          <w:sz w:val="24"/>
          <w:szCs w:val="24"/>
          <w:lang w:eastAsia="pl-PL"/>
        </w:rPr>
        <w:t xml:space="preserve">ublicznych </w:t>
      </w:r>
      <w:r w:rsidR="00932B5C" w:rsidRPr="00766808">
        <w:rPr>
          <w:rFonts w:eastAsia="Times New Roman" w:cs="Times New Roman"/>
          <w:spacing w:val="20"/>
          <w:sz w:val="24"/>
          <w:szCs w:val="24"/>
          <w:lang w:eastAsia="pl-PL"/>
        </w:rPr>
        <w:t>(t.j. Dz. U. z 2019r., poz. 1843</w:t>
      </w:r>
      <w:r w:rsidRPr="00766808">
        <w:rPr>
          <w:rFonts w:eastAsia="Times New Roman" w:cs="Times New Roman"/>
          <w:spacing w:val="20"/>
          <w:sz w:val="24"/>
          <w:szCs w:val="24"/>
          <w:lang w:eastAsia="pl-PL"/>
        </w:rPr>
        <w:t>),</w:t>
      </w:r>
      <w:r w:rsidR="0085440D" w:rsidRPr="00766808">
        <w:rPr>
          <w:rFonts w:eastAsia="Times New Roman" w:cs="Times New Roman"/>
          <w:spacing w:val="20"/>
          <w:sz w:val="24"/>
          <w:szCs w:val="24"/>
          <w:lang w:eastAsia="pl-PL"/>
        </w:rPr>
        <w:t xml:space="preserve"> zw. dalej ustawą PZP,</w:t>
      </w:r>
      <w:r w:rsidRPr="00766808">
        <w:rPr>
          <w:rFonts w:eastAsia="Times New Roman" w:cs="Times New Roman"/>
          <w:spacing w:val="20"/>
          <w:sz w:val="24"/>
          <w:szCs w:val="24"/>
          <w:lang w:eastAsia="pl-PL"/>
        </w:rPr>
        <w:t xml:space="preserve"> Zamawiający</w:t>
      </w:r>
      <w:r w:rsidR="0085440D" w:rsidRPr="00766808">
        <w:rPr>
          <w:rFonts w:eastAsia="Times New Roman" w:cs="Times New Roman"/>
          <w:spacing w:val="20"/>
          <w:sz w:val="24"/>
          <w:szCs w:val="24"/>
          <w:lang w:eastAsia="pl-PL"/>
        </w:rPr>
        <w:t xml:space="preserve"> przekazuje wszystkim Wykonawcom uczestniczącym w postępowaniu treść zapytań i wyjaśnień treści</w:t>
      </w:r>
      <w:r w:rsidRPr="00766808">
        <w:rPr>
          <w:rFonts w:eastAsia="Times New Roman" w:cs="Times New Roman"/>
          <w:spacing w:val="20"/>
          <w:sz w:val="24"/>
          <w:szCs w:val="24"/>
          <w:lang w:eastAsia="pl-PL"/>
        </w:rPr>
        <w:t xml:space="preserve"> specyfikacji istotnych warunków zamówieni</w:t>
      </w:r>
      <w:r w:rsidR="00C220C3" w:rsidRPr="00766808">
        <w:rPr>
          <w:rFonts w:eastAsia="Times New Roman" w:cs="Times New Roman"/>
          <w:spacing w:val="20"/>
          <w:sz w:val="24"/>
          <w:szCs w:val="24"/>
          <w:lang w:eastAsia="pl-PL"/>
        </w:rPr>
        <w:t>a (SIWZ).</w:t>
      </w:r>
    </w:p>
    <w:p w:rsidR="00A41D87" w:rsidRPr="00766808" w:rsidRDefault="00A41D87" w:rsidP="00766808">
      <w:pPr>
        <w:suppressAutoHyphens/>
        <w:autoSpaceDN w:val="0"/>
        <w:spacing w:before="240" w:after="120" w:line="360" w:lineRule="auto"/>
        <w:rPr>
          <w:rFonts w:eastAsia="Calibri" w:cs="Times New Roman"/>
          <w:b/>
          <w:bCs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bCs/>
          <w:color w:val="000000"/>
          <w:spacing w:val="20"/>
          <w:sz w:val="24"/>
          <w:szCs w:val="24"/>
          <w:lang w:eastAsia="pl-PL"/>
        </w:rPr>
        <w:t>Pytanie nr 1</w:t>
      </w:r>
    </w:p>
    <w:p w:rsidR="00A41D87" w:rsidRPr="00766808" w:rsidRDefault="007B521B" w:rsidP="00766808">
      <w:pPr>
        <w:autoSpaceDN w:val="0"/>
        <w:spacing w:after="120" w:line="360" w:lineRule="auto"/>
        <w:rPr>
          <w:rFonts w:eastAsia="Times New Roman" w:cs="Times New Roman"/>
          <w:i/>
          <w:iCs/>
          <w:spacing w:val="20"/>
          <w:sz w:val="24"/>
          <w:szCs w:val="24"/>
          <w:lang w:eastAsia="pl-PL"/>
        </w:rPr>
      </w:pPr>
      <w:r w:rsidRPr="00766808">
        <w:rPr>
          <w:rFonts w:eastAsia="Times New Roman" w:cs="Times New Roman"/>
          <w:i/>
          <w:iCs/>
          <w:spacing w:val="20"/>
          <w:sz w:val="24"/>
          <w:szCs w:val="24"/>
        </w:rPr>
        <w:t>„</w:t>
      </w:r>
      <w:r w:rsidR="00A41D87" w:rsidRPr="00766808">
        <w:rPr>
          <w:rFonts w:eastAsia="Times New Roman" w:cs="Times New Roman"/>
          <w:i/>
          <w:iCs/>
          <w:spacing w:val="20"/>
          <w:sz w:val="24"/>
          <w:szCs w:val="24"/>
        </w:rPr>
        <w:t>Norma IEC 63013 „Pakiety LED - Długoterminowe prognozowanie utrzymania strumienia świetlnego” jasno mówi w punkcie 4, że: „Dane do testu utrzymania strumienia świetlnego powinny być zebrane wg. metody opisanej w ANSI/IES LM-80-</w:t>
      </w:r>
      <w:r w:rsidR="00A41D87" w:rsidRPr="00766808">
        <w:rPr>
          <w:rFonts w:eastAsia="Times New Roman" w:cs="Times New Roman"/>
          <w:b/>
          <w:bCs/>
          <w:i/>
          <w:iCs/>
          <w:spacing w:val="20"/>
          <w:sz w:val="24"/>
          <w:szCs w:val="24"/>
        </w:rPr>
        <w:t>15</w:t>
      </w:r>
      <w:r w:rsidR="00A41D87" w:rsidRPr="00766808">
        <w:rPr>
          <w:rFonts w:eastAsia="Times New Roman" w:cs="Times New Roman"/>
          <w:i/>
          <w:iCs/>
          <w:spacing w:val="20"/>
          <w:sz w:val="24"/>
          <w:szCs w:val="24"/>
        </w:rPr>
        <w:t>. Dane zebrane wg. IES LM-80-</w:t>
      </w:r>
      <w:r w:rsidR="00A41D87" w:rsidRPr="00766808">
        <w:rPr>
          <w:rFonts w:eastAsia="Times New Roman" w:cs="Times New Roman"/>
          <w:b/>
          <w:bCs/>
          <w:i/>
          <w:iCs/>
          <w:spacing w:val="20"/>
          <w:sz w:val="24"/>
          <w:szCs w:val="24"/>
        </w:rPr>
        <w:t>08</w:t>
      </w:r>
      <w:r w:rsidR="00A41D87" w:rsidRPr="00766808">
        <w:rPr>
          <w:rFonts w:eastAsia="Times New Roman" w:cs="Times New Roman"/>
          <w:i/>
          <w:iCs/>
          <w:spacing w:val="20"/>
          <w:sz w:val="24"/>
          <w:szCs w:val="24"/>
        </w:rPr>
        <w:t xml:space="preserve"> są również akceptowalne”. Także referencyjną powinna w specyfikacji być metoda </w:t>
      </w:r>
      <w:r w:rsidR="00A41D87" w:rsidRPr="00766808">
        <w:rPr>
          <w:rFonts w:eastAsia="Times New Roman" w:cs="Times New Roman"/>
          <w:i/>
          <w:iCs/>
          <w:spacing w:val="20"/>
          <w:sz w:val="24"/>
          <w:szCs w:val="24"/>
        </w:rPr>
        <w:lastRenderedPageBreak/>
        <w:t>ANSI/IES LM-80-</w:t>
      </w:r>
      <w:r w:rsidR="00A41D87" w:rsidRPr="00766808">
        <w:rPr>
          <w:rFonts w:eastAsia="Times New Roman" w:cs="Times New Roman"/>
          <w:b/>
          <w:bCs/>
          <w:i/>
          <w:iCs/>
          <w:spacing w:val="20"/>
          <w:sz w:val="24"/>
          <w:szCs w:val="24"/>
        </w:rPr>
        <w:t>15</w:t>
      </w:r>
      <w:r w:rsidR="00A41D87" w:rsidRPr="00766808">
        <w:rPr>
          <w:rFonts w:eastAsia="Times New Roman" w:cs="Times New Roman"/>
          <w:i/>
          <w:iCs/>
          <w:spacing w:val="20"/>
          <w:sz w:val="24"/>
          <w:szCs w:val="24"/>
        </w:rPr>
        <w:t>, a nie IES LM-80-</w:t>
      </w:r>
      <w:r w:rsidR="00A41D87" w:rsidRPr="00766808">
        <w:rPr>
          <w:rFonts w:eastAsia="Times New Roman" w:cs="Times New Roman"/>
          <w:b/>
          <w:bCs/>
          <w:i/>
          <w:iCs/>
          <w:spacing w:val="20"/>
          <w:sz w:val="24"/>
          <w:szCs w:val="24"/>
        </w:rPr>
        <w:t>08</w:t>
      </w:r>
      <w:r w:rsidR="00A41D87" w:rsidRPr="00766808">
        <w:rPr>
          <w:rFonts w:eastAsia="Times New Roman" w:cs="Times New Roman"/>
          <w:i/>
          <w:iCs/>
          <w:spacing w:val="20"/>
          <w:sz w:val="24"/>
          <w:szCs w:val="24"/>
        </w:rPr>
        <w:t>. Wnioskujemy o potwierdzenie przez Zamawiającego, że prawidłowo złożony raport wg. metody ANSI/IES LM-80-</w:t>
      </w:r>
      <w:r w:rsidR="00A41D87" w:rsidRPr="00766808">
        <w:rPr>
          <w:rFonts w:eastAsia="Times New Roman" w:cs="Times New Roman"/>
          <w:b/>
          <w:bCs/>
          <w:i/>
          <w:iCs/>
          <w:spacing w:val="20"/>
          <w:sz w:val="24"/>
          <w:szCs w:val="24"/>
        </w:rPr>
        <w:t>15</w:t>
      </w:r>
      <w:r w:rsidR="00A41D87" w:rsidRPr="00766808">
        <w:rPr>
          <w:rFonts w:eastAsia="Times New Roman" w:cs="Times New Roman"/>
          <w:i/>
          <w:iCs/>
          <w:spacing w:val="20"/>
          <w:sz w:val="24"/>
          <w:szCs w:val="24"/>
        </w:rPr>
        <w:t xml:space="preserve">, zostanie uznany bez konieczność dowodzenia równoważności. </w:t>
      </w:r>
    </w:p>
    <w:p w:rsidR="00A41D87" w:rsidRPr="00766808" w:rsidRDefault="00A41D87" w:rsidP="00766808">
      <w:pPr>
        <w:suppressAutoHyphens/>
        <w:autoSpaceDN w:val="0"/>
        <w:spacing w:after="120" w:line="360" w:lineRule="auto"/>
        <w:rPr>
          <w:rFonts w:eastAsia="Calibri" w:cs="Times New Roman"/>
          <w:i/>
          <w:iCs/>
          <w:spacing w:val="20"/>
          <w:sz w:val="24"/>
          <w:szCs w:val="24"/>
        </w:rPr>
      </w:pPr>
      <w:r w:rsidRPr="00766808">
        <w:rPr>
          <w:rFonts w:eastAsia="Calibri" w:cs="Times New Roman"/>
          <w:i/>
          <w:iCs/>
          <w:spacing w:val="20"/>
          <w:sz w:val="24"/>
          <w:szCs w:val="24"/>
        </w:rPr>
        <w:t xml:space="preserve">W załączeniu przesyłamy normę w oryginalnej wersji językowej, na którą się powołujemy się </w:t>
      </w:r>
      <w:r w:rsidRPr="00766808">
        <w:rPr>
          <w:rFonts w:eastAsia="Calibri" w:cs="Times New Roman"/>
          <w:i/>
          <w:iCs/>
          <w:spacing w:val="20"/>
          <w:sz w:val="24"/>
          <w:szCs w:val="24"/>
        </w:rPr>
        <w:br/>
        <w:t>w pytaniu.</w:t>
      </w:r>
      <w:r w:rsidR="007B521B" w:rsidRPr="00766808">
        <w:rPr>
          <w:rFonts w:eastAsia="Calibri" w:cs="Times New Roman"/>
          <w:i/>
          <w:iCs/>
          <w:spacing w:val="20"/>
          <w:sz w:val="24"/>
          <w:szCs w:val="24"/>
        </w:rPr>
        <w:t>”</w:t>
      </w:r>
    </w:p>
    <w:p w:rsidR="00A41D87" w:rsidRPr="00766808" w:rsidRDefault="008D597D" w:rsidP="00766808">
      <w:pPr>
        <w:suppressAutoHyphens/>
        <w:autoSpaceDN w:val="0"/>
        <w:spacing w:after="120" w:line="360" w:lineRule="auto"/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</w:pPr>
      <w:bookmarkStart w:id="2" w:name="_Hlk61529130"/>
      <w:r w:rsidRPr="00766808"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  <w:t xml:space="preserve">Odpowiedź: </w:t>
      </w:r>
    </w:p>
    <w:bookmarkEnd w:id="2"/>
    <w:p w:rsidR="00A41D87" w:rsidRPr="00766808" w:rsidRDefault="00A41D87" w:rsidP="00766808">
      <w:pPr>
        <w:suppressAutoHyphens/>
        <w:autoSpaceDN w:val="0"/>
        <w:spacing w:after="120" w:line="360" w:lineRule="auto"/>
        <w:rPr>
          <w:rFonts w:eastAsia="Calibri" w:cs="Times New Roman"/>
          <w:b/>
          <w:bCs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bCs/>
          <w:color w:val="000000"/>
          <w:spacing w:val="20"/>
          <w:sz w:val="24"/>
          <w:szCs w:val="24"/>
          <w:lang w:eastAsia="pl-PL"/>
        </w:rPr>
        <w:t>Zamawiający potwierdza iż uznaje raport wykonany wg metody ANSI / IES LM-80-15 bez konieczności dowodzenia równoważności.</w:t>
      </w:r>
    </w:p>
    <w:p w:rsidR="00A41D87" w:rsidRPr="00766808" w:rsidRDefault="00A41D87" w:rsidP="00766808">
      <w:pPr>
        <w:suppressAutoHyphens/>
        <w:autoSpaceDN w:val="0"/>
        <w:spacing w:before="240" w:after="120" w:line="360" w:lineRule="auto"/>
        <w:rPr>
          <w:rFonts w:eastAsia="Calibri" w:cs="Times New Roman"/>
          <w:b/>
          <w:bCs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bCs/>
          <w:color w:val="000000"/>
          <w:spacing w:val="20"/>
          <w:sz w:val="24"/>
          <w:szCs w:val="24"/>
          <w:lang w:eastAsia="pl-PL"/>
        </w:rPr>
        <w:t>Pytanie nr 2</w:t>
      </w:r>
    </w:p>
    <w:p w:rsidR="00A41D87" w:rsidRPr="00766808" w:rsidRDefault="001E5C6B" w:rsidP="00766808">
      <w:pPr>
        <w:suppressAutoHyphens/>
        <w:autoSpaceDN w:val="0"/>
        <w:spacing w:after="120" w:line="360" w:lineRule="auto"/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>„</w:t>
      </w:r>
      <w:r w:rsidR="00A41D87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 xml:space="preserve">Ze względu na rozbieżności w danych wsadowych między danymi zawartymi w zał. Nr 1b do SIWZ w „Zestawieniu projektowym modernizacji oświetlenia Sandomierz – II etap” oraz </w:t>
      </w:r>
      <w:r w:rsidR="00A41D87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br/>
        <w:t xml:space="preserve">w zamieszczonych dalej w zał. Nr 1b do SIWZ obliczeniach fotometrycznych, zwracamy się </w:t>
      </w:r>
      <w:r w:rsidR="00A41D87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br/>
        <w:t>z prośbą o ujednolicenie danych wsadowych lub jednoznaczne wskazanie który zestaw danych jest wiążący. Przykładowa rozbieżność to w „Zestawieniu projektowym modernizacji oświetlenia Sandomierz  -II etap” dla ulicy Rynek nr ID od 1 do 17, w kolumnie „</w:t>
      </w:r>
      <w:proofErr w:type="spellStart"/>
      <w:r w:rsidR="00A41D87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>Wys_pkt</w:t>
      </w:r>
      <w:proofErr w:type="spellEnd"/>
      <w:r w:rsidR="00A41D87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 xml:space="preserve">” podano wartość „2”, natomiast w obliczeniach </w:t>
      </w:r>
      <w:r w:rsidR="008B73EC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 xml:space="preserve">fotometrycznych wysokość zamontowania opraw oświetleniowych </w:t>
      </w:r>
      <w:r w:rsidR="00E362F4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 xml:space="preserve">dla danej sytuacji </w:t>
      </w:r>
      <w:r w:rsidR="00A41D87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>wynosi 4 metry.</w:t>
      </w:r>
      <w:r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>”</w:t>
      </w:r>
    </w:p>
    <w:p w:rsidR="008D597D" w:rsidRPr="00766808" w:rsidRDefault="008D597D" w:rsidP="00766808">
      <w:pPr>
        <w:suppressAutoHyphens/>
        <w:autoSpaceDN w:val="0"/>
        <w:spacing w:after="120" w:line="360" w:lineRule="auto"/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  <w:t xml:space="preserve">Odpowiedź: </w:t>
      </w:r>
    </w:p>
    <w:p w:rsidR="008D597D" w:rsidRPr="00766808" w:rsidRDefault="00A41D87" w:rsidP="00766808">
      <w:pPr>
        <w:suppressAutoHyphens/>
        <w:autoSpaceDN w:val="0"/>
        <w:spacing w:after="120" w:line="360" w:lineRule="auto"/>
        <w:rPr>
          <w:rFonts w:eastAsia="Calibri" w:cs="Times New Roman"/>
          <w:b/>
          <w:bCs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bCs/>
          <w:color w:val="000000"/>
          <w:spacing w:val="20"/>
          <w:sz w:val="24"/>
          <w:szCs w:val="24"/>
          <w:lang w:eastAsia="pl-PL"/>
        </w:rPr>
        <w:t xml:space="preserve">Do obliczeń fotometrycznych należy przyjąć dane wsadowe identyczne jak </w:t>
      </w:r>
      <w:r w:rsidRPr="00766808">
        <w:rPr>
          <w:rFonts w:eastAsia="Calibri" w:cs="Times New Roman"/>
          <w:b/>
          <w:bCs/>
          <w:color w:val="000000"/>
          <w:spacing w:val="20"/>
          <w:sz w:val="24"/>
          <w:szCs w:val="24"/>
          <w:lang w:eastAsia="pl-PL"/>
        </w:rPr>
        <w:br/>
        <w:t xml:space="preserve">w załączonych obliczeniach referencyjnych. </w:t>
      </w:r>
    </w:p>
    <w:p w:rsidR="00A41D87" w:rsidRPr="00766808" w:rsidRDefault="00A41D87" w:rsidP="00766808">
      <w:pPr>
        <w:suppressAutoHyphens/>
        <w:autoSpaceDN w:val="0"/>
        <w:spacing w:before="240" w:after="120" w:line="360" w:lineRule="auto"/>
        <w:rPr>
          <w:rFonts w:eastAsia="Calibri" w:cs="Times New Roman"/>
          <w:b/>
          <w:bCs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bCs/>
          <w:color w:val="000000"/>
          <w:spacing w:val="20"/>
          <w:sz w:val="24"/>
          <w:szCs w:val="24"/>
          <w:lang w:eastAsia="pl-PL"/>
        </w:rPr>
        <w:t>Pytanie nr 3</w:t>
      </w:r>
    </w:p>
    <w:p w:rsidR="00A41D87" w:rsidRPr="00766808" w:rsidRDefault="00947B43" w:rsidP="00766808">
      <w:pPr>
        <w:autoSpaceDE w:val="0"/>
        <w:autoSpaceDN w:val="0"/>
        <w:adjustRightInd w:val="0"/>
        <w:spacing w:after="120" w:line="360" w:lineRule="auto"/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>„</w:t>
      </w:r>
      <w:r w:rsidR="00A41D87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>W zał. Nr 1 do SIWZ W „Zestawieniu projektowym modernizacji oświetlenia Sandomierz  - II etap” w kolumnie „Model” podano nazwy „Ozdobna”, „Uliczna”, „Parkowa” oraz „SAL-1 LED”. Oprawy ozdobn</w:t>
      </w:r>
      <w:r w:rsidR="009F02E9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>e, uliczne oaz</w:t>
      </w:r>
      <w:r w:rsidR="00A41D87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 xml:space="preserve"> </w:t>
      </w:r>
      <w:r w:rsidR="00A41D87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lastRenderedPageBreak/>
        <w:t>parkowe zostały opisane w tym samym dokumencie w tabelach nr 4, 5, 6 oraz 7, natomiast oprawy ”SAL-1 LED” nie zostały nigdzie opisane. W związku z powyższym zwracamy się z prośbą o wyjaśnienie co oznacza zapis „SAL-1 LED” w kolumnie „Model” w „Zestawieniu projektowym modernizacji oświetlenia Sandomierz – II etap” w zał. Nr 1b do SIWZ. Prosimy o podanie parametrów technicznych oprawy ozdobnej SAL-1 LED.</w:t>
      </w:r>
      <w:r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>”</w:t>
      </w:r>
    </w:p>
    <w:p w:rsidR="008D597D" w:rsidRPr="00766808" w:rsidRDefault="008D597D" w:rsidP="00766808">
      <w:pPr>
        <w:suppressAutoHyphens/>
        <w:autoSpaceDN w:val="0"/>
        <w:spacing w:after="120" w:line="360" w:lineRule="auto"/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  <w:t xml:space="preserve">Odpowiedź: </w:t>
      </w:r>
    </w:p>
    <w:p w:rsidR="00A41D87" w:rsidRPr="00766808" w:rsidRDefault="00A41D87" w:rsidP="00766808">
      <w:pPr>
        <w:suppressAutoHyphens/>
        <w:autoSpaceDN w:val="0"/>
        <w:spacing w:after="60" w:line="360" w:lineRule="auto"/>
        <w:rPr>
          <w:rFonts w:eastAsia="Calibri" w:cs="Times New Roman"/>
          <w:b/>
          <w:bCs/>
          <w:spacing w:val="20"/>
          <w:sz w:val="24"/>
          <w:szCs w:val="24"/>
          <w:shd w:val="clear" w:color="auto" w:fill="FFFFFF"/>
        </w:rPr>
      </w:pPr>
      <w:r w:rsidRPr="00766808">
        <w:rPr>
          <w:rFonts w:eastAsia="Calibri" w:cs="Times New Roman"/>
          <w:b/>
          <w:bCs/>
          <w:spacing w:val="20"/>
          <w:sz w:val="24"/>
          <w:szCs w:val="24"/>
          <w:shd w:val="clear" w:color="auto" w:fill="FFFFFF"/>
        </w:rPr>
        <w:t>SAL-1 LED to oznaczenie oprawy ozdobnej dla której wymagana jest przebudowa - zamiana zasilacza lampy wyładowczej na zasilacz LED oraz zamiana układu lampy metalohalogenkowej na moduł LED.</w:t>
      </w:r>
    </w:p>
    <w:p w:rsidR="00A41D87" w:rsidRPr="00766808" w:rsidRDefault="00766808" w:rsidP="00766808">
      <w:pPr>
        <w:suppressAutoHyphens/>
        <w:autoSpaceDN w:val="0"/>
        <w:spacing w:before="240" w:after="120" w:line="360" w:lineRule="auto"/>
        <w:rPr>
          <w:rFonts w:eastAsia="Calibri" w:cs="Times New Roman"/>
          <w:b/>
          <w:color w:val="000000"/>
          <w:spacing w:val="20"/>
          <w:sz w:val="24"/>
          <w:szCs w:val="24"/>
          <w:shd w:val="clear" w:color="auto" w:fill="FFFFFF"/>
        </w:rPr>
      </w:pPr>
      <w:r>
        <w:rPr>
          <w:rFonts w:eastAsia="Calibri" w:cs="Times New Roman"/>
          <w:b/>
          <w:color w:val="000000"/>
          <w:spacing w:val="20"/>
          <w:sz w:val="24"/>
          <w:szCs w:val="24"/>
          <w:shd w:val="clear" w:color="auto" w:fill="FFFFFF"/>
        </w:rPr>
        <w:t>Py</w:t>
      </w:r>
      <w:r w:rsidR="00A41D87" w:rsidRPr="00766808">
        <w:rPr>
          <w:rFonts w:eastAsia="Calibri" w:cs="Times New Roman"/>
          <w:b/>
          <w:color w:val="000000"/>
          <w:spacing w:val="20"/>
          <w:sz w:val="24"/>
          <w:szCs w:val="24"/>
          <w:shd w:val="clear" w:color="auto" w:fill="FFFFFF"/>
        </w:rPr>
        <w:t>tanie nr 4</w:t>
      </w:r>
    </w:p>
    <w:p w:rsidR="00A41D87" w:rsidRPr="00766808" w:rsidRDefault="003849B1" w:rsidP="00766808">
      <w:pPr>
        <w:suppressAutoHyphens/>
        <w:autoSpaceDN w:val="0"/>
        <w:spacing w:after="60" w:line="360" w:lineRule="auto"/>
        <w:rPr>
          <w:rFonts w:eastAsia="Calibri" w:cs="Times New Roman"/>
          <w:i/>
          <w:iCs/>
          <w:color w:val="000000"/>
          <w:spacing w:val="20"/>
          <w:sz w:val="24"/>
          <w:szCs w:val="24"/>
          <w:shd w:val="clear" w:color="auto" w:fill="FFFFFF"/>
        </w:rPr>
      </w:pPr>
      <w:r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shd w:val="clear" w:color="auto" w:fill="FFFFFF"/>
        </w:rPr>
        <w:t>„</w:t>
      </w:r>
      <w:r w:rsidR="00A41D87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shd w:val="clear" w:color="auto" w:fill="FFFFFF"/>
        </w:rPr>
        <w:t>Zakres etapu II inwestycji obejmuje m.in. dostawę 1510 opraw ulicznych oraz 332 opraw parkowych i ozdobnych, co w sumie daje 1842 sztuk. W zał. nr 1b do SIWZ w "Zestawieniu projektowym modernizacji oświetlenia Sandomierz - II etap" wskazano, że suma opraw wynosi 1937. Zwracamy się z prośbą o wyjaśnienie tej rozbieżności.</w:t>
      </w:r>
      <w:r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shd w:val="clear" w:color="auto" w:fill="FFFFFF"/>
        </w:rPr>
        <w:t xml:space="preserve"> Rozbieżność dotyczy ETAPU II inwestycji str. 160”</w:t>
      </w:r>
    </w:p>
    <w:p w:rsidR="008D597D" w:rsidRPr="00766808" w:rsidRDefault="008D597D" w:rsidP="00766808">
      <w:pPr>
        <w:suppressAutoHyphens/>
        <w:autoSpaceDN w:val="0"/>
        <w:spacing w:after="120" w:line="360" w:lineRule="auto"/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  <w:t xml:space="preserve">Odpowiedź: </w:t>
      </w:r>
    </w:p>
    <w:p w:rsidR="00A41D87" w:rsidRPr="00766808" w:rsidRDefault="00A41D87" w:rsidP="00766808">
      <w:pPr>
        <w:suppressAutoHyphens/>
        <w:autoSpaceDN w:val="0"/>
        <w:spacing w:after="120" w:line="360" w:lineRule="auto"/>
        <w:rPr>
          <w:rFonts w:eastAsia="Calibri" w:cs="Times New Roman"/>
          <w:b/>
          <w:bCs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bCs/>
          <w:spacing w:val="20"/>
          <w:sz w:val="24"/>
          <w:szCs w:val="24"/>
        </w:rPr>
        <w:t>Zakres obejmuje dostawę 1510 opraw ulicznych, 332 sz</w:t>
      </w:r>
      <w:r w:rsidR="00B71FA0">
        <w:rPr>
          <w:rFonts w:eastAsia="Calibri" w:cs="Times New Roman"/>
          <w:b/>
          <w:bCs/>
          <w:spacing w:val="20"/>
          <w:sz w:val="24"/>
          <w:szCs w:val="24"/>
        </w:rPr>
        <w:t xml:space="preserve">t. opraw parkowych i ozdobnych </w:t>
      </w:r>
      <w:r w:rsidRPr="00766808">
        <w:rPr>
          <w:rFonts w:eastAsia="Calibri" w:cs="Times New Roman"/>
          <w:b/>
          <w:bCs/>
          <w:spacing w:val="20"/>
          <w:sz w:val="24"/>
          <w:szCs w:val="24"/>
        </w:rPr>
        <w:t>i przebudowę 95 szt. opraw SAL. Razem: 1510+332+95=1937</w:t>
      </w:r>
      <w:r w:rsidRPr="00766808">
        <w:rPr>
          <w:rFonts w:eastAsia="Calibri" w:cs="Times New Roman"/>
          <w:b/>
          <w:bCs/>
          <w:color w:val="000000"/>
          <w:spacing w:val="20"/>
          <w:sz w:val="24"/>
          <w:szCs w:val="24"/>
          <w:lang w:eastAsia="pl-PL"/>
        </w:rPr>
        <w:t xml:space="preserve"> </w:t>
      </w:r>
    </w:p>
    <w:p w:rsidR="00A41D87" w:rsidRPr="00766808" w:rsidRDefault="00A41D87" w:rsidP="00766808">
      <w:pPr>
        <w:suppressAutoHyphens/>
        <w:autoSpaceDN w:val="0"/>
        <w:spacing w:before="240" w:after="120" w:line="360" w:lineRule="auto"/>
        <w:rPr>
          <w:rFonts w:eastAsia="Calibri" w:cs="Times New Roman"/>
          <w:b/>
          <w:bCs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bCs/>
          <w:color w:val="000000"/>
          <w:spacing w:val="20"/>
          <w:sz w:val="24"/>
          <w:szCs w:val="24"/>
          <w:lang w:eastAsia="pl-PL"/>
        </w:rPr>
        <w:t>Pytanie nr 5</w:t>
      </w:r>
    </w:p>
    <w:p w:rsidR="00A41D87" w:rsidRPr="00766808" w:rsidRDefault="003849B1" w:rsidP="00766808">
      <w:pPr>
        <w:autoSpaceDE w:val="0"/>
        <w:autoSpaceDN w:val="0"/>
        <w:adjustRightInd w:val="0"/>
        <w:spacing w:after="120" w:line="360" w:lineRule="auto"/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>„</w:t>
      </w:r>
      <w:r w:rsidR="00A41D87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 xml:space="preserve">W SIWZ Informacje dotyczące podwykonawstwa: „Zamawiający zastrzega obowiązek osobistego wykonania przez wykonawcę prac związanych z rozmieszczeniem i instalacją tj.: czynności związane z montażem opraw i montażem instalacji elektrycznej zasilania opraw. </w:t>
      </w:r>
    </w:p>
    <w:p w:rsidR="00A41D87" w:rsidRPr="00766808" w:rsidRDefault="00A41D87" w:rsidP="00766808">
      <w:pPr>
        <w:suppressAutoHyphens/>
        <w:autoSpaceDN w:val="0"/>
        <w:spacing w:after="120" w:line="360" w:lineRule="auto"/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>Wnosimy o wykreślenie tego zapisu</w:t>
      </w:r>
      <w:r w:rsidR="003849B1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>”.</w:t>
      </w:r>
    </w:p>
    <w:p w:rsidR="008D597D" w:rsidRPr="00766808" w:rsidRDefault="008D597D" w:rsidP="00766808">
      <w:pPr>
        <w:suppressAutoHyphens/>
        <w:autoSpaceDN w:val="0"/>
        <w:spacing w:after="120" w:line="360" w:lineRule="auto"/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  <w:t xml:space="preserve">Odpowiedź: </w:t>
      </w:r>
    </w:p>
    <w:p w:rsidR="00A41D87" w:rsidRPr="00766808" w:rsidRDefault="00A41D87" w:rsidP="00766808">
      <w:pPr>
        <w:autoSpaceDE w:val="0"/>
        <w:autoSpaceDN w:val="0"/>
        <w:adjustRightInd w:val="0"/>
        <w:spacing w:after="120" w:line="360" w:lineRule="auto"/>
        <w:rPr>
          <w:rFonts w:eastAsia="Calibri" w:cs="Times New Roman"/>
          <w:b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spacing w:val="20"/>
          <w:sz w:val="24"/>
          <w:szCs w:val="24"/>
          <w:lang w:eastAsia="pl-PL"/>
        </w:rPr>
        <w:lastRenderedPageBreak/>
        <w:t>Zamawiający nie wyraża zgody.</w:t>
      </w:r>
    </w:p>
    <w:p w:rsidR="00A41D87" w:rsidRPr="00766808" w:rsidRDefault="00A41D87" w:rsidP="00766808">
      <w:pPr>
        <w:suppressAutoHyphens/>
        <w:autoSpaceDN w:val="0"/>
        <w:spacing w:before="240" w:after="120" w:line="360" w:lineRule="auto"/>
        <w:rPr>
          <w:rFonts w:eastAsia="Calibri" w:cs="Times New Roman"/>
          <w:b/>
          <w:bCs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bCs/>
          <w:color w:val="000000"/>
          <w:spacing w:val="20"/>
          <w:sz w:val="24"/>
          <w:szCs w:val="24"/>
          <w:lang w:eastAsia="pl-PL"/>
        </w:rPr>
        <w:t xml:space="preserve">Pytanie nr 6 </w:t>
      </w:r>
    </w:p>
    <w:p w:rsidR="00A41D87" w:rsidRPr="00766808" w:rsidRDefault="003849B1" w:rsidP="00766808">
      <w:pPr>
        <w:suppressAutoHyphens/>
        <w:autoSpaceDN w:val="0"/>
        <w:spacing w:after="120" w:line="360" w:lineRule="auto"/>
        <w:rPr>
          <w:rFonts w:eastAsia="Calibri" w:cs="Times New Roman"/>
          <w:i/>
          <w:iCs/>
          <w:color w:val="FF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i/>
          <w:iCs/>
          <w:spacing w:val="20"/>
          <w:sz w:val="24"/>
          <w:szCs w:val="24"/>
        </w:rPr>
        <w:t>„</w:t>
      </w:r>
      <w:r w:rsidR="00A41D87" w:rsidRPr="00766808">
        <w:rPr>
          <w:rFonts w:eastAsia="Calibri" w:cs="Times New Roman"/>
          <w:i/>
          <w:iCs/>
          <w:spacing w:val="20"/>
          <w:sz w:val="24"/>
          <w:szCs w:val="24"/>
        </w:rPr>
        <w:t>Czy zamawiający dopuści oprawy, o innych szczegółach konstrukcyjnych (rozmiar, budowa) niż te zawarte w opisie wymagań dotyczących opraw oświetlenia ulicznego Tabela nr 7 – Specyfikacja opraw ozdobnych specyfikacji o parametrach nie gorszych niż podane w opisie.</w:t>
      </w:r>
      <w:r w:rsidRPr="00766808">
        <w:rPr>
          <w:rFonts w:eastAsia="Calibri" w:cs="Times New Roman"/>
          <w:i/>
          <w:iCs/>
          <w:spacing w:val="20"/>
          <w:sz w:val="24"/>
          <w:szCs w:val="24"/>
        </w:rPr>
        <w:t>”</w:t>
      </w:r>
    </w:p>
    <w:p w:rsidR="008D597D" w:rsidRPr="00766808" w:rsidRDefault="00A41D87" w:rsidP="00766808">
      <w:pPr>
        <w:suppressAutoHyphens/>
        <w:autoSpaceDN w:val="0"/>
        <w:spacing w:after="120" w:line="360" w:lineRule="auto"/>
        <w:rPr>
          <w:rFonts w:eastAsia="Calibri" w:cs="Arial"/>
          <w:b/>
          <w:bCs/>
          <w:color w:val="FF0000"/>
          <w:spacing w:val="20"/>
          <w:sz w:val="24"/>
          <w:szCs w:val="24"/>
          <w:lang w:eastAsia="pl-PL"/>
        </w:rPr>
      </w:pPr>
      <w:r w:rsidRPr="00766808">
        <w:rPr>
          <w:rFonts w:eastAsia="Calibri" w:cs="Arial"/>
          <w:b/>
          <w:bCs/>
          <w:noProof/>
          <w:color w:val="FF0000"/>
          <w:spacing w:val="20"/>
          <w:sz w:val="24"/>
          <w:szCs w:val="24"/>
          <w:lang w:eastAsia="pl-PL"/>
        </w:rPr>
        <w:drawing>
          <wp:inline distT="0" distB="0" distL="0" distR="0" wp14:anchorId="192EE07D" wp14:editId="3666D3FB">
            <wp:extent cx="2505075" cy="3905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7D" w:rsidRPr="00766808" w:rsidRDefault="008D597D" w:rsidP="00766808">
      <w:pPr>
        <w:suppressAutoHyphens/>
        <w:autoSpaceDN w:val="0"/>
        <w:spacing w:after="120" w:line="360" w:lineRule="auto"/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  <w:t xml:space="preserve">Odpowiedź: </w:t>
      </w:r>
    </w:p>
    <w:p w:rsidR="00A41D87" w:rsidRPr="00766808" w:rsidRDefault="00A41D87" w:rsidP="00766808">
      <w:pPr>
        <w:suppressAutoHyphens/>
        <w:autoSpaceDN w:val="0"/>
        <w:spacing w:after="60" w:line="360" w:lineRule="auto"/>
        <w:rPr>
          <w:rFonts w:eastAsia="Calibri" w:cs="Times New Roman"/>
          <w:b/>
          <w:color w:val="000000"/>
          <w:spacing w:val="20"/>
          <w:sz w:val="24"/>
          <w:szCs w:val="24"/>
          <w:shd w:val="clear" w:color="auto" w:fill="FFFFFF"/>
        </w:rPr>
      </w:pPr>
      <w:r w:rsidRPr="00766808">
        <w:rPr>
          <w:rFonts w:eastAsia="Calibri" w:cs="Times New Roman"/>
          <w:b/>
          <w:color w:val="000000"/>
          <w:spacing w:val="20"/>
          <w:sz w:val="24"/>
          <w:szCs w:val="24"/>
          <w:shd w:val="clear" w:color="auto" w:fill="FFFFFF"/>
        </w:rPr>
        <w:t xml:space="preserve">Kształt i wymiary opraw zostały określone w tabelach nr 4,5,6 i 7 załącznika nr 1 do SIWZ. Zamawiający nie wyraża zgody na zmianę na inny wybór. </w:t>
      </w:r>
    </w:p>
    <w:p w:rsidR="003849B1" w:rsidRPr="00766808" w:rsidRDefault="003849B1" w:rsidP="00766808">
      <w:pPr>
        <w:suppressAutoHyphens/>
        <w:autoSpaceDN w:val="0"/>
        <w:spacing w:after="60" w:line="360" w:lineRule="auto"/>
        <w:rPr>
          <w:rFonts w:eastAsia="Calibri" w:cs="Times New Roman"/>
          <w:b/>
          <w:color w:val="000000"/>
          <w:spacing w:val="20"/>
          <w:sz w:val="24"/>
          <w:szCs w:val="24"/>
          <w:shd w:val="clear" w:color="auto" w:fill="FFFFFF"/>
        </w:rPr>
      </w:pPr>
    </w:p>
    <w:p w:rsidR="00A41D87" w:rsidRPr="00766808" w:rsidRDefault="00A41D87" w:rsidP="00766808">
      <w:pPr>
        <w:suppressAutoHyphens/>
        <w:autoSpaceDN w:val="0"/>
        <w:spacing w:before="240" w:after="120" w:line="360" w:lineRule="auto"/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  <w:t>Pytanie nr 7</w:t>
      </w:r>
    </w:p>
    <w:p w:rsidR="00A41D87" w:rsidRPr="00766808" w:rsidRDefault="003849B1" w:rsidP="00766808">
      <w:pPr>
        <w:suppressAutoHyphens/>
        <w:autoSpaceDN w:val="0"/>
        <w:spacing w:after="120" w:line="360" w:lineRule="auto"/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</w:pPr>
      <w:r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>„</w:t>
      </w:r>
      <w:r w:rsidR="00A41D8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 xml:space="preserve">Opis wymagań dotyczących wydajności i funkcjonalności modernizowanego systemu oświetlenia drogowego na terenie Miasta Sandomierz – Etap I </w:t>
      </w:r>
      <w:proofErr w:type="spellStart"/>
      <w:r w:rsidR="00A41D8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>i</w:t>
      </w:r>
      <w:proofErr w:type="spellEnd"/>
      <w:r w:rsidR="00A41D8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 xml:space="preserve"> II w 2.1 oraz w 2.3 wymaga zastosowania układu nadążnego kompensacji mocy </w:t>
      </w:r>
      <w:r w:rsidR="00A41D8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lastRenderedPageBreak/>
        <w:t>biernej pojemnościowej. Czy w związku z powyższym, z uwagi na istotny element, jakim są układy nadążne kompensacji oraz w celu weryfikacji i porównania ofert w zakresie zgodności z wymaganiami zama</w:t>
      </w:r>
      <w:r w:rsidR="00CA3F0B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>wiający będzie wzywał</w:t>
      </w:r>
      <w:r w:rsidR="00A41D8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 xml:space="preserve"> do dostarczenia opisów stosowanego rozwiązania układów nadążnych kompensacji mocy biernej pojemnościowej, kart katalogowych urządzeń </w:t>
      </w:r>
      <w:proofErr w:type="spellStart"/>
      <w:r w:rsidR="00A41D8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>itp</w:t>
      </w:r>
      <w:proofErr w:type="spellEnd"/>
      <w:r w:rsidR="00A41D8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>?</w:t>
      </w:r>
      <w:r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>”</w:t>
      </w:r>
    </w:p>
    <w:p w:rsidR="008D597D" w:rsidRPr="00766808" w:rsidRDefault="008D597D" w:rsidP="00766808">
      <w:pPr>
        <w:suppressAutoHyphens/>
        <w:autoSpaceDN w:val="0"/>
        <w:spacing w:after="120" w:line="360" w:lineRule="auto"/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  <w:t xml:space="preserve">Odpowiedź: </w:t>
      </w:r>
    </w:p>
    <w:p w:rsidR="00A41D87" w:rsidRPr="00766808" w:rsidRDefault="00A41D87" w:rsidP="00766808">
      <w:pPr>
        <w:suppressAutoHyphens/>
        <w:autoSpaceDN w:val="0"/>
        <w:spacing w:after="120" w:line="360" w:lineRule="auto"/>
        <w:rPr>
          <w:rFonts w:eastAsia="Calibri" w:cs="Times New Roman"/>
          <w:b/>
          <w:bCs/>
          <w:color w:val="000000"/>
          <w:spacing w:val="20"/>
          <w:sz w:val="24"/>
          <w:szCs w:val="24"/>
          <w:shd w:val="clear" w:color="auto" w:fill="FFFFFF"/>
        </w:rPr>
      </w:pPr>
      <w:r w:rsidRPr="00766808">
        <w:rPr>
          <w:rFonts w:eastAsia="Calibri" w:cs="Times New Roman"/>
          <w:b/>
          <w:spacing w:val="20"/>
          <w:sz w:val="24"/>
          <w:szCs w:val="24"/>
          <w:lang w:eastAsia="pl-PL"/>
        </w:rPr>
        <w:t>Zamawiający zobowiąże Wykonawców</w:t>
      </w:r>
      <w:r w:rsidRPr="00766808">
        <w:rPr>
          <w:rFonts w:eastAsia="Calibri" w:cs="Times New Roman"/>
          <w:bCs/>
          <w:color w:val="000000"/>
          <w:spacing w:val="20"/>
          <w:sz w:val="24"/>
          <w:szCs w:val="24"/>
          <w:shd w:val="clear" w:color="auto" w:fill="FFFFFF"/>
        </w:rPr>
        <w:t xml:space="preserve"> </w:t>
      </w:r>
      <w:r w:rsidRPr="00766808">
        <w:rPr>
          <w:rFonts w:eastAsia="Calibri" w:cs="Times New Roman"/>
          <w:b/>
          <w:bCs/>
          <w:color w:val="000000"/>
          <w:spacing w:val="20"/>
          <w:sz w:val="24"/>
          <w:szCs w:val="24"/>
          <w:shd w:val="clear" w:color="auto" w:fill="FFFFFF"/>
        </w:rPr>
        <w:t>do dostarczenia</w:t>
      </w:r>
      <w:r w:rsidR="00B71FA0">
        <w:rPr>
          <w:rFonts w:eastAsia="Calibri" w:cs="Times New Roman"/>
          <w:b/>
          <w:bCs/>
          <w:color w:val="000000"/>
          <w:spacing w:val="20"/>
          <w:sz w:val="24"/>
          <w:szCs w:val="24"/>
          <w:shd w:val="clear" w:color="auto" w:fill="FFFFFF"/>
        </w:rPr>
        <w:t xml:space="preserve"> na wezwanie kart katalogowych </w:t>
      </w:r>
      <w:r w:rsidRPr="00766808">
        <w:rPr>
          <w:rFonts w:eastAsia="Calibri" w:cs="Times New Roman"/>
          <w:b/>
          <w:bCs/>
          <w:color w:val="000000"/>
          <w:spacing w:val="20"/>
          <w:sz w:val="24"/>
          <w:szCs w:val="24"/>
          <w:shd w:val="clear" w:color="auto" w:fill="FFFFFF"/>
        </w:rPr>
        <w:t>i opisu działania układów nadążnych kompensacji mocy biernej.</w:t>
      </w:r>
    </w:p>
    <w:p w:rsidR="00A41D87" w:rsidRPr="00766808" w:rsidRDefault="00A41D87" w:rsidP="00766808">
      <w:pPr>
        <w:suppressAutoHyphens/>
        <w:autoSpaceDN w:val="0"/>
        <w:spacing w:before="240" w:after="120" w:line="360" w:lineRule="auto"/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  <w:t>Pytanie nr 8</w:t>
      </w:r>
    </w:p>
    <w:p w:rsidR="00A41D87" w:rsidRPr="00766808" w:rsidRDefault="00CA3F0B" w:rsidP="00766808">
      <w:pPr>
        <w:tabs>
          <w:tab w:val="decimal" w:pos="432"/>
        </w:tabs>
        <w:autoSpaceDN w:val="0"/>
        <w:spacing w:after="120" w:line="360" w:lineRule="auto"/>
        <w:ind w:right="-2"/>
        <w:rPr>
          <w:rFonts w:eastAsia="Calibri" w:cs="Times New Roman"/>
          <w:i/>
          <w:iCs/>
          <w:color w:val="000000"/>
          <w:spacing w:val="20"/>
          <w:sz w:val="24"/>
          <w:szCs w:val="24"/>
        </w:rPr>
      </w:pPr>
      <w:r w:rsidRPr="00766808">
        <w:rPr>
          <w:rFonts w:eastAsia="Calibri" w:cs="Times New Roman"/>
          <w:i/>
          <w:iCs/>
          <w:color w:val="000000"/>
          <w:spacing w:val="20"/>
          <w:sz w:val="24"/>
          <w:szCs w:val="24"/>
        </w:rPr>
        <w:t>„</w:t>
      </w:r>
      <w:r w:rsidR="00A41D87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</w:rPr>
        <w:t xml:space="preserve">Opis wymagań dotyczących wydajności i funkcjonalności modernizowanego systemu oświetlenia drogowego na terenie Miasta Sandomierz — etap I </w:t>
      </w:r>
      <w:proofErr w:type="spellStart"/>
      <w:r w:rsidR="00A41D87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</w:rPr>
        <w:t>i</w:t>
      </w:r>
      <w:proofErr w:type="spellEnd"/>
      <w:r w:rsidR="00A41D87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</w:rPr>
        <w:t xml:space="preserve"> II w 2.3. wymaga:</w:t>
      </w:r>
    </w:p>
    <w:p w:rsidR="00A41D87" w:rsidRPr="00766808" w:rsidRDefault="00A41D87" w:rsidP="00766808">
      <w:pPr>
        <w:suppressAutoHyphens/>
        <w:autoSpaceDN w:val="0"/>
        <w:spacing w:after="120" w:line="360" w:lineRule="auto"/>
        <w:ind w:left="144"/>
        <w:rPr>
          <w:rFonts w:eastAsia="Calibri" w:cs="Times New Roman"/>
          <w:i/>
          <w:iCs/>
          <w:color w:val="000000"/>
          <w:spacing w:val="20"/>
          <w:sz w:val="24"/>
          <w:szCs w:val="24"/>
        </w:rPr>
      </w:pPr>
      <w:r w:rsidRPr="00766808">
        <w:rPr>
          <w:rFonts w:eastAsia="Calibri" w:cs="Times New Roman"/>
          <w:i/>
          <w:iCs/>
          <w:color w:val="000000"/>
          <w:spacing w:val="20"/>
          <w:sz w:val="24"/>
          <w:szCs w:val="24"/>
        </w:rPr>
        <w:t xml:space="preserve">„ - </w:t>
      </w:r>
      <w:r w:rsidRPr="00766808">
        <w:rPr>
          <w:rFonts w:eastAsia="Calibri" w:cs="Times New Roman"/>
          <w:i/>
          <w:iCs/>
          <w:color w:val="000000"/>
          <w:spacing w:val="20"/>
          <w:w w:val="105"/>
          <w:sz w:val="24"/>
          <w:szCs w:val="24"/>
        </w:rPr>
        <w:t>demontaż 95 szt. zasilaczy opraw ozdobnych typu SAL,</w:t>
      </w:r>
    </w:p>
    <w:p w:rsidR="00A41D87" w:rsidRPr="00766808" w:rsidRDefault="00A41D87" w:rsidP="00766808">
      <w:pPr>
        <w:suppressAutoHyphens/>
        <w:autoSpaceDN w:val="0"/>
        <w:spacing w:after="120" w:line="360" w:lineRule="auto"/>
        <w:ind w:left="288"/>
        <w:rPr>
          <w:rFonts w:eastAsia="Calibri" w:cs="Times New Roman"/>
          <w:i/>
          <w:iCs/>
          <w:color w:val="000000"/>
          <w:spacing w:val="20"/>
          <w:w w:val="105"/>
          <w:sz w:val="24"/>
          <w:szCs w:val="24"/>
        </w:rPr>
      </w:pPr>
      <w:r w:rsidRPr="00766808">
        <w:rPr>
          <w:rFonts w:eastAsia="Calibri" w:cs="Times New Roman"/>
          <w:i/>
          <w:iCs/>
          <w:color w:val="000000"/>
          <w:spacing w:val="20"/>
          <w:w w:val="105"/>
          <w:sz w:val="24"/>
          <w:szCs w:val="24"/>
        </w:rPr>
        <w:t>- instalację zasilaczy LED w oprawach typu SAL, w ilości 95 szt.".</w:t>
      </w:r>
    </w:p>
    <w:p w:rsidR="00A41D87" w:rsidRPr="00766808" w:rsidRDefault="00A41D87" w:rsidP="00766808">
      <w:pPr>
        <w:suppressAutoHyphens/>
        <w:autoSpaceDN w:val="0"/>
        <w:spacing w:after="120" w:line="360" w:lineRule="auto"/>
        <w:rPr>
          <w:rFonts w:eastAsia="Calibri" w:cs="Times New Roman"/>
          <w:b/>
          <w:i/>
          <w:iCs/>
          <w:color w:val="000000"/>
          <w:spacing w:val="20"/>
          <w:sz w:val="24"/>
          <w:szCs w:val="24"/>
        </w:rPr>
      </w:pPr>
      <w:r w:rsidRPr="00766808">
        <w:rPr>
          <w:rFonts w:eastAsia="Calibri" w:cs="Times New Roman"/>
          <w:i/>
          <w:iCs/>
          <w:color w:val="000000"/>
          <w:spacing w:val="20"/>
          <w:sz w:val="24"/>
          <w:szCs w:val="24"/>
        </w:rPr>
        <w:t>Oprawy ze źródłem metalohalogenkowym są wyposażone w układy zapłonowe. Co w oprawie ze źródłem metalohalogenkowym ma zmienić sama tylko wymiana zasilaczy i to na zasilacz LED?</w:t>
      </w:r>
      <w:r w:rsidR="00CA3F0B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</w:rPr>
        <w:t>”</w:t>
      </w:r>
    </w:p>
    <w:p w:rsidR="008D597D" w:rsidRPr="00766808" w:rsidRDefault="008D597D" w:rsidP="00766808">
      <w:pPr>
        <w:suppressAutoHyphens/>
        <w:autoSpaceDN w:val="0"/>
        <w:spacing w:after="120" w:line="360" w:lineRule="auto"/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  <w:t xml:space="preserve">Odpowiedź: </w:t>
      </w:r>
    </w:p>
    <w:p w:rsidR="00A41D87" w:rsidRPr="00766808" w:rsidRDefault="00A41D87" w:rsidP="00766808">
      <w:pPr>
        <w:suppressAutoHyphens/>
        <w:autoSpaceDN w:val="0"/>
        <w:spacing w:after="120" w:line="360" w:lineRule="auto"/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  <w:t xml:space="preserve">Zamawiający zamierza wymienić układy zapłonowe istniejących opraw typu SAL na zasilacze LED zintegrowane z panelem z diodami LED. </w:t>
      </w:r>
    </w:p>
    <w:p w:rsidR="00A41D87" w:rsidRPr="00766808" w:rsidRDefault="00A41D87" w:rsidP="00766808">
      <w:pPr>
        <w:suppressAutoHyphens/>
        <w:autoSpaceDN w:val="0"/>
        <w:spacing w:after="120" w:line="360" w:lineRule="auto"/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  <w:t xml:space="preserve">Zamawiający dopuszcza również rozwiązanie polegające na zainstalowaniu w miejsce opraw SAL, opraw typu parkowego, zgodnych z opisem tabeli nr 7 załącznika nr 1 do SIWZ, </w:t>
      </w:r>
      <w:r w:rsidRPr="00766808">
        <w:rPr>
          <w:rFonts w:eastAsia="Calibri" w:cs="Times New Roman"/>
          <w:b/>
          <w:spacing w:val="20"/>
          <w:sz w:val="24"/>
          <w:szCs w:val="24"/>
          <w:lang w:eastAsia="pl-PL"/>
        </w:rPr>
        <w:t>wykorzystując i adaptując istniejącą konstrukcję słupa.</w:t>
      </w:r>
    </w:p>
    <w:p w:rsidR="00A41D87" w:rsidRPr="00766808" w:rsidRDefault="00A41D87" w:rsidP="00766808">
      <w:pPr>
        <w:suppressAutoHyphens/>
        <w:autoSpaceDN w:val="0"/>
        <w:spacing w:before="240" w:after="120" w:line="360" w:lineRule="auto"/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  <w:t>Pytanie nr 9</w:t>
      </w:r>
    </w:p>
    <w:p w:rsidR="00A41D87" w:rsidRPr="00766808" w:rsidRDefault="007C37B3" w:rsidP="00766808">
      <w:pPr>
        <w:autoSpaceDE w:val="0"/>
        <w:autoSpaceDN w:val="0"/>
        <w:adjustRightInd w:val="0"/>
        <w:spacing w:after="120" w:line="360" w:lineRule="auto"/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lastRenderedPageBreak/>
        <w:t>„</w:t>
      </w:r>
      <w:r w:rsidR="00A41D8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>Opis wymagań dotyczących wydajności i funkcjonalności</w:t>
      </w:r>
      <w:r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 xml:space="preserve"> modernizowanego systemu oświetlenia drogowego na terenie miasta Sandomierz etap I </w:t>
      </w:r>
      <w:proofErr w:type="spellStart"/>
      <w:r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>i</w:t>
      </w:r>
      <w:proofErr w:type="spellEnd"/>
      <w:r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 xml:space="preserve"> II w 2.2. oraz w 2.4</w:t>
      </w:r>
      <w:r w:rsidR="00A41D8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 xml:space="preserve"> wymaga montażu i zasilania kompletu gniazdo - wtyczka do podłączenia oświetlenia świątecznego w ilości 544 + 476 </w:t>
      </w:r>
      <w:proofErr w:type="spellStart"/>
      <w:r w:rsidR="00A41D8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>kpl</w:t>
      </w:r>
      <w:proofErr w:type="spellEnd"/>
      <w:r w:rsidR="00A41D8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>., przy czym montaż takich gniazd ma być wykonany na słupach oświetleniowych stalowych bądź słupach oświetleniowych betonow</w:t>
      </w:r>
      <w:r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 xml:space="preserve">ych typu OŻ. Zasilenie tych gniazd </w:t>
      </w:r>
      <w:r w:rsidR="00A41D8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 xml:space="preserve">opraw oświetleniowych jest niemożliwe, bowiem nie da się tego wykonać bez ingerencji w obudowę oprawy, co wiąże się z jej rozszczelnieniem </w:t>
      </w:r>
      <w:r w:rsidR="00A41D8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br/>
        <w:t>i utratą gwarancji. Oprawa jest wyposażona tylko w jeden dławik dla przewodu zasilającego okrągłego i nie ma możliwości poprowadzenia</w:t>
      </w:r>
      <w:r w:rsidR="00FA7998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 xml:space="preserve"> </w:t>
      </w:r>
      <w:r w:rsidR="00A6163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 xml:space="preserve">poprzez ten dławik </w:t>
      </w:r>
      <w:r w:rsidR="00A41D8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>dwóch przewodów, bo</w:t>
      </w:r>
      <w:r w:rsidR="00A6163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 xml:space="preserve"> wtedy już nie będzie spełnione IP 66 dla komory osprzętu.</w:t>
      </w:r>
      <w:r w:rsidR="00A41D8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 xml:space="preserve"> Zamawiający nie opracował i nie podał żadnej technologii dla potrzeb wyceny takiego montażu, nie podał sposobu wykonania, co skutkuje tym, że poszczególne oferty w tym zakresie pozostaną bez możliwości porównania, ponieważ wycena i wykonanie takich czynności nie może przejawiać się w sferze domysłów wykonawców. A zatem, zwracamy się z prośbą o opisanie w sposób jasny i wyczerpujący technologii montażu i zasilenia gn</w:t>
      </w:r>
      <w:r w:rsidR="00A6163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 xml:space="preserve">iazd na słupach </w:t>
      </w:r>
      <w:r w:rsidR="00A41D8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 xml:space="preserve">stalowych </w:t>
      </w:r>
      <w:r w:rsidR="00A6163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 xml:space="preserve">oświetleniowych </w:t>
      </w:r>
      <w:r w:rsidR="00A41D87" w:rsidRPr="00766808">
        <w:rPr>
          <w:rFonts w:eastAsia="Calibri" w:cs="Times New Roman"/>
          <w:bCs/>
          <w:i/>
          <w:iCs/>
          <w:color w:val="000000"/>
          <w:spacing w:val="20"/>
          <w:sz w:val="24"/>
          <w:szCs w:val="24"/>
          <w:shd w:val="clear" w:color="auto" w:fill="FFFFFF"/>
        </w:rPr>
        <w:t>i betonowych OŻ?</w:t>
      </w:r>
      <w:r w:rsidR="009F02E9" w:rsidRPr="00766808">
        <w:rPr>
          <w:rFonts w:eastAsia="Calibri" w:cs="Times New Roman"/>
          <w:i/>
          <w:iCs/>
          <w:color w:val="000000"/>
          <w:spacing w:val="20"/>
          <w:sz w:val="24"/>
          <w:szCs w:val="24"/>
          <w:lang w:eastAsia="pl-PL"/>
        </w:rPr>
        <w:t>”</w:t>
      </w:r>
    </w:p>
    <w:p w:rsidR="008D597D" w:rsidRPr="00766808" w:rsidRDefault="008D597D" w:rsidP="00766808">
      <w:pPr>
        <w:suppressAutoHyphens/>
        <w:autoSpaceDN w:val="0"/>
        <w:spacing w:after="120" w:line="360" w:lineRule="auto"/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  <w:t xml:space="preserve">Odpowiedź: </w:t>
      </w:r>
    </w:p>
    <w:p w:rsidR="00A41D87" w:rsidRPr="00766808" w:rsidRDefault="00A41D87" w:rsidP="00766808">
      <w:pPr>
        <w:suppressAutoHyphens/>
        <w:autoSpaceDN w:val="0"/>
        <w:spacing w:after="120" w:line="360" w:lineRule="auto"/>
        <w:rPr>
          <w:rFonts w:eastAsia="Calibri" w:cs="Times New Roman"/>
          <w:bCs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spacing w:val="20"/>
          <w:sz w:val="24"/>
          <w:szCs w:val="24"/>
          <w:lang w:eastAsia="pl-PL"/>
        </w:rPr>
        <w:t>Jeżeli zasilenie gniazd do podłączenia oświetlenia świątecznego z zacisków oprawy oświetleniowej będzie skutkowało rozszczelnieniem oprawy i utratą gwarancji, zasilanie tych gniazd należy poprowadzić od strony złącza kablowego (tabliczki bezpiecznikowej). Od złącza przewód należy poprowadzić wewnątrz słupa i wyprowadzić go na zewnątrz przez otwór z boku wysięgnika. Otwór wysięgnika należy uszczelnić. Gniazdo do podłączenie oświetlenia świątecznego należy przymocować do słupa opaską zaciskową. Zamawiający zaakceptuje inne sposoby instalacji gniazd nie powodujące utraty gwarancji na oprawy oświetleniowe</w:t>
      </w:r>
      <w:r w:rsidRPr="00766808">
        <w:rPr>
          <w:rFonts w:eastAsia="Calibri" w:cs="Times New Roman"/>
          <w:bCs/>
          <w:spacing w:val="20"/>
          <w:sz w:val="24"/>
          <w:szCs w:val="24"/>
          <w:lang w:eastAsia="pl-PL"/>
        </w:rPr>
        <w:t>.</w:t>
      </w:r>
    </w:p>
    <w:p w:rsidR="00A41D87" w:rsidRPr="00766808" w:rsidRDefault="00A41D87" w:rsidP="00766808">
      <w:pPr>
        <w:suppressAutoHyphens/>
        <w:autoSpaceDN w:val="0"/>
        <w:spacing w:before="240" w:after="120" w:line="360" w:lineRule="auto"/>
        <w:rPr>
          <w:rFonts w:eastAsia="Calibri" w:cs="Times New Roman"/>
          <w:b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spacing w:val="20"/>
          <w:sz w:val="24"/>
          <w:szCs w:val="24"/>
          <w:lang w:eastAsia="pl-PL"/>
        </w:rPr>
        <w:t>Pytanie nr 10</w:t>
      </w:r>
    </w:p>
    <w:p w:rsidR="00A41D87" w:rsidRPr="00766808" w:rsidRDefault="00DE084D" w:rsidP="00766808">
      <w:pPr>
        <w:suppressAutoHyphens/>
        <w:autoSpaceDN w:val="0"/>
        <w:spacing w:after="120" w:line="360" w:lineRule="auto"/>
        <w:rPr>
          <w:rFonts w:eastAsia="Calibri" w:cs="Times New Roman"/>
          <w:bCs/>
          <w:i/>
          <w:iCs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Cs/>
          <w:i/>
          <w:iCs/>
          <w:spacing w:val="20"/>
          <w:sz w:val="24"/>
          <w:szCs w:val="24"/>
          <w:lang w:eastAsia="pl-PL"/>
        </w:rPr>
        <w:lastRenderedPageBreak/>
        <w:t>„</w:t>
      </w:r>
      <w:r w:rsidR="00A41D87" w:rsidRPr="00766808">
        <w:rPr>
          <w:rFonts w:eastAsia="Calibri" w:cs="Times New Roman"/>
          <w:bCs/>
          <w:i/>
          <w:iCs/>
          <w:spacing w:val="20"/>
          <w:sz w:val="24"/>
          <w:szCs w:val="24"/>
          <w:lang w:eastAsia="pl-PL"/>
        </w:rPr>
        <w:t xml:space="preserve">Opis wymagań dotyczących wydajności i funkcjonalności modernizowanego systemu oświetlenia drogowego na terenie Miasta Sandomierz – etap I </w:t>
      </w:r>
      <w:proofErr w:type="spellStart"/>
      <w:r w:rsidR="00A41D87" w:rsidRPr="00766808">
        <w:rPr>
          <w:rFonts w:eastAsia="Calibri" w:cs="Times New Roman"/>
          <w:bCs/>
          <w:i/>
          <w:iCs/>
          <w:spacing w:val="20"/>
          <w:sz w:val="24"/>
          <w:szCs w:val="24"/>
          <w:lang w:eastAsia="pl-PL"/>
        </w:rPr>
        <w:t>i</w:t>
      </w:r>
      <w:proofErr w:type="spellEnd"/>
      <w:r w:rsidR="00A41D87" w:rsidRPr="00766808">
        <w:rPr>
          <w:rFonts w:eastAsia="Calibri" w:cs="Times New Roman"/>
          <w:bCs/>
          <w:i/>
          <w:iCs/>
          <w:spacing w:val="20"/>
          <w:sz w:val="24"/>
          <w:szCs w:val="24"/>
          <w:lang w:eastAsia="pl-PL"/>
        </w:rPr>
        <w:t xml:space="preserve"> II w 5.12 wymaga zainstalowania i zasilenia gniazda (</w:t>
      </w:r>
      <w:r w:rsidR="009F02E9" w:rsidRPr="00766808">
        <w:rPr>
          <w:rFonts w:eastAsia="Calibri" w:cs="Times New Roman"/>
          <w:bCs/>
          <w:i/>
          <w:iCs/>
          <w:spacing w:val="20"/>
          <w:sz w:val="24"/>
          <w:szCs w:val="24"/>
          <w:lang w:eastAsia="pl-PL"/>
        </w:rPr>
        <w:t xml:space="preserve">standard </w:t>
      </w:r>
      <w:r w:rsidR="00A41D87" w:rsidRPr="00766808">
        <w:rPr>
          <w:rFonts w:eastAsia="Calibri" w:cs="Times New Roman"/>
          <w:bCs/>
          <w:i/>
          <w:iCs/>
          <w:spacing w:val="20"/>
          <w:sz w:val="24"/>
          <w:szCs w:val="24"/>
          <w:lang w:eastAsia="pl-PL"/>
        </w:rPr>
        <w:t>Wieland, Wago lub równoważny).</w:t>
      </w:r>
    </w:p>
    <w:p w:rsidR="00A41D87" w:rsidRPr="00766808" w:rsidRDefault="00A41D87" w:rsidP="00766808">
      <w:pPr>
        <w:suppressAutoHyphens/>
        <w:autoSpaceDN w:val="0"/>
        <w:spacing w:after="120" w:line="360" w:lineRule="auto"/>
        <w:rPr>
          <w:rFonts w:eastAsia="Calibri" w:cs="Times New Roman"/>
          <w:bCs/>
          <w:i/>
          <w:iCs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Cs/>
          <w:i/>
          <w:iCs/>
          <w:spacing w:val="20"/>
          <w:sz w:val="24"/>
          <w:szCs w:val="24"/>
          <w:lang w:eastAsia="pl-PL"/>
        </w:rPr>
        <w:t>Prosimy o podanie minimalnego stopnia szczelności IP ?? dla gniazda i wtyczki oraz określenie, ilu polowe ma być to połączenie: 2-polowe, czy 3-polowe?</w:t>
      </w:r>
      <w:r w:rsidR="00DE084D" w:rsidRPr="00766808">
        <w:rPr>
          <w:rFonts w:eastAsia="Calibri" w:cs="Times New Roman"/>
          <w:bCs/>
          <w:i/>
          <w:iCs/>
          <w:spacing w:val="20"/>
          <w:sz w:val="24"/>
          <w:szCs w:val="24"/>
          <w:lang w:eastAsia="pl-PL"/>
        </w:rPr>
        <w:t>”</w:t>
      </w:r>
    </w:p>
    <w:p w:rsidR="008D597D" w:rsidRPr="00766808" w:rsidRDefault="008D597D" w:rsidP="00766808">
      <w:pPr>
        <w:suppressAutoHyphens/>
        <w:autoSpaceDN w:val="0"/>
        <w:spacing w:after="120" w:line="360" w:lineRule="auto"/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  <w:t xml:space="preserve">Odpowiedź: </w:t>
      </w:r>
    </w:p>
    <w:p w:rsidR="005F5FF5" w:rsidRPr="00B71FA0" w:rsidRDefault="00A41D87" w:rsidP="00B71FA0">
      <w:pPr>
        <w:suppressAutoHyphens/>
        <w:autoSpaceDN w:val="0"/>
        <w:spacing w:after="120" w:line="360" w:lineRule="auto"/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</w:pPr>
      <w:r w:rsidRPr="00766808"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  <w:t>Gniazdo-wtyczka ma mieć stopień szczelności co najmniej IP66 i ma być 3-polowe.</w:t>
      </w:r>
      <w:r w:rsidR="00B71FA0">
        <w:rPr>
          <w:rFonts w:eastAsia="Calibri" w:cs="Times New Roman"/>
          <w:b/>
          <w:color w:val="000000"/>
          <w:spacing w:val="20"/>
          <w:sz w:val="24"/>
          <w:szCs w:val="24"/>
          <w:lang w:eastAsia="pl-PL"/>
        </w:rPr>
        <w:t xml:space="preserve"> </w:t>
      </w:r>
      <w:r w:rsidR="005F5FF5" w:rsidRPr="00766808">
        <w:rPr>
          <w:rFonts w:eastAsia="Times New Roman" w:cs="Times New Roman"/>
          <w:b/>
          <w:bCs/>
          <w:spacing w:val="20"/>
          <w:sz w:val="24"/>
          <w:szCs w:val="24"/>
          <w:lang w:eastAsia="pl-PL"/>
        </w:rPr>
        <w:t>Wyjaśnienia oraz zmiany treści SIWZ są wiążące dla wszystkich Wykonawców i należy je uwzględnić przy sporządzaniu i składaniu oferty.</w:t>
      </w:r>
    </w:p>
    <w:p w:rsidR="005F5FF5" w:rsidRPr="00766808" w:rsidRDefault="005F5FF5" w:rsidP="00766808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</w:p>
    <w:p w:rsidR="00A41D87" w:rsidRPr="00766808" w:rsidRDefault="00A41D87" w:rsidP="00766808">
      <w:pPr>
        <w:spacing w:after="0" w:line="360" w:lineRule="auto"/>
        <w:rPr>
          <w:rFonts w:eastAsia="Calibri" w:cs="Times New Roman"/>
          <w:b/>
          <w:iCs/>
          <w:spacing w:val="20"/>
          <w:sz w:val="24"/>
          <w:szCs w:val="24"/>
        </w:rPr>
      </w:pPr>
    </w:p>
    <w:sectPr w:rsidR="00A41D87" w:rsidRPr="00766808" w:rsidSect="002D31B7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99" w:rsidRDefault="00841699" w:rsidP="00E7667E">
      <w:pPr>
        <w:spacing w:after="0" w:line="240" w:lineRule="auto"/>
      </w:pPr>
      <w:r>
        <w:separator/>
      </w:r>
    </w:p>
  </w:endnote>
  <w:endnote w:type="continuationSeparator" w:id="0">
    <w:p w:rsidR="00841699" w:rsidRDefault="00841699" w:rsidP="00E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44657"/>
      <w:docPartObj>
        <w:docPartGallery w:val="Page Numbers (Bottom of Page)"/>
        <w:docPartUnique/>
      </w:docPartObj>
    </w:sdtPr>
    <w:sdtEndPr/>
    <w:sdtContent>
      <w:p w:rsidR="00841699" w:rsidRDefault="002C677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0E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41699" w:rsidRDefault="00841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99" w:rsidRDefault="00841699" w:rsidP="00E7667E">
      <w:pPr>
        <w:spacing w:after="0" w:line="240" w:lineRule="auto"/>
      </w:pPr>
      <w:r>
        <w:separator/>
      </w:r>
    </w:p>
  </w:footnote>
  <w:footnote w:type="continuationSeparator" w:id="0">
    <w:p w:rsidR="00841699" w:rsidRDefault="00841699" w:rsidP="00E7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87"/>
      <w:gridCol w:w="2611"/>
      <w:gridCol w:w="1995"/>
      <w:gridCol w:w="2403"/>
    </w:tblGrid>
    <w:tr w:rsidR="00841699" w:rsidRPr="00C96983" w:rsidTr="00841699">
      <w:tc>
        <w:tcPr>
          <w:tcW w:w="1016" w:type="pct"/>
          <w:tcMar>
            <w:left w:w="0" w:type="dxa"/>
            <w:right w:w="0" w:type="dxa"/>
          </w:tcMar>
        </w:tcPr>
        <w:p w:rsidR="00841699" w:rsidRPr="00C96983" w:rsidRDefault="00841699" w:rsidP="00841699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5525" cy="437515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841699" w:rsidRPr="00C96983" w:rsidRDefault="00841699" w:rsidP="0084169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399540" cy="437515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841699" w:rsidRPr="00C96983" w:rsidRDefault="00841699" w:rsidP="0084169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668020" cy="437515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841699" w:rsidRPr="00C96983" w:rsidRDefault="00841699" w:rsidP="0084169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4785" cy="437515"/>
                <wp:effectExtent l="0" t="0" r="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699" w:rsidRDefault="00841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F7F"/>
    <w:multiLevelType w:val="hybridMultilevel"/>
    <w:tmpl w:val="35B00314"/>
    <w:lvl w:ilvl="0" w:tplc="0032C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A72E29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D22BE5"/>
    <w:multiLevelType w:val="hybridMultilevel"/>
    <w:tmpl w:val="673E1FE4"/>
    <w:lvl w:ilvl="0" w:tplc="AFB8A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4301"/>
    <w:multiLevelType w:val="hybridMultilevel"/>
    <w:tmpl w:val="7BEA3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3609"/>
    <w:multiLevelType w:val="multilevel"/>
    <w:tmpl w:val="209C64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3F752D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B768B1"/>
    <w:multiLevelType w:val="hybridMultilevel"/>
    <w:tmpl w:val="2D6A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42187"/>
    <w:multiLevelType w:val="hybridMultilevel"/>
    <w:tmpl w:val="C3FC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A53"/>
    <w:rsid w:val="000239D2"/>
    <w:rsid w:val="000242DF"/>
    <w:rsid w:val="00034EFA"/>
    <w:rsid w:val="00092638"/>
    <w:rsid w:val="000B70EA"/>
    <w:rsid w:val="000F2E38"/>
    <w:rsid w:val="0014168D"/>
    <w:rsid w:val="00190CD0"/>
    <w:rsid w:val="001A0A44"/>
    <w:rsid w:val="001D3BD3"/>
    <w:rsid w:val="001E5C6B"/>
    <w:rsid w:val="001F690A"/>
    <w:rsid w:val="00217E22"/>
    <w:rsid w:val="00226866"/>
    <w:rsid w:val="00255289"/>
    <w:rsid w:val="00294D6A"/>
    <w:rsid w:val="002B0EE0"/>
    <w:rsid w:val="002B2063"/>
    <w:rsid w:val="002C6773"/>
    <w:rsid w:val="002D31B7"/>
    <w:rsid w:val="003000F1"/>
    <w:rsid w:val="00310680"/>
    <w:rsid w:val="00354A40"/>
    <w:rsid w:val="00380AAA"/>
    <w:rsid w:val="003849B1"/>
    <w:rsid w:val="003B1FC1"/>
    <w:rsid w:val="003D684D"/>
    <w:rsid w:val="003D768E"/>
    <w:rsid w:val="003E2C0F"/>
    <w:rsid w:val="0041054A"/>
    <w:rsid w:val="00426A53"/>
    <w:rsid w:val="004930A0"/>
    <w:rsid w:val="004F139E"/>
    <w:rsid w:val="00545283"/>
    <w:rsid w:val="00556B49"/>
    <w:rsid w:val="005C62A6"/>
    <w:rsid w:val="005F0982"/>
    <w:rsid w:val="005F5FF5"/>
    <w:rsid w:val="00606B68"/>
    <w:rsid w:val="006B06B8"/>
    <w:rsid w:val="006C65F0"/>
    <w:rsid w:val="006C6C6C"/>
    <w:rsid w:val="0070168D"/>
    <w:rsid w:val="00751FC8"/>
    <w:rsid w:val="00766808"/>
    <w:rsid w:val="007B15BB"/>
    <w:rsid w:val="007B4CE6"/>
    <w:rsid w:val="007B521B"/>
    <w:rsid w:val="007C37B3"/>
    <w:rsid w:val="00804EF5"/>
    <w:rsid w:val="0081417A"/>
    <w:rsid w:val="008154A7"/>
    <w:rsid w:val="00841699"/>
    <w:rsid w:val="00842DD8"/>
    <w:rsid w:val="0085440D"/>
    <w:rsid w:val="008B73EC"/>
    <w:rsid w:val="008C4818"/>
    <w:rsid w:val="008D597D"/>
    <w:rsid w:val="008D7F35"/>
    <w:rsid w:val="00916F80"/>
    <w:rsid w:val="00932B5C"/>
    <w:rsid w:val="00947B43"/>
    <w:rsid w:val="00950C3B"/>
    <w:rsid w:val="009A2847"/>
    <w:rsid w:val="009F02E9"/>
    <w:rsid w:val="00A262E6"/>
    <w:rsid w:val="00A41D87"/>
    <w:rsid w:val="00A61637"/>
    <w:rsid w:val="00A95D53"/>
    <w:rsid w:val="00B0112E"/>
    <w:rsid w:val="00B417BE"/>
    <w:rsid w:val="00B52518"/>
    <w:rsid w:val="00B71FA0"/>
    <w:rsid w:val="00B95984"/>
    <w:rsid w:val="00BA1CEF"/>
    <w:rsid w:val="00BB14D1"/>
    <w:rsid w:val="00BC15E6"/>
    <w:rsid w:val="00BE18D2"/>
    <w:rsid w:val="00BF71BC"/>
    <w:rsid w:val="00C220C3"/>
    <w:rsid w:val="00C3101E"/>
    <w:rsid w:val="00C41F2B"/>
    <w:rsid w:val="00C94595"/>
    <w:rsid w:val="00C95AA1"/>
    <w:rsid w:val="00CA3F0B"/>
    <w:rsid w:val="00CB36FF"/>
    <w:rsid w:val="00CC6DEA"/>
    <w:rsid w:val="00CF245E"/>
    <w:rsid w:val="00D43450"/>
    <w:rsid w:val="00D55C21"/>
    <w:rsid w:val="00DD3794"/>
    <w:rsid w:val="00DE084D"/>
    <w:rsid w:val="00E362F4"/>
    <w:rsid w:val="00E53727"/>
    <w:rsid w:val="00E5765C"/>
    <w:rsid w:val="00E7667E"/>
    <w:rsid w:val="00EA2A88"/>
    <w:rsid w:val="00F322B6"/>
    <w:rsid w:val="00F71B81"/>
    <w:rsid w:val="00F76181"/>
    <w:rsid w:val="00FA259B"/>
    <w:rsid w:val="00FA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F71BC"/>
    <w:rPr>
      <w:b/>
      <w:bCs/>
    </w:rPr>
  </w:style>
  <w:style w:type="character" w:styleId="Uwydatnienie">
    <w:name w:val="Emphasis"/>
    <w:basedOn w:val="Domylnaczcionkaakapitu"/>
    <w:uiPriority w:val="20"/>
    <w:qFormat/>
    <w:rsid w:val="00BF71BC"/>
    <w:rPr>
      <w:i/>
      <w:iCs/>
    </w:rPr>
  </w:style>
  <w:style w:type="paragraph" w:styleId="Akapitzlist">
    <w:name w:val="List Paragraph"/>
    <w:basedOn w:val="Normalny"/>
    <w:uiPriority w:val="34"/>
    <w:qFormat/>
    <w:rsid w:val="00BF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8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A2A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67E"/>
  </w:style>
  <w:style w:type="paragraph" w:styleId="Stopka">
    <w:name w:val="footer"/>
    <w:basedOn w:val="Normalny"/>
    <w:link w:val="StopkaZnak"/>
    <w:uiPriority w:val="99"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4F09-E144-4379-A8AD-018F0439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Kinga Młodożeniec</cp:lastModifiedBy>
  <cp:revision>71</cp:revision>
  <cp:lastPrinted>2020-02-25T09:33:00Z</cp:lastPrinted>
  <dcterms:created xsi:type="dcterms:W3CDTF">2020-01-28T07:52:00Z</dcterms:created>
  <dcterms:modified xsi:type="dcterms:W3CDTF">2021-01-18T11:58:00Z</dcterms:modified>
</cp:coreProperties>
</file>