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C3" w:rsidRDefault="008D56C3" w:rsidP="008D56C3"/>
    <w:p w:rsidR="008D56C3" w:rsidRPr="008D56C3" w:rsidRDefault="008D56C3" w:rsidP="008D56C3">
      <w:pPr>
        <w:jc w:val="center"/>
        <w:rPr>
          <w:b/>
          <w:sz w:val="24"/>
          <w:szCs w:val="24"/>
        </w:rPr>
      </w:pPr>
      <w:r w:rsidRPr="008D56C3">
        <w:rPr>
          <w:b/>
          <w:sz w:val="24"/>
          <w:szCs w:val="24"/>
        </w:rPr>
        <w:t>Zestawienie ofert</w:t>
      </w:r>
    </w:p>
    <w:p w:rsidR="008D56C3" w:rsidRPr="008D56C3" w:rsidRDefault="008D56C3" w:rsidP="008D56C3">
      <w:pPr>
        <w:rPr>
          <w:b/>
        </w:rPr>
      </w:pPr>
      <w:r w:rsidRPr="008D56C3">
        <w:rPr>
          <w:b/>
        </w:rPr>
        <w:t>Postępowanie: 27/2024- Usługi bankowe polegające na prowadzeniu rachunku bankowego przez okres 3 lat wraz z wstawieniem bankomatu z funkcją wpłat</w:t>
      </w:r>
      <w:r>
        <w:rPr>
          <w:b/>
        </w:rPr>
        <w:t>omatu oraz udzieleniu kredytu w </w:t>
      </w:r>
      <w:r w:rsidRPr="008D56C3">
        <w:rPr>
          <w:b/>
        </w:rPr>
        <w:t xml:space="preserve">rachunku bieżącym (ID 900470) </w:t>
      </w:r>
    </w:p>
    <w:p w:rsidR="008D56C3" w:rsidRDefault="008D56C3" w:rsidP="008D56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"/>
        <w:gridCol w:w="2071"/>
        <w:gridCol w:w="1528"/>
        <w:gridCol w:w="1734"/>
        <w:gridCol w:w="1537"/>
        <w:gridCol w:w="1716"/>
      </w:tblGrid>
      <w:tr w:rsidR="008D56C3" w:rsidTr="008D56C3">
        <w:tc>
          <w:tcPr>
            <w:tcW w:w="476" w:type="dxa"/>
          </w:tcPr>
          <w:p w:rsidR="008D56C3" w:rsidRDefault="008D56C3" w:rsidP="008D56C3">
            <w:proofErr w:type="spellStart"/>
            <w:r>
              <w:t>Lp</w:t>
            </w:r>
            <w:proofErr w:type="spellEnd"/>
          </w:p>
        </w:tc>
        <w:tc>
          <w:tcPr>
            <w:tcW w:w="2071" w:type="dxa"/>
          </w:tcPr>
          <w:p w:rsidR="008D56C3" w:rsidRDefault="008D56C3" w:rsidP="008D56C3">
            <w:r>
              <w:t>Wykonawca</w:t>
            </w:r>
          </w:p>
        </w:tc>
        <w:tc>
          <w:tcPr>
            <w:tcW w:w="1528" w:type="dxa"/>
          </w:tcPr>
          <w:p w:rsidR="008D56C3" w:rsidRDefault="008D56C3" w:rsidP="008D56C3">
            <w:r>
              <w:t>Data odszyfrowania</w:t>
            </w:r>
          </w:p>
        </w:tc>
        <w:tc>
          <w:tcPr>
            <w:tcW w:w="1734" w:type="dxa"/>
          </w:tcPr>
          <w:p w:rsidR="008D56C3" w:rsidRDefault="008D56C3" w:rsidP="008D56C3">
            <w:r>
              <w:t>Cena kredytu tj. oprocentowanie w stosunku rocznym</w:t>
            </w:r>
          </w:p>
        </w:tc>
        <w:tc>
          <w:tcPr>
            <w:tcW w:w="1537" w:type="dxa"/>
          </w:tcPr>
          <w:p w:rsidR="008D56C3" w:rsidRDefault="008D56C3" w:rsidP="008D56C3">
            <w:r>
              <w:t>Ryczałt za prowadzenie rachunku bieżącego miesięcznie</w:t>
            </w:r>
          </w:p>
        </w:tc>
        <w:tc>
          <w:tcPr>
            <w:tcW w:w="1716" w:type="dxa"/>
          </w:tcPr>
          <w:p w:rsidR="008D56C3" w:rsidRDefault="008D56C3" w:rsidP="008D56C3">
            <w:r>
              <w:t xml:space="preserve">Oprocentowanie środków na rachunku bieżącym w stosunku rocznym </w:t>
            </w:r>
          </w:p>
        </w:tc>
      </w:tr>
      <w:tr w:rsidR="008D56C3" w:rsidTr="008D56C3">
        <w:tc>
          <w:tcPr>
            <w:tcW w:w="476" w:type="dxa"/>
          </w:tcPr>
          <w:p w:rsidR="008D56C3" w:rsidRDefault="008D56C3" w:rsidP="008D56C3">
            <w:r>
              <w:t>1.</w:t>
            </w:r>
          </w:p>
        </w:tc>
        <w:tc>
          <w:tcPr>
            <w:tcW w:w="2071" w:type="dxa"/>
          </w:tcPr>
          <w:p w:rsidR="008D56C3" w:rsidRDefault="008D56C3" w:rsidP="008D56C3">
            <w:r>
              <w:t>BNP PARIBAS BANK POLSKA SPÓŁKA AKCYJNA 01-211 Warszawa, ul. Marcina Kasprzaka 2 NIP 5261008546</w:t>
            </w:r>
          </w:p>
        </w:tc>
        <w:tc>
          <w:tcPr>
            <w:tcW w:w="1528" w:type="dxa"/>
          </w:tcPr>
          <w:p w:rsidR="008D56C3" w:rsidRDefault="008D56C3" w:rsidP="008D56C3">
            <w:r>
              <w:t>2024-03-27 13:30:3</w:t>
            </w:r>
          </w:p>
        </w:tc>
        <w:tc>
          <w:tcPr>
            <w:tcW w:w="1734" w:type="dxa"/>
          </w:tcPr>
          <w:p w:rsidR="008D56C3" w:rsidRDefault="008D56C3" w:rsidP="008D56C3">
            <w:r>
              <w:t>6,42%</w:t>
            </w:r>
          </w:p>
        </w:tc>
        <w:tc>
          <w:tcPr>
            <w:tcW w:w="1537" w:type="dxa"/>
          </w:tcPr>
          <w:p w:rsidR="008D56C3" w:rsidRDefault="008D56C3" w:rsidP="008D56C3">
            <w:r>
              <w:t>Zero złotych</w:t>
            </w:r>
          </w:p>
        </w:tc>
        <w:tc>
          <w:tcPr>
            <w:tcW w:w="1716" w:type="dxa"/>
          </w:tcPr>
          <w:p w:rsidR="008D56C3" w:rsidRDefault="008D56C3" w:rsidP="008D56C3">
            <w:r>
              <w:t>3,28%</w:t>
            </w:r>
          </w:p>
        </w:tc>
      </w:tr>
    </w:tbl>
    <w:p w:rsidR="001720FD" w:rsidRPr="008D56C3" w:rsidRDefault="008D56C3" w:rsidP="008D56C3">
      <w:bookmarkStart w:id="0" w:name="_GoBack"/>
      <w:bookmarkEnd w:id="0"/>
    </w:p>
    <w:sectPr w:rsidR="001720FD" w:rsidRPr="008D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A9"/>
    <w:rsid w:val="00047141"/>
    <w:rsid w:val="0033743C"/>
    <w:rsid w:val="004636AB"/>
    <w:rsid w:val="007A34A9"/>
    <w:rsid w:val="008D56C3"/>
    <w:rsid w:val="009534A9"/>
    <w:rsid w:val="00E3201F"/>
    <w:rsid w:val="00EA32B7"/>
    <w:rsid w:val="00E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2434-FF75-4E60-BB10-835F1AFB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2</cp:revision>
  <dcterms:created xsi:type="dcterms:W3CDTF">2024-03-27T13:58:00Z</dcterms:created>
  <dcterms:modified xsi:type="dcterms:W3CDTF">2024-03-27T13:58:00Z</dcterms:modified>
</cp:coreProperties>
</file>