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right"/>
        <w:rPr>
          <w:rFonts w:ascii="Calibri" w:hAnsi="Calibri" w:eastAsia="Calibri" w:cs="" w:asciiTheme="minorHAnsi" w:cstheme="minorBidi" w:eastAsiaTheme="minorHAnsi" w:hAnsiTheme="minorHAnsi"/>
          <w:spacing w:val="0"/>
          <w:kern w:val="0"/>
          <w:sz w:val="22"/>
          <w:szCs w:val="22"/>
        </w:rPr>
      </w:pPr>
      <w:r>
        <w:rPr>
          <w:rFonts w:eastAsia="Calibri" w:cs="" w:cstheme="minorBidi" w:eastAsiaTheme="minorHAnsi" w:ascii="Calibri" w:hAnsi="Calibri"/>
          <w:spacing w:val="0"/>
          <w:kern w:val="0"/>
          <w:sz w:val="22"/>
          <w:szCs w:val="22"/>
        </w:rPr>
      </w:r>
    </w:p>
    <w:p>
      <w:pPr>
        <w:pStyle w:val="Title"/>
        <w:spacing w:before="120" w:after="0"/>
        <w:contextualSpacing w:val="false"/>
        <w:jc w:val="right"/>
        <w:rPr>
          <w:rFonts w:ascii="Calibri" w:hAnsi="Calibri" w:eastAsia="Calibri" w:cs="" w:asciiTheme="minorHAnsi" w:cstheme="minorBidi" w:eastAsiaTheme="minorHAnsi" w:hAnsiTheme="minorHAnsi"/>
          <w:spacing w:val="0"/>
          <w:kern w:val="0"/>
          <w:sz w:val="22"/>
          <w:szCs w:val="22"/>
        </w:rPr>
      </w:pPr>
      <w:r>
        <w:rPr>
          <w:rFonts w:eastAsia="Calibri" w:cs="" w:ascii="Calibri" w:hAnsi="Calibri" w:asciiTheme="minorHAnsi" w:cstheme="minorBidi" w:eastAsiaTheme="minorHAnsi" w:hAnsiTheme="minorHAnsi"/>
          <w:spacing w:val="0"/>
          <w:kern w:val="0"/>
          <w:sz w:val="22"/>
          <w:szCs w:val="22"/>
        </w:rPr>
        <w:t xml:space="preserve">Załącznik nr </w:t>
      </w:r>
      <w:r>
        <w:rPr>
          <w:rFonts w:eastAsia="Calibri" w:cs="" w:ascii="Calibri" w:hAnsi="Calibri" w:asciiTheme="minorHAnsi" w:cstheme="minorBidi" w:eastAsiaTheme="minorHAnsi" w:hAnsiTheme="minorHAnsi"/>
          <w:spacing w:val="0"/>
          <w:kern w:val="0"/>
          <w:sz w:val="22"/>
          <w:szCs w:val="22"/>
        </w:rPr>
        <w:t>6</w:t>
      </w:r>
      <w:r>
        <w:rPr>
          <w:rFonts w:eastAsia="Calibri" w:cs="" w:ascii="Calibri" w:hAnsi="Calibri" w:asciiTheme="minorHAnsi" w:cstheme="minorBidi" w:eastAsiaTheme="minorHAnsi" w:hAnsiTheme="minorHAnsi"/>
          <w:spacing w:val="0"/>
          <w:kern w:val="0"/>
          <w:sz w:val="22"/>
          <w:szCs w:val="22"/>
        </w:rPr>
        <w:t xml:space="preserve"> do SWZ</w:t>
      </w:r>
    </w:p>
    <w:p>
      <w:pPr>
        <w:pStyle w:val="Normal"/>
        <w:spacing w:lineRule="auto" w:line="240" w:before="0" w:after="0"/>
        <w:ind w:hanging="0"/>
        <w:rPr>
          <w:sz w:val="36"/>
        </w:rPr>
      </w:pPr>
      <w:r>
        <w:rPr>
          <w:sz w:val="36"/>
        </w:rPr>
      </w:r>
      <w:bookmarkStart w:id="0" w:name="_GoBack"/>
      <w:bookmarkStart w:id="1" w:name="_GoBack"/>
      <w:bookmarkEnd w:id="1"/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Wymagania dla próbki przedmiotu zamówienia </w:t>
        <w:br/>
        <w:t>oraz zasady i zakres jej badania</w:t>
      </w:r>
    </w:p>
    <w:p>
      <w:pPr>
        <w:pStyle w:val="Normal"/>
        <w:rPr/>
      </w:pPr>
      <w:r>
        <w:rPr/>
      </w:r>
      <w:bookmarkStart w:id="2" w:name="_Hlk55136643_kopia_1"/>
      <w:bookmarkStart w:id="3" w:name="_Hlk55136643_kopia_1"/>
      <w:bookmarkEnd w:id="3"/>
    </w:p>
    <w:p>
      <w:pPr>
        <w:pStyle w:val="Heading1"/>
        <w:numPr>
          <w:ilvl w:val="0"/>
          <w:numId w:val="1"/>
        </w:numPr>
        <w:spacing w:before="80" w:after="80"/>
        <w:ind w:hanging="357" w:left="357"/>
        <w:rPr/>
      </w:pPr>
      <w:r>
        <w:rPr/>
        <w:t>Badanie próbki – wymagania ogólne.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Celem złożenia próbki jest potwierdzenie, poprzez jej badanie i wyjaśnianie, zwane dalej badaniem próbki, czy oferowane przez Wykonawcę dostawy i usługi (Oprogramowanie) odpowiadają kluczowym wymaganiom określonym przez Zamawiającego w opisie przedmiotu zamówienia w szczególności w zakresie możliwości świadczenia e-usług będących przedmiotem realizacji projektu.</w:t>
      </w:r>
    </w:p>
    <w:p>
      <w:pPr>
        <w:pStyle w:val="ListParagraph"/>
        <w:numPr>
          <w:ilvl w:val="0"/>
          <w:numId w:val="3"/>
        </w:numPr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Mając na uwadze wymieniony powyżej cel badania próbki, próbka ma zawierać oprogramowanie zaoferowane przez Wykonawcę w zakresie systemu obsługi pracowników (portal pracowniczy).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Zamawiający, wymaga, aby Wykonawca wraz z ofertą złożył dwa dyski: </w:t>
      </w:r>
      <w:r>
        <w:rPr>
          <w:rFonts w:cs="Calibri" w:cstheme="minorHAnsi"/>
        </w:rPr>
        <w:t>dysk 1 - dysk podstawowy – próbka</w:t>
      </w:r>
      <w:r>
        <w:rPr>
          <w:rFonts w:cs="Calibri" w:cstheme="minorHAnsi"/>
          <w:color w:val="000000"/>
        </w:rPr>
        <w:t xml:space="preserve">; </w:t>
      </w:r>
      <w:r>
        <w:rPr>
          <w:rFonts w:cs="Calibri" w:cstheme="minorHAnsi"/>
        </w:rPr>
        <w:t xml:space="preserve">dysk 2 – dysk zapasowy - próbka (kopia), na których przekaże próbkę Oprogramowania, o którym mowa w ust. 2 w postaci wirtualnej maszyny z zainstalowanym systemem operacyjnym, bazodanowym i oferowanym przez Wykonawcę pakietem oprogramowania zasilonym przykładowymi danymi, które umożliwiają przeprowadzenie procedury badania próbki </w:t>
      </w:r>
      <w:r>
        <w:rPr/>
        <w:t>w zakresie  i na zasadach opisanych w niniejszym Załączniku do SWZ, w tym według</w:t>
      </w:r>
      <w:r>
        <w:rPr>
          <w:rFonts w:cs="Calibri" w:cstheme="minorHAnsi"/>
        </w:rPr>
        <w:t xml:space="preserve"> scenariusza badania próbki.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Przykładowe dane nie mogą naruszać zapisów Ustawy o ochronie danych osobowych. W przypadku jej naruszenia Wykonawca ponosi całkowitą odpowiedzialność.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Próbka musi zawierać instrukcję umożliwiającą wstępne badanie jej zawartości. Instrukcja musi umożliwić Zamawiającemu sprawdzenie kompletności oprogramowania. W tym celu instrukcja ta musi zawierać wskazówki dotyczące uruchomienia maszyny wirtualnej, loginy i hasła niezbędne do uruchomienia maszyn i zawartego na niej oprogramowania oraz wskazówki dotyczące lokalizacji i sposobu uruchomienia poszczególnych elementów oprogramowania. Instrukcja powinna zawierać ponadto informację o wykorzystywanych na jej potrzeby instalacjach bazy danych wraz z podaniem dla każdej bazy: nazwy, zastosowanego rozwiązania serwera baz danych SQL i przez które moduły testowanego oprogramowania dana baza jest wykorzystywana.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/>
        <w:t>Próbka musi zawierać na jednym dysk</w:t>
      </w:r>
      <w:r>
        <w:rPr>
          <w:shd w:fill="auto" w:val="clear"/>
        </w:rPr>
        <w:t>u (dysk podstawowy) system wskazany w ust. 2 oraz instrukcję, o której mowa w ust. 5</w:t>
      </w:r>
      <w:r>
        <w:rPr>
          <w:rFonts w:cs="Calibri" w:cstheme="minorHAnsi"/>
          <w:shd w:fill="auto" w:val="clear"/>
        </w:rPr>
        <w:t xml:space="preserve">. </w:t>
      </w:r>
      <w:r>
        <w:rPr>
          <w:rFonts w:cs="Calibri" w:cstheme="minorHAnsi"/>
          <w:shd w:fill="auto" w:val="clear"/>
        </w:rPr>
        <w:t>Z</w:t>
      </w:r>
      <w:r>
        <w:rPr>
          <w:rFonts w:cs="Calibri" w:cstheme="minorHAnsi"/>
        </w:rPr>
        <w:t>amawiający dopuszcza zainstalowanie na dostarczonym dysku zewnętrznym więcej niż jednej maszyny wirtualnej.</w:t>
      </w:r>
      <w:r>
        <w:rPr/>
        <w:t xml:space="preserve"> Drugi dysk zewnętrzny (dysk zapasowy) powinien posiadać identyczną zawartość jak dysk podstawowy, ponieważ stanowi on jego kopię.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Wykonawca przekaże na dyskach przenośnych wirtualną maszynę z zainstalowanym systemem operacyjnym oraz oprogramowaniem, stanowiącym próbkę dostaw i usług wraz z przykładowymi danymi dostarczonymi przez Wykonawcę.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W celu przeprowadzenia badania próbki, Zamawiający wezwie Wykonawcę do dokonania prezentacji zawartości próbki złożonej wraz z ofertą.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Prezentacja, o której mowa powyżej, zostanie przeprowadzona przez Wykonawcę w siedzibie Zamawiającego, zgodnie z procedurą określoną w Rozdziale 2 – Opis procedury badania. </w:t>
      </w:r>
      <w:r>
        <w:rPr/>
        <w:t>Nie dopuszcza się przeprowadzenia  badania próbki z wykorzystaniem połączenia zdalnego.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Oceny czy oferowane dostawy (Oprogramowanie) odpowiadają wymaganiom określonym przez Zamawiającego dokona Komisja Przetargowa na podstawie prezentacji zawartości złożonej próbki przeprowadzonej przez Wykonawcę.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Termin (dzień i godzina) przeprowadzenia badania próbki podany zostanie Wykonawcy co najmniej na 5 dni przed planowanym terminem badania próbki. Wykonawca zostanie powiadomiony o terminie prezentacji, z uwzględnieniem zasad porozumiewania się Zamawiającego z Wykonawcą opisanych w SWZ.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Dostarczenie sprawnych dysków przenośnych jest obowiązkiem Wykonawcy, a ich parametry muszą pozwalać na sprawne funkcjonowanie wirtualnej maszyny z zainstalowanym systemem operacyjnym, oferowanym oprogramowaniem systemu i przykładowymi danymi. </w:t>
      </w:r>
      <w:r>
        <w:rPr>
          <w:rFonts w:cs="Calibri" w:cstheme="minorHAnsi"/>
          <w:shd w:fill="auto" w:val="clear"/>
        </w:rPr>
        <w:t xml:space="preserve">Po przeprowadzonej prezentacji dyski pozostają własnością Zamawiającego.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Zamawiający zaleca, aby dyski przenośne były złożone w kopercie z oznakowaniem: </w:t>
      </w:r>
      <w:r>
        <w:rPr>
          <w:rFonts w:cs="Calibri" w:cstheme="minorHAnsi"/>
          <w:color w:val="000000"/>
        </w:rPr>
        <w:t>Dysk 1 – dysk podstawowy – próbka</w:t>
      </w:r>
      <w:r>
        <w:rPr>
          <w:rFonts w:cs="Calibri" w:cstheme="minorHAnsi"/>
        </w:rPr>
        <w:t xml:space="preserve">; </w:t>
      </w:r>
      <w:r>
        <w:rPr>
          <w:rFonts w:cs="Calibri" w:cstheme="minorHAnsi"/>
          <w:color w:val="000000"/>
        </w:rPr>
        <w:t xml:space="preserve">Dysk 2 – dysk zapasowy - próbka (kopia). </w:t>
      </w:r>
      <w:r>
        <w:rPr>
          <w:rFonts w:cs="Calibri" w:cstheme="minorHAnsi"/>
        </w:rPr>
        <w:t>Koperta powinna być opatrzona także nazwą i adresem Wykonawcy.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Niniejszy dokument nie zastępuje OPZ. Wymagania OPZ obowiązują w trakcie prezentacji próbki, tzn. sposób realizacji elementów scenariusza musi być spójny z OPZ i potwierdzać spełnienie wymagań OPZ.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Jeżeli którakolwiek funkcjonalność nie zostanie zademonstrowana (nie zostanie zademonstrowany jeden krok w całości zgodnie z przedstawionymi scenariuszem lub też sposób jego realizacji będzie stał w sprzeczności z OPZ lub prezentacja kroku scenariusza ujawni braki w funkcjonalności określonej w OPZ), Zamawiający uzna, że próbka zawiera błędy lub jest niekompletna i odrzuci ofertę.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</w:rPr>
      </w:pPr>
      <w:r>
        <w:rPr/>
        <w:t>W przypadku, gdy Wykonawca nie stawi się na prezentację lub odmówi jej przeprowadzenia</w:t>
        <w:br/>
        <w:t>i w konsekwencji nie przeprowadzi prezentacji, wówczas Zamawiający uzna, że treść oferty tego Wykonawcy nie odpowiada treści Specyfikacji Warunków Zamówienia i oferta zostanie odrzucona.</w:t>
      </w:r>
    </w:p>
    <w:p>
      <w:pPr>
        <w:pStyle w:val="Heading1"/>
        <w:numPr>
          <w:ilvl w:val="0"/>
          <w:numId w:val="1"/>
        </w:numPr>
        <w:spacing w:before="80" w:after="80"/>
        <w:ind w:hanging="357" w:left="357"/>
        <w:rPr/>
      </w:pPr>
      <w:r>
        <w:rPr/>
        <w:t>Opis procedury badania.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Badanie próbki odbędzie się w siedzibie Zamawiającego z wykorzystaniem wirtualnej maszyny z zainstalowanym systemem operacyjnym i oprogramowaniem wraz z przykładowymi danymi znajdującymi się na dysku przenośnym, dostarczonym przez Wykonawcę i podłączonym do komputera. Wykonawca zapewni też urządzenia mobilne, na których będzie przeprowadzał próbkowanie w zakresie wymaganym w scenariuszu oraz zapewni urządzenia peryferyjne </w:t>
      </w:r>
      <w:r>
        <w:rPr>
          <w:rFonts w:eastAsia="Calibri" w:cs="" w:cstheme="minorBidi" w:eastAsiaTheme="minorHAnsi"/>
          <w:shd w:fill="FFFF00" w:val="clear"/>
        </w:rPr>
        <w:t>(</w:t>
      </w:r>
      <w:r>
        <w:rPr>
          <w:rFonts w:eastAsia="Calibri" w:cs="" w:cstheme="minorBidi" w:eastAsiaTheme="minorHAnsi"/>
          <w:shd w:fill="auto" w:val="clear"/>
        </w:rPr>
        <w:t>np. drukarkę).</w:t>
      </w:r>
      <w:r>
        <w:rPr>
          <w:shd w:fill="auto" w:val="clear"/>
        </w:rPr>
        <w:t xml:space="preserve"> </w:t>
      </w:r>
      <w:r>
        <w:rPr/>
        <w:t>Dopuszczalne jest testowanie aplikacji/stron mobilnych w środowisku emulującym pracę tych urządzeń na komputerze służącym do próbkowania, pod warunkiem zgodności emulatora z ogólnodostępną na rynku wersją systemu (Android, IOS).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Każde badanie próbki będzie prowadzone według tego samego scenariusza.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Wykonawca, na godzinę przed wyznaczonym terminem badania próbki, otrzyma od Zamawiającego dysk przenośny i zapasowy, które dostarczył Zamawiającemu.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Zamawiający zapewni Wykonawcy na czas przeprowadzenia prezentacji próbki dostęp do Internetu lub zezwoli na wykorzystanie punktu dostępowego zapewnionego we własnym zakresie przez Wykonawcę (wybór należy do Wykonawcy). Korzystanie z połączenia internetowego jest dozwolone tylko i wyłącznie dla tych kroków scenariusza, gdzie wyraźnie to zaznaczono.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Wykonawca zobowiązany jest do wyjaśnienia Zamawiającemu, że badana próbka oprogramowania posiada cechy i funkcjonalności wymagane do zaprezentowania zgodnie ze scenariuszem. Wykonawca zobowiązany jest do udzielenia Zamawiającemu wszelkich wyjaśnień umożliwiających zbadanie, czy oferowane oprogramowanie posiada wymagane cechy i funkcjonalności. Badanie próbki będzie prowadzone do momentu wyczerpania pytań Zamawiającego. W trakcie badania próbki Zamawiający ma prawo żądać od Wykonawcy zmiany wartości parametrów bądź danych wprowadzanych do oprogramowania na wartości podane przez Zamawiającego, w celu sprawdzenia, czy wymagane cechy i funkcjonalności nie są symulowane. Zamawiający ma ponadto prawo sprawdzać podczas badania próbki stan połączenia internetowego w celu sprawdzenia, czy prezentacja prowadzona jest w oparciu o złożoną próbkę, a nie zasoby zlokalizowane w sieci Internet.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W przypadku awarii/błędu oprogramowania lub dysku przenośnego, Wykonawca ma prawo do przerwy w badaniu próbki w celu naprawienia awarii/błędu lub podłączenia dysku zapasowego. W takim przypadku, sumaryczna przerwa w badaniu próbki nie może trwać dłużej niż 1 godzinę łącznie dla wszystkich awarii, które mogą wystąpić w toku prezentacji. Nieusunięcie awarii/błędu oprogramowania lub dysków przenośnych w trakcie przerwy powoduje zakończenie badania próbki. W takim wypadku Zamawiający uzna, że oprogramowanie nie posiada cech/funkcjonalności oprogramowania, określonych w opisie przedmiotu zamówienia, co spowoduje odrzucenie oferty. W przypadku awarii komputera, do którego jest podłączony dysk przenośny, Wykonawca ma prawo do przerwy w badaniu próbki w celu naprawy komputera lub podłączenia dysku do innego komputera. Zapewnienie sprawnego komputera należy do obowiązków Wykonawcy.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Prezentacja funkcji związanych z drukowaniem może być prezentowana poprzez wydruk do pliku PDF.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/>
      </w:pPr>
      <w:r>
        <w:rPr/>
        <w:t>Protokół sporządzony z demonstracji będzie zawierać wskazanie, jakie oferowane przez Wykonawcę oprogramowanie zostało zademonstrowane dla danego scenariusza (nazwa oprogramowania i wskazanie autora / producenta) oraz wynik testu dla każdego z kroków scenariusza.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Zamawiający dopuszcza udział innych Wykonawców w prezentacji próbki jedynie w sytuacji, jeśli Wykonawca, który został wezwany do prezentacji próbki oferowanego systemu nie zastrzegł skutecznie, że próbka oprogramowania stanowi tajemnicę przedsiębiorstwa w rozumieniu przepisów ustawy o zwalczaniu nieuczciwej konkurencji.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W czasie prezentacji osoby prezentujące system informatyczny muszą posiadać pełnomocnictwo udzielone przez Wykonawcę do przeprowadzenia prezentacji. Pełnomocnictwo może wynikać z dokumentów złożonych w ofercie lub może być doręczone Zamawiającemu przed rozpoczęciem prezentacji w formie wskazanej w SWZ.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Zamawiający zastrzega sobie możliwość utrwalania na sprzęcie audiowizualnym przebiegu prezentacji.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Heading1"/>
        <w:numPr>
          <w:ilvl w:val="0"/>
          <w:numId w:val="1"/>
        </w:numPr>
        <w:spacing w:before="80" w:after="80"/>
        <w:ind w:hanging="357" w:left="357"/>
        <w:rPr/>
      </w:pPr>
      <w:r>
        <w:rPr/>
        <w:t>Scenariusz badania próbki.</w:t>
      </w:r>
    </w:p>
    <w:p>
      <w:pPr>
        <w:pStyle w:val="Heading2"/>
        <w:numPr>
          <w:ilvl w:val="1"/>
          <w:numId w:val="1"/>
        </w:numPr>
        <w:ind w:hanging="720" w:left="709"/>
        <w:rPr/>
      </w:pPr>
      <w:r>
        <w:rPr/>
        <w:t>Możliwości systemu w zakresie dostępu online do danych kadrowo płacowych przez pracowników</w:t>
      </w:r>
    </w:p>
    <w:tbl>
      <w:tblPr>
        <w:tblStyle w:val="Tabela-Siatka"/>
        <w:tblW w:w="935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"/>
        <w:gridCol w:w="7444"/>
        <w:gridCol w:w="1431"/>
      </w:tblGrid>
      <w:tr>
        <w:trPr>
          <w:trHeight w:val="57" w:hRule="atLeast"/>
        </w:trPr>
        <w:tc>
          <w:tcPr>
            <w:tcW w:w="4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Lp.</w:t>
            </w:r>
          </w:p>
        </w:tc>
        <w:tc>
          <w:tcPr>
            <w:tcW w:w="74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Zakres prezentacji</w:t>
            </w:r>
          </w:p>
        </w:tc>
        <w:tc>
          <w:tcPr>
            <w:tcW w:w="14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Wynik testu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spełnienie wymogów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TAK/NIE</w:t>
            </w:r>
          </w:p>
        </w:tc>
      </w:tr>
      <w:tr>
        <w:trPr>
          <w:trHeight w:val="57" w:hRule="atLeast"/>
        </w:trPr>
        <w:tc>
          <w:tcPr>
            <w:tcW w:w="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1</w:t>
            </w:r>
          </w:p>
        </w:tc>
        <w:tc>
          <w:tcPr>
            <w:tcW w:w="7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Podgląd danych z pozycji pracownika systemów kadrowo-płacowych w zakresie: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danych osobowych,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historii zatrudnienia,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wykształcenia,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członków rodziny (dzieci),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historii umów o pracę,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nr konta bankowego,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odbytych szkoleń,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historii stanowiska (kariera),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stawki płacowej.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" w:hRule="atLeast"/>
        </w:trPr>
        <w:tc>
          <w:tcPr>
            <w:tcW w:w="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2</w:t>
            </w:r>
          </w:p>
        </w:tc>
        <w:tc>
          <w:tcPr>
            <w:tcW w:w="7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hanging="0" w:left="-28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Podgląd danych z pozycji kierownika w zakresie pracowników podległych: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historii zatrudnienia,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roczny lub miesięczny kalendarz absencji pracowników podległych,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wykorzystanie urlopów według danego pracownika,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" w:hRule="atLeast"/>
        </w:trPr>
        <w:tc>
          <w:tcPr>
            <w:tcW w:w="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3</w:t>
            </w:r>
          </w:p>
        </w:tc>
        <w:tc>
          <w:tcPr>
            <w:tcW w:w="7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Podgląd i pobranie z pozycji pracownika danych płacowych: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Przeglądanie pasków płacowych w systemie,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możliwość pobrania pliku paska płacowego w formacie .pdf zabezpieczonego hasłem nadawanym dynamicznie przez pracownika (Zamawiający na etapie weryfikacji próbki zażąda by proces odbył się dwukrotnie dla dwóch różnych haseł),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Otwarcie pliku .pdf zawierającego pasek płacowy przy pomocy zdefiniowanego wcześniej hasła (Zamawiający na etapie weryfikacji, próbki zażąda by proces odbył się dwukrotnie dla dwóch różnych haseł)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Przeglądanie deklaracji PIT-11 w systemie,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możliwość pobrania pliku z deklaracją PIT-11 w formacie .pdf, zabezpieczonego hasłem nadawanym dynamicznie przez pracownika (Zamawiający na etapie weryfikacji próbki zażąda by proces odbył się dwukrotnie dla dwóch różnych haseł),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Otwarcie pliku .pdf zawierającego deklarację PIT-11 przy pomocy zdefiniowanego wcześniej hasła (Zamawiający na etapie weryfikacji próbki zażąda by proces odbył się dwukrotnie dla dwóch różnych haseł),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" w:hRule="atLeast"/>
        </w:trPr>
        <w:tc>
          <w:tcPr>
            <w:tcW w:w="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4</w:t>
            </w:r>
          </w:p>
        </w:tc>
        <w:tc>
          <w:tcPr>
            <w:tcW w:w="7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Podgląd z pozycji pracownika danych z zakresu czasu pracy: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kalendarz pracy wraz z zaznaczonymi absencjami z uwzględnieniem rodzaju absencji,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graficzna prezentacja absencji w ciągu roku z informacją o wykorzystanym urlopie,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wykorzystanie urlopu,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prezentacja szczegółowego rozliczenia czasu pracy oraz karty czasu pracy dla wybranego okresu,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" w:hRule="atLeast"/>
        </w:trPr>
        <w:tc>
          <w:tcPr>
            <w:tcW w:w="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5</w:t>
            </w:r>
          </w:p>
        </w:tc>
        <w:tc>
          <w:tcPr>
            <w:tcW w:w="7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Rejestrowanie czasu pracy: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Po zalogowaniu jako pracownik zalogować się w systemie za pomocą przeglądarki internetowej, dokonanie rejestracji wejścia i wyjścia pracownika z określeniem miejsca wykonywanej pracy (w siedzibie / zdalnie) oraz rodzajem wyjścia (podstawowe/prywatne).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" w:hRule="atLeast"/>
        </w:trPr>
        <w:tc>
          <w:tcPr>
            <w:tcW w:w="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6</w:t>
            </w:r>
          </w:p>
        </w:tc>
        <w:tc>
          <w:tcPr>
            <w:tcW w:w="7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Możliwość sprawdzenia obecności pracownika na terenie urzędu lub trybu jego pracy na podstawie dokonanych przez niego rejestracji w systemie.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" w:hRule="atLeast"/>
        </w:trPr>
        <w:tc>
          <w:tcPr>
            <w:tcW w:w="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7</w:t>
            </w:r>
          </w:p>
        </w:tc>
        <w:tc>
          <w:tcPr>
            <w:tcW w:w="7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Możliwość składania i zatwierdzania wniosku urlopowego w wariancie: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urlop wypoczynkowy zatwierdzany przez przełożonych,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urlop na żądanie nie wymagający zatwierdzenia przez przełożonych.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" w:hRule="atLeast"/>
        </w:trPr>
        <w:tc>
          <w:tcPr>
            <w:tcW w:w="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8</w:t>
            </w:r>
          </w:p>
        </w:tc>
        <w:tc>
          <w:tcPr>
            <w:tcW w:w="7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Możliwość składania i zatwierdzania wniosku o delegację w wariancie: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u w:val="single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u w:val="single"/>
                <w:lang w:val="pl-PL" w:eastAsia="pl-PL" w:bidi="ar-SA"/>
              </w:rPr>
              <w:t>Wyjazdu służbowego: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uzupełnić datę delegacji,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uzupełnić Miejsce docelowe oraz cel,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przewidywaną zaliczkę na delegację,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wysłać wniosek do przełożonego,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Zaakceptować wniosek o delegację z pozycji przełożonego;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u w:val="single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u w:val="single"/>
                <w:lang w:val="pl-PL" w:eastAsia="pl-PL" w:bidi="ar-SA"/>
              </w:rPr>
              <w:t>Wyjazdu na szkolenie: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uzupełnić datę delegacji,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uzupełnić Miejsce docelowe oraz cel,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przewidywaną zaliczkę na delegację,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nazwę szkolenia,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określenie  kosztu noclegu podczas szkolenia,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wysłać wniosek do przełożonego,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zaakceptować wniosek o delegację z pozycji przełożonego.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" w:hRule="atLeast"/>
        </w:trPr>
        <w:tc>
          <w:tcPr>
            <w:tcW w:w="4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pl-PL" w:eastAsia="pl-PL" w:bidi="ar-SA"/>
              </w:rPr>
              <w:t>9</w:t>
            </w:r>
          </w:p>
        </w:tc>
        <w:tc>
          <w:tcPr>
            <w:tcW w:w="74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Przedstawić sposób obsługi pracy zdalnej okazjonalnej: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składanie wniosku o pracę zdalną okazjonalną,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0"/>
              <w:jc w:val="left"/>
              <w:rPr>
                <w:sz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akceptacja wniosku,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kontrola pozostałego wymiaru do wykorzystania.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0"/>
        </w:numPr>
        <w:spacing w:before="80" w:after="80"/>
        <w:ind w:hanging="0" w:left="709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851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83055859"/>
    </w:sdtPr>
    <w:sdtContent>
      <w:p>
        <w:pPr>
          <w:pStyle w:val="Normal"/>
          <w:spacing w:lineRule="auto" w:line="264" w:before="0" w:after="0"/>
          <w:jc w:val="center"/>
          <w:rPr/>
        </w:pPr>
        <w:r>
          <w:rPr/>
        </w:r>
      </w:p>
      <w:p>
        <w:pPr>
          <w:pStyle w:val="Normal"/>
          <w:spacing w:lineRule="auto" w:line="264" w:before="0" w:after="0"/>
          <w:jc w:val="right"/>
          <w:rPr>
            <w:rFonts w:cs="Calibri" w:cstheme="minorHAnsi"/>
            <w:b/>
            <w:sz w:val="24"/>
            <w:szCs w:val="24"/>
          </w:rPr>
        </w:pPr>
        <w:r>
          <w:rPr>
            <w:rFonts w:cs="Calibri" w:cstheme="minorHAnsi"/>
            <w:b/>
            <w:sz w:val="24"/>
            <w:szCs w:val="24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cs="Calibri" w:cstheme="minorHAnsi"/>
      </w:rPr>
    </w:pPr>
    <w:r>
      <w:rPr>
        <w:rFonts w:cs="Calibri" w:cstheme="minorHAnsi"/>
      </w:rPr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72" w:hanging="352"/>
      </w:pPr>
      <w:rPr/>
    </w:lvl>
    <w:lvl w:ilvl="2">
      <w:start w:val="1"/>
      <w:numFmt w:val="decimal"/>
      <w:lvlText w:val="%2.%3"/>
      <w:lvlJc w:val="left"/>
      <w:pPr>
        <w:tabs>
          <w:tab w:val="num" w:pos="0"/>
        </w:tabs>
        <w:ind w:left="1588" w:hanging="516"/>
      </w:pPr>
      <w:rPr/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43" w:hanging="714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2500" w:hanging="357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Calibri" w:hAnsi="Calibri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Calibri" w:hAnsi="Calibri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52"/>
        </w:tabs>
        <w:ind w:left="10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12"/>
        </w:tabs>
        <w:ind w:left="14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32"/>
        </w:tabs>
        <w:ind w:left="21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92"/>
        </w:tabs>
        <w:ind w:left="24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12"/>
        </w:tabs>
        <w:ind w:left="32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c9054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0c4d75"/>
    <w:pPr>
      <w:keepNext w:val="true"/>
      <w:keepLines/>
      <w:spacing w:before="80" w:after="8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uiPriority w:val="10"/>
    <w:qFormat/>
    <w:rsid w:val="00c9054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gwek1Znak" w:customStyle="1">
    <w:name w:val="Nagłówek 1 Znak"/>
    <w:basedOn w:val="DefaultParagraphFont"/>
    <w:uiPriority w:val="9"/>
    <w:qFormat/>
    <w:rsid w:val="00c9054e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0c4d75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character" w:styleId="NagwekZnak" w:customStyle="1">
    <w:name w:val="Nagłówek Znak"/>
    <w:basedOn w:val="DefaultParagraphFont"/>
    <w:uiPriority w:val="99"/>
    <w:qFormat/>
    <w:rsid w:val="00540c73"/>
    <w:rPr/>
  </w:style>
  <w:style w:type="character" w:styleId="StopkaZnak" w:customStyle="1">
    <w:name w:val="Stopka Znak"/>
    <w:basedOn w:val="DefaultParagraphFont"/>
    <w:uiPriority w:val="99"/>
    <w:qFormat/>
    <w:rsid w:val="00540c73"/>
    <w:rPr/>
  </w:style>
  <w:style w:type="character" w:styleId="Poziom1Znak" w:customStyle="1">
    <w:name w:val="Poziom1 Znak"/>
    <w:basedOn w:val="DefaultParagraphFont"/>
    <w:link w:val="Poziom1"/>
    <w:qFormat/>
    <w:rsid w:val="00a04098"/>
    <w:rPr>
      <w:rFonts w:ascii="Calibri" w:hAnsi="Calibri" w:eastAsia="Calibri" w:cs="Arial"/>
      <w:b/>
      <w:sz w:val="24"/>
      <w:szCs w:val="24"/>
      <w:lang w:eastAsia="ar-SA"/>
    </w:rPr>
  </w:style>
  <w:style w:type="character" w:styleId="AkapitzlistZnak" w:customStyle="1">
    <w:name w:val="Akapit z listą Znak"/>
    <w:link w:val="ListParagraph"/>
    <w:uiPriority w:val="34"/>
    <w:qFormat/>
    <w:locked/>
    <w:rsid w:val="007704e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51b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c51b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c51b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c51bf"/>
    <w:rPr>
      <w:rFonts w:ascii="Segoe UI" w:hAnsi="Segoe UI" w:cs="Segoe UI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ytuZnak"/>
    <w:uiPriority w:val="10"/>
    <w:qFormat/>
    <w:rsid w:val="00c9054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link w:val="AkapitzlistZnak"/>
    <w:uiPriority w:val="34"/>
    <w:qFormat/>
    <w:rsid w:val="00c9054e"/>
    <w:pPr>
      <w:spacing w:before="0" w:after="160"/>
      <w:ind w:hanging="0"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540c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540c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iom1" w:customStyle="1">
    <w:name w:val="Poziom1"/>
    <w:basedOn w:val="Normal"/>
    <w:link w:val="Poziom1Znak"/>
    <w:qFormat/>
    <w:rsid w:val="00a04098"/>
    <w:pPr>
      <w:keepNext w:val="true"/>
      <w:keepLines/>
      <w:widowControl w:val="false"/>
      <w:numPr>
        <w:ilvl w:val="0"/>
        <w:numId w:val="2"/>
      </w:numPr>
      <w:spacing w:lineRule="auto" w:line="240" w:before="360" w:after="120"/>
      <w:outlineLvl w:val="0"/>
    </w:pPr>
    <w:rPr>
      <w:rFonts w:ascii="Calibri" w:hAnsi="Calibri" w:eastAsia="Calibri" w:cs="Arial"/>
      <w:b/>
      <w:sz w:val="24"/>
      <w:szCs w:val="24"/>
      <w:lang w:eastAsia="ar-SA"/>
    </w:rPr>
  </w:style>
  <w:style w:type="paragraph" w:styleId="Poziom2" w:customStyle="1">
    <w:name w:val="Poziom2"/>
    <w:basedOn w:val="Normal"/>
    <w:next w:val="Normal"/>
    <w:qFormat/>
    <w:rsid w:val="00a04098"/>
    <w:pPr>
      <w:numPr>
        <w:ilvl w:val="1"/>
        <w:numId w:val="2"/>
      </w:numPr>
      <w:spacing w:lineRule="auto" w:line="240" w:before="120" w:after="0"/>
    </w:pPr>
    <w:rPr>
      <w:rFonts w:ascii="Calibri" w:hAnsi="Calibri" w:eastAsia="Calibri" w:cs="Calibri"/>
      <w:lang w:eastAsia="ar-SA"/>
    </w:rPr>
  </w:style>
  <w:style w:type="paragraph" w:styleId="Poziom3" w:customStyle="1">
    <w:name w:val="Poziom3"/>
    <w:basedOn w:val="Normal"/>
    <w:qFormat/>
    <w:rsid w:val="00a04098"/>
    <w:pPr>
      <w:widowControl w:val="false"/>
      <w:numPr>
        <w:ilvl w:val="2"/>
        <w:numId w:val="2"/>
      </w:numPr>
      <w:spacing w:lineRule="auto" w:line="240" w:before="120" w:after="0"/>
    </w:pPr>
    <w:rPr>
      <w:rFonts w:ascii="Calibri" w:hAnsi="Calibri" w:eastAsia="Calibri" w:cs="Arial"/>
      <w:lang w:eastAsia="ar-SA"/>
    </w:rPr>
  </w:style>
  <w:style w:type="paragraph" w:styleId="Poziom4" w:customStyle="1">
    <w:name w:val="Poziom4"/>
    <w:basedOn w:val="Normal"/>
    <w:next w:val="Normal"/>
    <w:qFormat/>
    <w:rsid w:val="00a04098"/>
    <w:pPr>
      <w:numPr>
        <w:ilvl w:val="3"/>
        <w:numId w:val="2"/>
      </w:numPr>
      <w:tabs>
        <w:tab w:val="clear" w:pos="708"/>
        <w:tab w:val="left" w:pos="1560" w:leader="none"/>
      </w:tabs>
      <w:spacing w:lineRule="auto" w:line="240" w:before="60" w:after="0"/>
    </w:pPr>
    <w:rPr>
      <w:rFonts w:ascii="Calibri" w:hAnsi="Calibri" w:eastAsia="Calibri" w:cs="Calibri"/>
      <w:lang w:eastAsia="ar-SA"/>
    </w:rPr>
  </w:style>
  <w:style w:type="paragraph" w:styleId="Poziom5" w:customStyle="1">
    <w:name w:val="Poziom5"/>
    <w:basedOn w:val="ListParagraph"/>
    <w:qFormat/>
    <w:rsid w:val="00a04098"/>
    <w:pPr>
      <w:numPr>
        <w:ilvl w:val="4"/>
        <w:numId w:val="2"/>
      </w:numPr>
      <w:spacing w:lineRule="auto" w:line="240" w:before="120" w:after="0"/>
      <w:contextualSpacing w:val="false"/>
    </w:pPr>
    <w:rPr>
      <w:rFonts w:ascii="Calibri" w:hAnsi="Calibri" w:eastAsia="Times New Roman" w:cs="Times New Roman"/>
      <w:lang w:eastAsia="ar-SA"/>
    </w:rPr>
  </w:style>
  <w:style w:type="paragraph" w:styleId="Tabela" w:customStyle="1">
    <w:name w:val="Tabela"/>
    <w:basedOn w:val="Normal"/>
    <w:qFormat/>
    <w:rsid w:val="00a04098"/>
    <w:pPr>
      <w:spacing w:lineRule="auto" w:line="276" w:before="120" w:after="0"/>
      <w:ind w:hanging="0" w:left="567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c51b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51b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51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704e4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8000-3F6C-4D99-8032-B3C0945F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LibreOffice/7.6.0.3$Windows_X86_64 LibreOffice_project/69edd8b8ebc41d00b4de3915dc82f8f0fc3b6265</Application>
  <AppVersion>15.0000</AppVersion>
  <Pages>5</Pages>
  <Words>1632</Words>
  <Characters>10939</Characters>
  <CharactersWithSpaces>12416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2021-08-18T19:03:00Z</dcterms:created>
  <dc:creator/>
  <dc:description/>
  <dc:language>pl-PL</dc:language>
  <cp:lastModifiedBy/>
  <dcterms:modified xsi:type="dcterms:W3CDTF">2023-12-11T11:49:36Z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