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3F707906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>odczynników do biologii komórkowej</w:t>
      </w:r>
      <w:r w:rsidR="00A41EF1" w:rsidRPr="00B106FB">
        <w:rPr>
          <w:rFonts w:ascii="Calibri" w:hAnsi="Calibri"/>
        </w:rPr>
        <w:t xml:space="preserve"> w podziale na </w:t>
      </w:r>
      <w:r w:rsidR="00DF7B4C">
        <w:rPr>
          <w:rFonts w:ascii="Calibri" w:hAnsi="Calibri"/>
        </w:rPr>
        <w:t>3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118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A262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A262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F7B4C" w:rsidRPr="004D3332" w14:paraId="446537A2" w14:textId="1970780D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0FE31A1B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4281AD" w14:textId="6CADF7FD" w:rsidR="00DF7B4C" w:rsidRPr="00FD1403" w:rsidRDefault="00DF7B4C" w:rsidP="00DF7B4C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Żelatyna wyizolowana ze świńskiej skóry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5C70E" w14:textId="15D41704" w:rsidR="00DF7B4C" w:rsidRPr="00FD1403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Żelatyna wyizolowana ze świńskiej skóry; Typ A; do zastosowań w hodowlach komórkowych; elektroforezy; Siła żelu (wg testu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Blooma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) ok 300 g; postać proszku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4A49C192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66ECEBF7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2CAF1292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FD1403"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67A4AE5F" w14:textId="0885100D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DF7B4C" w:rsidRPr="00443F53" w14:paraId="085A357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0D54A36" w14:textId="07B6493D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8CA719" w14:textId="41C4C012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specyficzny dla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BF34DBC" w14:textId="340937EC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o emisji w zakresie dalekiej czerwieni; specyficzny dla DNA; wybarwianie jąder komórkowych żywych komórek oraz utrwalonych preparatów komórkowych; Ekscytacja: 647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Emisja: 681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(DRAQ5)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A1576" w14:textId="60B33A37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opak.=200 µl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8164CEC" w14:textId="56CD35E2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A91D9B8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0C559F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70D63F0" w14:textId="4830D454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7BFAACE" w14:textId="1998FA24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F0878A7" w14:textId="1CC10528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sodu (110 mg/l); czerwień fenolową (15 mg/l); nie zawiera HEPES; pakowanie 10 x 500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23097403" w14:textId="33EF8D59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B46CA9" w14:textId="080E638E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0B95380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151F08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E1984B0" w14:textId="1FDB63DB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044EF9" w14:textId="2B0DF85B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45663D3" w14:textId="51FD969F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AM; barwienie żywych komórek); (zestaw typu LIVE/DEAD, zestaw zawiera po 10 fiolek z każdego barwnika), emisja: 515, 602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zakres długości fal wzbudzenia: 488, 570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40666D" w14:textId="08882A4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EA63618" w14:textId="6AC9C6F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976100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55B6F7A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F853AEB" w14:textId="15FAA7F1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3214FA" w14:textId="59E208C1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D5B78DC" w14:textId="4F76C208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 ilość 10 x 500 ml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38790B" w14:textId="19FE98A8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6889534" w14:textId="57332026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0D0CF8C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0FFE87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480B5F" w14:textId="25F0074C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E93AD0" w14:textId="5F6537B5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B822EB3" w14:textId="4916F5CB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Płodowa Surowica Bydlęca; Inaktywowana termicznie; roztwór, posiada certyfikat analizy;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portrójnie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filtrowana (0.1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), stężenie endotoksyn  ≤20 EU/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poziom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hemoglobint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≤25 mg/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4C4693DE" w14:textId="10E03AD3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AA39BD1" w14:textId="053D6E79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19D778C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363784F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8200DA4" w14:textId="4383B67C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B84CA3" w14:textId="20C3C5D1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odwrotnej transkrypcji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960A6AA" w14:textId="11889CB3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odwrotnej transkrypcji umożliwiający konwersję od 0,2-2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całkowitego RNA do jednoniciowego DNA w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pojuedyńczej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reakcji o objętości 20 ul. Zestaw umożliwiający 200 reakcji, metoda detekcji: znakowane sondy, czas trwania reakcji 120 min,  stężenie 50 U/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μL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zestaw zawiera 10x bufor do odwrotnej transkrypcji (1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), 10X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primery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do odwrotnej transkrypcji (1mL), 25x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dNTP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Mix (0,2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100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) oraz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E689FF" w14:textId="40F0343A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Opak.=zestaw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648D074" w14:textId="5A106D8F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271E3A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6DA67D64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AF5B967" w14:textId="28D57C3A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D64F94" w14:textId="4347F4A5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33342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BB7AC38" w14:textId="3A8134C9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flurescencyjny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33342 wykorzystywany do barwienia DNA; długość fali wzbudzenia: 350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kolor niebieski, emisja 461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postać stała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56B6D0" w14:textId="09D2CA8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9B01491" w14:textId="76AF7547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311D1B2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6A110A3D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44330A65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stabilizujący RNA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7522AA37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4DE904E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7F6DF4BF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11DB190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385333A1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Aglutynina z kiełków pszenicy (WGA)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skoniungowana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Fluor 647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6AF08539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aglutynina z kiełków pszenicy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skoniungowana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Fluor 647, rodzina białek: lektyny, postać zliofilizowana, selektywnie wiąże się z resztami N-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acetyloglukozaminy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i kwasu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sialowego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konjugaty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WGA mogą być stosowane do znakowania błony komórkowej bakterii gram-ujemnych i komórek ssaków.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2833BE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Opak.=5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641E9E4A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464DB3FB" w14:textId="5855F598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3"/>
        <w:gridCol w:w="1545"/>
        <w:gridCol w:w="3355"/>
        <w:gridCol w:w="1449"/>
        <w:gridCol w:w="566"/>
        <w:gridCol w:w="2340"/>
      </w:tblGrid>
      <w:tr w:rsidR="00D15E7E" w:rsidRPr="00443F53" w14:paraId="1E09D346" w14:textId="31D7FF3D" w:rsidTr="006835C2">
        <w:trPr>
          <w:trHeight w:val="454"/>
        </w:trPr>
        <w:tc>
          <w:tcPr>
            <w:tcW w:w="7478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340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6835C2">
        <w:trPr>
          <w:trHeight w:val="19"/>
        </w:trPr>
        <w:tc>
          <w:tcPr>
            <w:tcW w:w="563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5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355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49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6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340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6835C2">
        <w:trPr>
          <w:trHeight w:val="19"/>
        </w:trPr>
        <w:tc>
          <w:tcPr>
            <w:tcW w:w="563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5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55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F7B4C" w:rsidRPr="00443F53" w14:paraId="0D6EAFD7" w14:textId="2E1841EB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CC7C1A3" w14:textId="783F953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565C59A3" w14:textId="1636F7DF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ThermoClean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BI - Środek do łaźni wodnych w inkubatorach do hodowli komórkowych</w:t>
            </w:r>
          </w:p>
        </w:tc>
        <w:tc>
          <w:tcPr>
            <w:tcW w:w="3355" w:type="dxa"/>
            <w:vAlign w:val="center"/>
          </w:tcPr>
          <w:p w14:paraId="2FE7B0BC" w14:textId="55CFEFD1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Środek do łaźni wodnych w inkubatorach do hodowli komórkowych zapobiegający rozwojowi bakterii, wirusów, glonów, drożdży i grzybów oraz rozwojowi endospor. Zawiera siarczan miedzi (CAS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CAS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7758-98-7) w stężeniu nie mniejszym niż 0.2% i nie większym niż 3%. Nie zawiera antybiotyków, rozpuszczalników organicznych,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biocydów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, metali ciężkich, formaldehydu, kwasów, zasad, fenoli oraz żrących związków fosforanów. </w:t>
            </w:r>
          </w:p>
        </w:tc>
        <w:tc>
          <w:tcPr>
            <w:tcW w:w="1449" w:type="dxa"/>
            <w:vAlign w:val="center"/>
          </w:tcPr>
          <w:p w14:paraId="6673F310" w14:textId="252FFB8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 100 ml</w:t>
            </w:r>
          </w:p>
        </w:tc>
        <w:tc>
          <w:tcPr>
            <w:tcW w:w="566" w:type="dxa"/>
            <w:vAlign w:val="center"/>
          </w:tcPr>
          <w:p w14:paraId="094093B1" w14:textId="3CD1DC70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3A5A49E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B4C" w:rsidRPr="00443F53" w14:paraId="0B399491" w14:textId="00E37872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6A5C89F8" w14:textId="3A4CF8F0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7B25D824" w14:textId="5A027F77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ThermoClean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CPX - Roztwór ochronny do łaźni wodnych w inkubatorach do hodowli komórkowych</w:t>
            </w:r>
          </w:p>
        </w:tc>
        <w:tc>
          <w:tcPr>
            <w:tcW w:w="3355" w:type="dxa"/>
            <w:vAlign w:val="center"/>
          </w:tcPr>
          <w:p w14:paraId="75E1D03D" w14:textId="2CE0DCB6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ochronny do łaźni wodnych w inkubatorach do hodowli komórkowych na bazie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etandiolu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. Zawiera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etandiol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(CAS 107-21-1) w stężeniu nie mniejszym niż 10% i nie większym niż 25%, polimer chlorku N,N-dimetylo-2-hydroksypropyloamoniowego (CAS 25988-97-0) w stężeniu nie mniejszym niż 0.2% i nie większym niż 3%,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benzotriazol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(CAS 95-14-7) w stężeniu nie mniejszym niż 0.2% i nie większym niż 3% oraz wskaźnik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umożliwiający ocenę wizualną degradacji związków aktywnych. Nie zawiera rozpuszczalników organicznych, metali ciężkich, formaldehydu, kwasów, zasad, fenoli oraz żrących związków fosforanów. </w:t>
            </w:r>
          </w:p>
        </w:tc>
        <w:tc>
          <w:tcPr>
            <w:tcW w:w="1449" w:type="dxa"/>
            <w:vAlign w:val="center"/>
          </w:tcPr>
          <w:p w14:paraId="72FEBB67" w14:textId="497FFBD9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 100 ml</w:t>
            </w:r>
          </w:p>
        </w:tc>
        <w:tc>
          <w:tcPr>
            <w:tcW w:w="566" w:type="dxa"/>
            <w:vAlign w:val="center"/>
          </w:tcPr>
          <w:p w14:paraId="31685960" w14:textId="4DED837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906756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B4C" w:rsidRPr="00443F53" w14:paraId="57FE78FC" w14:textId="42F96DA4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B05263D" w14:textId="35F6D672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4F98C867" w14:textId="2BD9E2BF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r w:rsidRPr="005044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Dulbecco’s Phosphate Buffered Saline, PBS)</w:t>
            </w:r>
          </w:p>
        </w:tc>
        <w:tc>
          <w:tcPr>
            <w:tcW w:w="3355" w:type="dxa"/>
            <w:vAlign w:val="center"/>
          </w:tcPr>
          <w:p w14:paraId="334CF3E1" w14:textId="60DC83CA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Modyfikowany; nie zawiera chlorku wapnia i chlorku magnezu; postać płynna; filtrowany sterylnie; do zastosowań w hodowli komórkowej; </w:t>
            </w:r>
          </w:p>
        </w:tc>
        <w:tc>
          <w:tcPr>
            <w:tcW w:w="1449" w:type="dxa"/>
            <w:vAlign w:val="center"/>
          </w:tcPr>
          <w:p w14:paraId="2A34DE20" w14:textId="06B8C463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493A2DDE" w14:textId="7952C1EF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14:paraId="75EFFCC9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4063B2A2" w14:textId="7221C37B" w:rsid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1099922D" w14:textId="77777777" w:rsidR="00BB2F40" w:rsidRP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56EFA67C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99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B8285" w14:textId="77777777" w:rsidR="00992651" w:rsidRDefault="00992651">
      <w:r>
        <w:separator/>
      </w:r>
    </w:p>
  </w:endnote>
  <w:endnote w:type="continuationSeparator" w:id="0">
    <w:p w14:paraId="796DF904" w14:textId="77777777" w:rsidR="00992651" w:rsidRDefault="009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6178" w14:textId="77777777" w:rsidR="008E5881" w:rsidRDefault="008E5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5BAB1" w14:textId="77777777" w:rsidR="008E5881" w:rsidRDefault="008E5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2B7A1" w14:textId="77777777" w:rsidR="00992651" w:rsidRDefault="00992651">
      <w:r>
        <w:separator/>
      </w:r>
    </w:p>
  </w:footnote>
  <w:footnote w:type="continuationSeparator" w:id="0">
    <w:p w14:paraId="4680D462" w14:textId="77777777" w:rsidR="00992651" w:rsidRDefault="0099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11D86" w14:textId="77777777" w:rsidR="008E5881" w:rsidRDefault="008E5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65AE4C2B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104132">
      <w:rPr>
        <w:rFonts w:ascii="Calibri" w:hAnsi="Calibri" w:cs="Arial"/>
        <w:i/>
        <w:color w:val="000000" w:themeColor="text1"/>
        <w:sz w:val="16"/>
        <w:szCs w:val="16"/>
      </w:rPr>
      <w:t>53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955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651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3D11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6AB6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3</cp:revision>
  <cp:lastPrinted>2021-08-19T09:12:00Z</cp:lastPrinted>
  <dcterms:created xsi:type="dcterms:W3CDTF">2024-04-02T08:12:00Z</dcterms:created>
  <dcterms:modified xsi:type="dcterms:W3CDTF">2024-04-02T10:34:00Z</dcterms:modified>
</cp:coreProperties>
</file>