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43762" w14:textId="34CA35AC" w:rsidR="006F4F94" w:rsidRPr="00AD7E2C" w:rsidRDefault="00AD7E2C" w:rsidP="00AD7E2C">
      <w:pPr>
        <w:jc w:val="center"/>
        <w:rPr>
          <w:b/>
          <w:bCs/>
        </w:rPr>
      </w:pPr>
      <w:r w:rsidRPr="00AD7E2C">
        <w:rPr>
          <w:b/>
          <w:bCs/>
        </w:rPr>
        <w:t>PRZEDMIOT OPRACOWANIA</w:t>
      </w:r>
    </w:p>
    <w:p w14:paraId="7C24AF0B" w14:textId="67614521" w:rsidR="00AD7E2C" w:rsidRDefault="00AD7E2C" w:rsidP="00AD7E2C">
      <w:pPr>
        <w:ind w:left="720"/>
        <w:jc w:val="both"/>
      </w:pPr>
      <w:r>
        <w:t xml:space="preserve">Przedmiotem opracowania jest specyfikacja techniczna dla systemu fotowoltaicznego (zwana także instalacją PV) o mocy 60 </w:t>
      </w:r>
      <w:proofErr w:type="spellStart"/>
      <w:r>
        <w:t>kWp</w:t>
      </w:r>
      <w:proofErr w:type="spellEnd"/>
      <w:r>
        <w:t xml:space="preserve"> typu on-</w:t>
      </w:r>
      <w:proofErr w:type="spellStart"/>
      <w:r>
        <w:t>grid</w:t>
      </w:r>
      <w:proofErr w:type="spellEnd"/>
      <w:r>
        <w:t xml:space="preserve"> obejmująca montaż i konfigurację urządzeń systemu fotowoltaicznego, doprowadzenie niezbędnego okablowania oraz łącza internetowego służącego do monitorowania pracy instalacji PV. </w:t>
      </w:r>
    </w:p>
    <w:p w14:paraId="761C8A5D" w14:textId="674A6C7A" w:rsidR="00AD7E2C" w:rsidRDefault="00AD7E2C" w:rsidP="00AD7E2C">
      <w:pPr>
        <w:ind w:left="720"/>
        <w:jc w:val="both"/>
      </w:pPr>
      <w:r>
        <w:t>Energia elektryczna wyprodukowana przez ogniwa fotowoltaiczne zużywana będzie na potrzeby własne (</w:t>
      </w:r>
      <w:proofErr w:type="spellStart"/>
      <w:r>
        <w:t>autokomsumpcja</w:t>
      </w:r>
      <w:proofErr w:type="spellEnd"/>
      <w:r>
        <w:t xml:space="preserve">) ewentualna nadwyżka energii zostanie przesłana zarządcy sieci </w:t>
      </w:r>
      <w:proofErr w:type="spellStart"/>
      <w:r>
        <w:t>eletroenergetycznej</w:t>
      </w:r>
      <w:proofErr w:type="spellEnd"/>
      <w:r>
        <w:t xml:space="preserve">. </w:t>
      </w:r>
    </w:p>
    <w:p w14:paraId="67B7FFEA" w14:textId="77777777" w:rsidR="00AD7E2C" w:rsidRDefault="00AD7E2C" w:rsidP="00AD7E2C">
      <w:pPr>
        <w:ind w:left="720"/>
        <w:jc w:val="both"/>
      </w:pPr>
    </w:p>
    <w:p w14:paraId="30590417" w14:textId="77777777" w:rsidR="00775E7B" w:rsidRPr="007D5F6B" w:rsidRDefault="00775E7B" w:rsidP="00775E7B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7D5F6B">
        <w:rPr>
          <w:b/>
          <w:bCs/>
        </w:rPr>
        <w:t>Moduły fotowoltaiczne:</w:t>
      </w:r>
    </w:p>
    <w:p w14:paraId="1FFA2B0C" w14:textId="5FE1E986" w:rsidR="001608E3" w:rsidRDefault="00775E7B" w:rsidP="001608E3">
      <w:pPr>
        <w:pStyle w:val="Akapitzlist"/>
        <w:jc w:val="both"/>
      </w:pPr>
      <w:r w:rsidRPr="00775E7B">
        <w:rPr>
          <w:rFonts w:cstheme="majorHAnsi"/>
        </w:rPr>
        <w:t xml:space="preserve">Zastosowane moduły JINKO </w:t>
      </w:r>
      <w:proofErr w:type="spellStart"/>
      <w:r w:rsidRPr="00775E7B">
        <w:rPr>
          <w:rFonts w:eastAsia="Times New Roman" w:cstheme="majorHAnsi"/>
          <w:caps/>
          <w:kern w:val="36"/>
          <w:lang w:eastAsia="pl-PL"/>
          <w14:ligatures w14:val="none"/>
        </w:rPr>
        <w:t>JINKO</w:t>
      </w:r>
      <w:proofErr w:type="spellEnd"/>
      <w:r w:rsidRPr="00775E7B">
        <w:rPr>
          <w:rFonts w:eastAsia="Times New Roman" w:cstheme="majorHAnsi"/>
          <w:caps/>
          <w:kern w:val="36"/>
          <w:lang w:eastAsia="pl-PL"/>
          <w14:ligatures w14:val="none"/>
        </w:rPr>
        <w:t xml:space="preserve"> JKM475N-60HL4-V </w:t>
      </w:r>
      <w:r w:rsidR="001608E3">
        <w:rPr>
          <w:rFonts w:eastAsia="Times New Roman" w:cstheme="majorHAnsi"/>
          <w:caps/>
          <w:kern w:val="36"/>
          <w:lang w:eastAsia="pl-PL"/>
          <w14:ligatures w14:val="none"/>
        </w:rPr>
        <w:t xml:space="preserve">bf </w:t>
      </w:r>
      <w:r w:rsidR="001608E3">
        <w:t xml:space="preserve">o mocy znamionowej 475Wp. </w:t>
      </w:r>
    </w:p>
    <w:p w14:paraId="7FA7F850" w14:textId="3EF6A7CF" w:rsidR="00B2052E" w:rsidRDefault="00B2052E" w:rsidP="001608E3">
      <w:pPr>
        <w:pStyle w:val="Akapitzlist"/>
        <w:jc w:val="both"/>
      </w:pPr>
      <w:r>
        <w:t>Wymiar pojedynczego modułu: 1903x1134x30 mm</w:t>
      </w:r>
    </w:p>
    <w:p w14:paraId="45793CD4" w14:textId="1777EE2F" w:rsidR="001608E3" w:rsidRDefault="001608E3" w:rsidP="001608E3">
      <w:pPr>
        <w:pStyle w:val="Akapitzlist"/>
        <w:jc w:val="both"/>
      </w:pPr>
      <w:r>
        <w:t xml:space="preserve">Gwarancja producenta: produktowa – 15 lat, wydajnościowa – 30 lat. </w:t>
      </w:r>
    </w:p>
    <w:p w14:paraId="5EE1EF75" w14:textId="1CAC490D" w:rsidR="001608E3" w:rsidRDefault="001608E3" w:rsidP="001608E3">
      <w:pPr>
        <w:pStyle w:val="Akapitzlist"/>
        <w:jc w:val="both"/>
      </w:pPr>
      <w:r>
        <w:t xml:space="preserve">Ilość zastosowanych modułów: 126 szt. </w:t>
      </w:r>
    </w:p>
    <w:p w14:paraId="352C3EE8" w14:textId="77777777" w:rsidR="001608E3" w:rsidRDefault="001608E3" w:rsidP="001608E3">
      <w:pPr>
        <w:pStyle w:val="Akapitzlist"/>
        <w:jc w:val="both"/>
      </w:pPr>
    </w:p>
    <w:p w14:paraId="6070A713" w14:textId="1A50A532" w:rsidR="001608E3" w:rsidRPr="007D5F6B" w:rsidRDefault="001608E3" w:rsidP="001608E3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7D5F6B">
        <w:rPr>
          <w:b/>
          <w:bCs/>
        </w:rPr>
        <w:t>Falownik</w:t>
      </w:r>
      <w:r w:rsidR="0027680A" w:rsidRPr="007D5F6B">
        <w:rPr>
          <w:b/>
          <w:bCs/>
        </w:rPr>
        <w:t>/Inwerter</w:t>
      </w:r>
      <w:r w:rsidRPr="007D5F6B">
        <w:rPr>
          <w:b/>
          <w:bCs/>
        </w:rPr>
        <w:t>:</w:t>
      </w:r>
    </w:p>
    <w:p w14:paraId="181AF686" w14:textId="4E4D0DA6" w:rsidR="001608E3" w:rsidRDefault="001608E3" w:rsidP="001608E3">
      <w:pPr>
        <w:pStyle w:val="Akapitzlist"/>
        <w:jc w:val="both"/>
      </w:pPr>
      <w:r>
        <w:t xml:space="preserve">Zastosowany falownik 3 fazowy: </w:t>
      </w:r>
      <w:proofErr w:type="spellStart"/>
      <w:r>
        <w:t>FoxEss</w:t>
      </w:r>
      <w:proofErr w:type="spellEnd"/>
      <w:r>
        <w:t xml:space="preserve"> T20-G3. Urządzenie umożliwia przetworzenie wytworzonego przez panele fotowoltaiczne prądu stałego na prąd przemienny. Na wyjściu inwertera będzie napięcie prądu zmiennego AC o wartości 3x230/400V. </w:t>
      </w:r>
      <w:r w:rsidR="0027680A">
        <w:t xml:space="preserve"> </w:t>
      </w:r>
    </w:p>
    <w:p w14:paraId="3B41C3BB" w14:textId="0ACB7171" w:rsidR="0027680A" w:rsidRDefault="0027680A" w:rsidP="001608E3">
      <w:pPr>
        <w:pStyle w:val="Akapitzlist"/>
        <w:jc w:val="both"/>
      </w:pPr>
      <w:r>
        <w:t>Inwerter oprócz funkcji przetwarzania prądu stałego na zmienny będzie pełnił funkcję kontrolną i statystyczną.  W związku z powyższym konieczne jest doprowadzenie łącza internetowego do miejsca pracy falownika (ok. 50m).</w:t>
      </w:r>
      <w:r w:rsidR="00387FC6">
        <w:t xml:space="preserve"> Umiejscowienie falowników – wewnątrz budynków.</w:t>
      </w:r>
    </w:p>
    <w:p w14:paraId="1C7509B3" w14:textId="271AACBD" w:rsidR="005928DC" w:rsidRDefault="005928DC" w:rsidP="001608E3">
      <w:pPr>
        <w:pStyle w:val="Akapitzlist"/>
        <w:jc w:val="both"/>
      </w:pPr>
      <w:r>
        <w:t>Gwarancja producenta: 12 lat.</w:t>
      </w:r>
    </w:p>
    <w:p w14:paraId="5C0D9E84" w14:textId="39B9AB5B" w:rsidR="001608E3" w:rsidRDefault="001608E3" w:rsidP="001608E3">
      <w:pPr>
        <w:pStyle w:val="Akapitzlist"/>
        <w:jc w:val="both"/>
      </w:pPr>
      <w:r>
        <w:t>Ilość zastosowanych falowników: 3 szt.</w:t>
      </w:r>
    </w:p>
    <w:p w14:paraId="28BAB72B" w14:textId="77777777" w:rsidR="00AC7CBD" w:rsidRDefault="00AC7CBD" w:rsidP="001608E3">
      <w:pPr>
        <w:pStyle w:val="Akapitzlist"/>
        <w:jc w:val="both"/>
      </w:pPr>
    </w:p>
    <w:p w14:paraId="4A340A9F" w14:textId="024D4BCA" w:rsidR="001A65C0" w:rsidRPr="007D5F6B" w:rsidRDefault="001A65C0" w:rsidP="001A65C0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7D5F6B">
        <w:rPr>
          <w:b/>
          <w:bCs/>
        </w:rPr>
        <w:t>Przewody po stronie DC:</w:t>
      </w:r>
    </w:p>
    <w:p w14:paraId="2FC837AA" w14:textId="2DC6F242" w:rsidR="001A65C0" w:rsidRPr="00AC7CBD" w:rsidRDefault="00FC62EA" w:rsidP="00FC62EA">
      <w:pPr>
        <w:pStyle w:val="Akapitzlist"/>
        <w:jc w:val="both"/>
        <w:rPr>
          <w:vertAlign w:val="superscript"/>
        </w:rPr>
      </w:pPr>
      <w:r>
        <w:t xml:space="preserve">Kabel solarny 1 x 6 mm2. Zastosowanie </w:t>
      </w:r>
      <w:proofErr w:type="spellStart"/>
      <w:r>
        <w:t>peszli</w:t>
      </w:r>
      <w:proofErr w:type="spellEnd"/>
      <w:r>
        <w:t xml:space="preserve"> UV oraz korytek kablowych w miejscach narażonych na promieniowanie UV. </w:t>
      </w:r>
      <w:r w:rsidR="00AC7CBD">
        <w:t>Kabel solarny może pracować przy zwarciu z temperaturą + 250</w:t>
      </w:r>
      <w:r w:rsidR="00AC7CBD">
        <w:rPr>
          <w:vertAlign w:val="superscript"/>
        </w:rPr>
        <w:t xml:space="preserve"> </w:t>
      </w:r>
      <w:r w:rsidR="00AC7CBD">
        <w:t>st. C przez 5 sekund. Spełnia wymagania II klasy ochrony. Jest odporny na zatopienie w wodzie : AD8. Jego żywotność jest przewidziana przez producenta na minimum 25 lat.</w:t>
      </w:r>
    </w:p>
    <w:p w14:paraId="338C5423" w14:textId="7DB42EA1" w:rsidR="00FC62EA" w:rsidRDefault="00FC62EA" w:rsidP="00FC62EA">
      <w:pPr>
        <w:pStyle w:val="Akapitzlist"/>
        <w:jc w:val="both"/>
      </w:pPr>
      <w:r>
        <w:t xml:space="preserve">Ilość: ok 1000m </w:t>
      </w:r>
      <w:r w:rsidR="00AC7CBD">
        <w:t>bieżących</w:t>
      </w:r>
    </w:p>
    <w:p w14:paraId="25CD2A08" w14:textId="77777777" w:rsidR="00AC7CBD" w:rsidRDefault="00AC7CBD" w:rsidP="00FC62EA">
      <w:pPr>
        <w:pStyle w:val="Akapitzlist"/>
        <w:jc w:val="both"/>
      </w:pPr>
    </w:p>
    <w:p w14:paraId="4B6B3036" w14:textId="37027CA8" w:rsidR="001608E3" w:rsidRPr="007D5F6B" w:rsidRDefault="00AC7CBD" w:rsidP="001608E3">
      <w:pPr>
        <w:pStyle w:val="Akapitzlist"/>
        <w:numPr>
          <w:ilvl w:val="0"/>
          <w:numId w:val="1"/>
        </w:numPr>
        <w:jc w:val="both"/>
        <w:rPr>
          <w:rFonts w:eastAsia="Times New Roman" w:cstheme="majorHAnsi"/>
          <w:b/>
          <w:bCs/>
          <w:caps/>
          <w:kern w:val="36"/>
          <w:lang w:eastAsia="pl-PL"/>
          <w14:ligatures w14:val="none"/>
        </w:rPr>
      </w:pPr>
      <w:r w:rsidRPr="007D5F6B">
        <w:rPr>
          <w:rFonts w:eastAsia="Times New Roman" w:cstheme="majorHAnsi"/>
          <w:b/>
          <w:bCs/>
          <w:kern w:val="36"/>
          <w:lang w:eastAsia="pl-PL"/>
          <w14:ligatures w14:val="none"/>
        </w:rPr>
        <w:t>Przewody po stronie AC:</w:t>
      </w:r>
    </w:p>
    <w:p w14:paraId="54F2833B" w14:textId="11853688" w:rsidR="00FC62EA" w:rsidRDefault="00AC7CBD" w:rsidP="00FC62EA">
      <w:pPr>
        <w:pStyle w:val="Akapitzlist"/>
        <w:jc w:val="both"/>
        <w:rPr>
          <w:rFonts w:eastAsia="Times New Roman" w:cstheme="majorHAnsi"/>
          <w:kern w:val="36"/>
          <w:lang w:eastAsia="pl-PL"/>
          <w14:ligatures w14:val="none"/>
        </w:rPr>
      </w:pPr>
      <w:r>
        <w:rPr>
          <w:rFonts w:eastAsia="Times New Roman" w:cstheme="majorHAnsi"/>
          <w:kern w:val="36"/>
          <w:lang w:eastAsia="pl-PL"/>
          <w14:ligatures w14:val="none"/>
        </w:rPr>
        <w:t xml:space="preserve">Przewód YKY 5 x 35 mm2. Wymagane prace przy doprowadzeniu </w:t>
      </w:r>
      <w:proofErr w:type="spellStart"/>
      <w:r>
        <w:rPr>
          <w:rFonts w:eastAsia="Times New Roman" w:cstheme="majorHAnsi"/>
          <w:kern w:val="36"/>
          <w:lang w:eastAsia="pl-PL"/>
          <w14:ligatures w14:val="none"/>
        </w:rPr>
        <w:t>ww</w:t>
      </w:r>
      <w:proofErr w:type="spellEnd"/>
      <w:r>
        <w:rPr>
          <w:rFonts w:eastAsia="Times New Roman" w:cstheme="majorHAnsi"/>
          <w:kern w:val="36"/>
          <w:lang w:eastAsia="pl-PL"/>
          <w14:ligatures w14:val="none"/>
        </w:rPr>
        <w:t xml:space="preserve"> kabla: demontaż płyt betonowych, ułożenie kabla w gruncie, odpowiednie zabezpieczenie przewodu, ponowny montaż płyt betonowych.</w:t>
      </w:r>
    </w:p>
    <w:p w14:paraId="4A31D43F" w14:textId="7B6B26D0" w:rsidR="00AC7CBD" w:rsidRPr="00C751B6" w:rsidRDefault="00AC7CBD" w:rsidP="00C751B6">
      <w:pPr>
        <w:pStyle w:val="Akapitzlist"/>
        <w:jc w:val="both"/>
        <w:rPr>
          <w:rFonts w:eastAsia="Times New Roman" w:cstheme="majorHAnsi"/>
          <w:kern w:val="36"/>
          <w:lang w:eastAsia="pl-PL"/>
          <w14:ligatures w14:val="none"/>
        </w:rPr>
      </w:pPr>
      <w:r>
        <w:rPr>
          <w:rFonts w:eastAsia="Times New Roman" w:cstheme="majorHAnsi"/>
          <w:kern w:val="36"/>
          <w:lang w:eastAsia="pl-PL"/>
          <w14:ligatures w14:val="none"/>
        </w:rPr>
        <w:t xml:space="preserve">Ilość: ok 50/60m bieżących </w:t>
      </w:r>
    </w:p>
    <w:p w14:paraId="04031F5D" w14:textId="77777777" w:rsidR="00AC7CBD" w:rsidRPr="001608E3" w:rsidRDefault="00AC7CBD" w:rsidP="00FC62EA">
      <w:pPr>
        <w:pStyle w:val="Akapitzlist"/>
        <w:jc w:val="both"/>
        <w:rPr>
          <w:rFonts w:eastAsia="Times New Roman" w:cstheme="majorHAnsi"/>
          <w:caps/>
          <w:kern w:val="36"/>
          <w:lang w:eastAsia="pl-PL"/>
          <w14:ligatures w14:val="none"/>
        </w:rPr>
      </w:pPr>
    </w:p>
    <w:p w14:paraId="0EE116FB" w14:textId="76065F2B" w:rsidR="00AD7E2C" w:rsidRPr="007D5F6B" w:rsidRDefault="004937EE" w:rsidP="00AD7E2C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7D5F6B">
        <w:rPr>
          <w:b/>
          <w:bCs/>
        </w:rPr>
        <w:t>Zestawy montażowe:</w:t>
      </w:r>
    </w:p>
    <w:p w14:paraId="3FE8D42B" w14:textId="64A46F62" w:rsidR="004937EE" w:rsidRDefault="004937EE" w:rsidP="004937EE">
      <w:pPr>
        <w:pStyle w:val="Akapitzlist"/>
        <w:jc w:val="both"/>
      </w:pPr>
      <w:r>
        <w:t xml:space="preserve">Inwestycja ulokowana będzie na dwóch rodzajach pokrycia dachowego w rozgraniczeniu: 40kWp – pokrycie dachowe odeskowane pokryte papą, 20kWp – pokrycie dachowe </w:t>
      </w:r>
      <w:r w:rsidR="00775E7B">
        <w:t xml:space="preserve">betonowe ocieplone styropianem i pokryte papą. </w:t>
      </w:r>
    </w:p>
    <w:p w14:paraId="3FF848F9" w14:textId="61C52BC1" w:rsidR="00C751B6" w:rsidRDefault="00775E7B" w:rsidP="00876B92">
      <w:pPr>
        <w:pStyle w:val="Akapitzlist"/>
        <w:jc w:val="both"/>
      </w:pPr>
      <w:r>
        <w:t>W związku z występującymi zacienieniami na dachu, które powodują kominy wentylacyjne – dopuszcza się podział montażu np. 45kWp (</w:t>
      </w:r>
      <w:proofErr w:type="spellStart"/>
      <w:r>
        <w:t>deskopapa</w:t>
      </w:r>
      <w:proofErr w:type="spellEnd"/>
      <w:r>
        <w:t>) vs 15kWp (</w:t>
      </w:r>
      <w:proofErr w:type="spellStart"/>
      <w:r>
        <w:t>styropapa</w:t>
      </w:r>
      <w:proofErr w:type="spellEnd"/>
      <w:r>
        <w:t>).</w:t>
      </w:r>
    </w:p>
    <w:p w14:paraId="38495CFA" w14:textId="77777777" w:rsidR="00C751B6" w:rsidRDefault="00C751B6" w:rsidP="004937EE">
      <w:pPr>
        <w:pStyle w:val="Akapitzlist"/>
        <w:jc w:val="both"/>
      </w:pPr>
    </w:p>
    <w:p w14:paraId="037568AD" w14:textId="77777777" w:rsidR="00876B92" w:rsidRDefault="00876B92" w:rsidP="004937EE">
      <w:pPr>
        <w:pStyle w:val="Akapitzlist"/>
        <w:jc w:val="both"/>
      </w:pPr>
    </w:p>
    <w:p w14:paraId="3050EFE7" w14:textId="77777777" w:rsidR="00876B92" w:rsidRDefault="00876B92" w:rsidP="004937EE">
      <w:pPr>
        <w:pStyle w:val="Akapitzlist"/>
        <w:jc w:val="both"/>
      </w:pPr>
    </w:p>
    <w:p w14:paraId="0FF263F1" w14:textId="7CACBFF7" w:rsidR="00C751B6" w:rsidRPr="007D5F6B" w:rsidRDefault="00C751B6" w:rsidP="00C751B6">
      <w:pPr>
        <w:pStyle w:val="Akapitzlist"/>
        <w:numPr>
          <w:ilvl w:val="1"/>
          <w:numId w:val="3"/>
        </w:numPr>
        <w:jc w:val="both"/>
        <w:rPr>
          <w:i/>
          <w:iCs/>
        </w:rPr>
      </w:pPr>
      <w:r w:rsidRPr="007D5F6B">
        <w:rPr>
          <w:i/>
          <w:iCs/>
        </w:rPr>
        <w:t xml:space="preserve">Montaż na dachu typu </w:t>
      </w:r>
      <w:proofErr w:type="spellStart"/>
      <w:r w:rsidRPr="007D5F6B">
        <w:rPr>
          <w:i/>
          <w:iCs/>
        </w:rPr>
        <w:t>deskopapa</w:t>
      </w:r>
      <w:proofErr w:type="spellEnd"/>
      <w:r w:rsidRPr="007D5F6B">
        <w:rPr>
          <w:i/>
          <w:iCs/>
        </w:rPr>
        <w:t>:</w:t>
      </w:r>
    </w:p>
    <w:p w14:paraId="1C84BADA" w14:textId="50ECD711" w:rsidR="00C751B6" w:rsidRDefault="00C751B6" w:rsidP="00C751B6">
      <w:pPr>
        <w:pStyle w:val="Akapitzlist"/>
        <w:ind w:left="1080"/>
        <w:jc w:val="both"/>
      </w:pPr>
      <w:r>
        <w:t>Zastosowanie mostków trapezowych do zakotwiczenia konstrukcji pod moduły PV. Zastosowana konstrukcja typu trójkąt/ekierka.</w:t>
      </w:r>
    </w:p>
    <w:p w14:paraId="5461C85E" w14:textId="70AED1BE" w:rsidR="00C751B6" w:rsidRPr="007D5F6B" w:rsidRDefault="00C751B6" w:rsidP="00C751B6">
      <w:pPr>
        <w:pStyle w:val="Akapitzlist"/>
        <w:numPr>
          <w:ilvl w:val="1"/>
          <w:numId w:val="3"/>
        </w:numPr>
        <w:jc w:val="both"/>
        <w:rPr>
          <w:i/>
          <w:iCs/>
        </w:rPr>
      </w:pPr>
      <w:r w:rsidRPr="007D5F6B">
        <w:rPr>
          <w:i/>
          <w:iCs/>
        </w:rPr>
        <w:t xml:space="preserve">Montaż na dachu typu </w:t>
      </w:r>
      <w:proofErr w:type="spellStart"/>
      <w:r w:rsidRPr="007D5F6B">
        <w:rPr>
          <w:i/>
          <w:iCs/>
        </w:rPr>
        <w:t>styropapa</w:t>
      </w:r>
      <w:proofErr w:type="spellEnd"/>
      <w:r w:rsidRPr="007D5F6B">
        <w:rPr>
          <w:i/>
          <w:iCs/>
        </w:rPr>
        <w:t>:</w:t>
      </w:r>
    </w:p>
    <w:p w14:paraId="174D0C08" w14:textId="642C810C" w:rsidR="00C751B6" w:rsidRDefault="00C751B6" w:rsidP="00C751B6">
      <w:pPr>
        <w:pStyle w:val="Akapitzlist"/>
        <w:ind w:left="1080"/>
        <w:jc w:val="both"/>
      </w:pPr>
      <w:r>
        <w:t>Zastosowanie konstrukcji typu trójkąt/ekierka, obciążonej bloczkami betonowymi</w:t>
      </w:r>
      <w:r w:rsidR="00876B92">
        <w:t>.</w:t>
      </w:r>
    </w:p>
    <w:p w14:paraId="4E87284D" w14:textId="77777777" w:rsidR="005928DC" w:rsidRDefault="005928DC" w:rsidP="00C751B6">
      <w:pPr>
        <w:pStyle w:val="Akapitzlist"/>
        <w:ind w:left="1080"/>
        <w:jc w:val="both"/>
      </w:pPr>
    </w:p>
    <w:p w14:paraId="1B0E7498" w14:textId="77777777" w:rsidR="00C751B6" w:rsidRDefault="00C751B6" w:rsidP="00C751B6">
      <w:pPr>
        <w:pStyle w:val="Akapitzlist"/>
        <w:jc w:val="both"/>
      </w:pPr>
    </w:p>
    <w:p w14:paraId="00449000" w14:textId="25ED8242" w:rsidR="00C751B6" w:rsidRPr="007D5F6B" w:rsidRDefault="00876B92" w:rsidP="00C751B6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7D5F6B">
        <w:rPr>
          <w:b/>
          <w:bCs/>
        </w:rPr>
        <w:t>Ochrona strony DC:</w:t>
      </w:r>
    </w:p>
    <w:p w14:paraId="748BD4E1" w14:textId="77777777" w:rsidR="003E757C" w:rsidRDefault="003E757C" w:rsidP="00876B92">
      <w:pPr>
        <w:pStyle w:val="Akapitzlist"/>
        <w:jc w:val="both"/>
      </w:pPr>
      <w:r>
        <w:t>Ochrona strony DC przez skutkami  przeciwprzepięciowymi:</w:t>
      </w:r>
    </w:p>
    <w:p w14:paraId="0C5FA14E" w14:textId="2C405FBB" w:rsidR="00876B92" w:rsidRDefault="003E757C" w:rsidP="00876B92">
      <w:pPr>
        <w:pStyle w:val="Akapitzlist"/>
        <w:jc w:val="both"/>
      </w:pPr>
      <w:r>
        <w:t xml:space="preserve">Dla każdego wejście po stronie DC instalacji fotowoltaicznej zastosowano przed skutkami przepięć łączeniowych  ochronniki TYP1 +2 </w:t>
      </w:r>
    </w:p>
    <w:p w14:paraId="786EE35D" w14:textId="77C6890D" w:rsidR="003E757C" w:rsidRDefault="003E757C" w:rsidP="00876B92">
      <w:pPr>
        <w:pStyle w:val="Akapitzlist"/>
        <w:jc w:val="both"/>
      </w:pPr>
      <w:r>
        <w:t>Układ wewnętrzny ograniczników zawiera blok warystorów,</w:t>
      </w:r>
      <w:r w:rsidR="00BA1D84">
        <w:t xml:space="preserve"> </w:t>
      </w:r>
      <w:r>
        <w:t xml:space="preserve">które posiadają nieskończoną zdolność gaszenia prądu następczego nawet do 40kA. </w:t>
      </w:r>
    </w:p>
    <w:p w14:paraId="6B1A24D5" w14:textId="0F47111B" w:rsidR="003E757C" w:rsidRDefault="003E757C" w:rsidP="00876B92">
      <w:pPr>
        <w:pStyle w:val="Akapitzlist"/>
        <w:jc w:val="both"/>
        <w:rPr>
          <w:vertAlign w:val="superscript"/>
        </w:rPr>
      </w:pPr>
      <w:r>
        <w:t xml:space="preserve">Ochronniki przeciwprzepięciowe uziemione są za pomocą linki </w:t>
      </w:r>
      <w:proofErr w:type="spellStart"/>
      <w:r>
        <w:t>LgY</w:t>
      </w:r>
      <w:proofErr w:type="spellEnd"/>
      <w:r>
        <w:t xml:space="preserve"> o przekroju co najmniej 16 mm</w:t>
      </w:r>
      <w:r>
        <w:rPr>
          <w:vertAlign w:val="superscript"/>
        </w:rPr>
        <w:t xml:space="preserve">2  </w:t>
      </w:r>
    </w:p>
    <w:p w14:paraId="0322E051" w14:textId="55D68412" w:rsidR="003E757C" w:rsidRDefault="00BA1D84" w:rsidP="00876B92">
      <w:pPr>
        <w:pStyle w:val="Akapitzlist"/>
        <w:jc w:val="both"/>
      </w:pPr>
      <w:r>
        <w:t xml:space="preserve">Dodatkowo należy zastosować zabezpieczenie PPOZ typu </w:t>
      </w:r>
      <w:proofErr w:type="spellStart"/>
      <w:r>
        <w:t>Projoy</w:t>
      </w:r>
      <w:proofErr w:type="spellEnd"/>
      <w:r>
        <w:t>.</w:t>
      </w:r>
    </w:p>
    <w:p w14:paraId="78D39BFB" w14:textId="77777777" w:rsidR="00BA1D84" w:rsidRDefault="00BA1D84" w:rsidP="00876B92">
      <w:pPr>
        <w:pStyle w:val="Akapitzlist"/>
        <w:jc w:val="both"/>
      </w:pPr>
    </w:p>
    <w:p w14:paraId="3E5C68E9" w14:textId="668385B0" w:rsidR="003E757C" w:rsidRPr="007D5F6B" w:rsidRDefault="003E757C" w:rsidP="003E757C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7D5F6B">
        <w:rPr>
          <w:b/>
          <w:bCs/>
        </w:rPr>
        <w:t>Ochrona strony AC</w:t>
      </w:r>
    </w:p>
    <w:p w14:paraId="1F4BA3D3" w14:textId="4E327521" w:rsidR="003E757C" w:rsidRDefault="003E757C" w:rsidP="003E757C">
      <w:pPr>
        <w:pStyle w:val="Akapitzlist"/>
        <w:jc w:val="both"/>
      </w:pPr>
      <w:r>
        <w:t>Podstaw</w:t>
      </w:r>
      <w:r w:rsidR="00875F99">
        <w:t>ową</w:t>
      </w:r>
      <w:r>
        <w:t xml:space="preserve"> ochroną przed dotykiem bezpośrednim zapewnia izolacja II klasy ochronności zastosowanych urządzeń. </w:t>
      </w:r>
    </w:p>
    <w:p w14:paraId="4C6CCCFB" w14:textId="0AEA8C11" w:rsidR="003E757C" w:rsidRDefault="003E757C" w:rsidP="003E757C">
      <w:pPr>
        <w:pStyle w:val="Akapitzlist"/>
        <w:jc w:val="both"/>
      </w:pPr>
      <w:r>
        <w:t>Rezystencja uziemienia ochronnego nie przekracza 10</w:t>
      </w:r>
      <w:r w:rsidR="00875F99" w:rsidRPr="00875F99"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 xml:space="preserve"> </w:t>
      </w:r>
      <w:r w:rsidR="00875F99"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>Ω</w:t>
      </w:r>
    </w:p>
    <w:p w14:paraId="3F196DB1" w14:textId="1332F778" w:rsidR="003E757C" w:rsidRDefault="003E757C" w:rsidP="003E757C">
      <w:pPr>
        <w:pStyle w:val="Akapitzlist"/>
        <w:jc w:val="both"/>
      </w:pPr>
      <w:r>
        <w:t>Ochrona strony AC przed skutkami przeciwprzepięciowymi:</w:t>
      </w:r>
    </w:p>
    <w:p w14:paraId="009F19EE" w14:textId="07F79958" w:rsidR="003E757C" w:rsidRDefault="003E757C" w:rsidP="003E757C">
      <w:pPr>
        <w:pStyle w:val="Akapitzlist"/>
        <w:jc w:val="both"/>
      </w:pPr>
      <w:r>
        <w:t>Po stronie A</w:t>
      </w:r>
      <w:r w:rsidR="00875F99">
        <w:t>C</w:t>
      </w:r>
      <w:r>
        <w:t xml:space="preserve"> przed skutkami przeciwprzepięciowymi realizowana jest ochrona w instalacji AC w istniejącej tablicy rozdzielczej. W tablicy zainstalowane są ograniczniki przepięć w klasie ochrony typu 1+2 oraz wyłączniki nadprądowe B25 3P o prądzie znamionowym 20A. </w:t>
      </w:r>
    </w:p>
    <w:p w14:paraId="5E7014DC" w14:textId="77777777" w:rsidR="00C305D0" w:rsidRPr="003E757C" w:rsidRDefault="00C305D0" w:rsidP="003E757C">
      <w:pPr>
        <w:pStyle w:val="Akapitzlist"/>
        <w:jc w:val="both"/>
      </w:pPr>
    </w:p>
    <w:p w14:paraId="3D4E0AF0" w14:textId="6BBD559D" w:rsidR="00775E7B" w:rsidRPr="00C305D0" w:rsidRDefault="00C305D0" w:rsidP="00C305D0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C305D0">
        <w:rPr>
          <w:b/>
          <w:bCs/>
        </w:rPr>
        <w:t>Wykonanie pomiarów powykonawczych:</w:t>
      </w:r>
    </w:p>
    <w:p w14:paraId="31C71B14" w14:textId="481F94EC" w:rsidR="00C305D0" w:rsidRDefault="00C305D0" w:rsidP="00C305D0">
      <w:pPr>
        <w:pStyle w:val="Akapitzlist"/>
        <w:jc w:val="both"/>
      </w:pPr>
      <w:r>
        <w:t>Pomiar napięcia oraz natężenia po stronie AC i DC. Rezystancja uziemienia.</w:t>
      </w:r>
    </w:p>
    <w:p w14:paraId="7E5C250A" w14:textId="6B8BE34C" w:rsidR="00C305D0" w:rsidRDefault="00C305D0" w:rsidP="00C305D0">
      <w:pPr>
        <w:pStyle w:val="Akapitzlist"/>
        <w:jc w:val="both"/>
      </w:pPr>
      <w:r>
        <w:t xml:space="preserve">Uwzględnienie wyników pomiarów w protokole zdawczo-odbiorczym. </w:t>
      </w:r>
    </w:p>
    <w:p w14:paraId="25209B01" w14:textId="77777777" w:rsidR="00C305D0" w:rsidRDefault="00C305D0" w:rsidP="00C305D0">
      <w:pPr>
        <w:jc w:val="both"/>
      </w:pPr>
    </w:p>
    <w:p w14:paraId="624FA086" w14:textId="5480282F" w:rsidR="00C305D0" w:rsidRPr="00C305D0" w:rsidRDefault="00C305D0" w:rsidP="00C305D0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C305D0">
        <w:rPr>
          <w:b/>
          <w:bCs/>
        </w:rPr>
        <w:t>Wykonanie dokumentacji powykonawczej:</w:t>
      </w:r>
    </w:p>
    <w:p w14:paraId="37E4E135" w14:textId="77777777" w:rsidR="00C305D0" w:rsidRDefault="00C305D0" w:rsidP="00C305D0">
      <w:pPr>
        <w:pStyle w:val="Akapitzlist"/>
        <w:jc w:val="both"/>
      </w:pPr>
      <w:r>
        <w:t>Wykonanie projektu instalacji PV</w:t>
      </w:r>
    </w:p>
    <w:p w14:paraId="37938EB3" w14:textId="14A71C6D" w:rsidR="00C305D0" w:rsidRDefault="00C305D0" w:rsidP="00C305D0">
      <w:pPr>
        <w:pStyle w:val="Akapitzlist"/>
        <w:jc w:val="both"/>
      </w:pPr>
      <w:r>
        <w:t>Wykonanie schematu instalacji PV</w:t>
      </w:r>
    </w:p>
    <w:p w14:paraId="3E31F2D1" w14:textId="3D2F8B84" w:rsidR="00C305D0" w:rsidRDefault="00C305D0" w:rsidP="00C305D0">
      <w:pPr>
        <w:pStyle w:val="Akapitzlist"/>
        <w:jc w:val="both"/>
      </w:pPr>
      <w:r>
        <w:t>Zawiadomienie Państwowej Straży Pożarnej – zgodnie z wymaganiami prawnymi</w:t>
      </w:r>
    </w:p>
    <w:p w14:paraId="61D5940D" w14:textId="0427117D" w:rsidR="00C305D0" w:rsidRDefault="00C305D0" w:rsidP="00C305D0">
      <w:pPr>
        <w:pStyle w:val="Akapitzlist"/>
        <w:jc w:val="both"/>
      </w:pPr>
      <w:r>
        <w:t xml:space="preserve">Złożenie wniosku o wymianę licznika na dwukierunkowy do Enea na podstawie udzielonego pełnomocnictwa </w:t>
      </w:r>
    </w:p>
    <w:p w14:paraId="62BAF231" w14:textId="77777777" w:rsidR="00C305D0" w:rsidRDefault="00C305D0" w:rsidP="00C305D0">
      <w:pPr>
        <w:pStyle w:val="Akapitzlist"/>
        <w:jc w:val="both"/>
      </w:pPr>
    </w:p>
    <w:p w14:paraId="5074CAF1" w14:textId="7C7DB1B3" w:rsidR="004937EE" w:rsidRDefault="004937EE" w:rsidP="00BA1D84">
      <w:pPr>
        <w:jc w:val="both"/>
      </w:pPr>
    </w:p>
    <w:sectPr w:rsidR="00493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6560D" w14:textId="77777777" w:rsidR="00E55A19" w:rsidRDefault="00E55A19" w:rsidP="00AC7CBD">
      <w:pPr>
        <w:spacing w:after="0" w:line="240" w:lineRule="auto"/>
      </w:pPr>
      <w:r>
        <w:separator/>
      </w:r>
    </w:p>
  </w:endnote>
  <w:endnote w:type="continuationSeparator" w:id="0">
    <w:p w14:paraId="7F299835" w14:textId="77777777" w:rsidR="00E55A19" w:rsidRDefault="00E55A19" w:rsidP="00AC7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DFABC" w14:textId="77777777" w:rsidR="00E55A19" w:rsidRDefault="00E55A19" w:rsidP="00AC7CBD">
      <w:pPr>
        <w:spacing w:after="0" w:line="240" w:lineRule="auto"/>
      </w:pPr>
      <w:r>
        <w:separator/>
      </w:r>
    </w:p>
  </w:footnote>
  <w:footnote w:type="continuationSeparator" w:id="0">
    <w:p w14:paraId="6578ADBE" w14:textId="77777777" w:rsidR="00E55A19" w:rsidRDefault="00E55A19" w:rsidP="00AC7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11AF"/>
    <w:multiLevelType w:val="hybridMultilevel"/>
    <w:tmpl w:val="4AF27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8277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8576BA8"/>
    <w:multiLevelType w:val="multilevel"/>
    <w:tmpl w:val="CEE256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 w16cid:durableId="1432092923">
    <w:abstractNumId w:val="0"/>
  </w:num>
  <w:num w:numId="2" w16cid:durableId="190070626">
    <w:abstractNumId w:val="1"/>
  </w:num>
  <w:num w:numId="3" w16cid:durableId="476916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E2C"/>
    <w:rsid w:val="000B4CCE"/>
    <w:rsid w:val="001608E3"/>
    <w:rsid w:val="001A65C0"/>
    <w:rsid w:val="00256246"/>
    <w:rsid w:val="0027680A"/>
    <w:rsid w:val="00387FC6"/>
    <w:rsid w:val="003E757C"/>
    <w:rsid w:val="004937EE"/>
    <w:rsid w:val="005928DC"/>
    <w:rsid w:val="006F4F94"/>
    <w:rsid w:val="00775E7B"/>
    <w:rsid w:val="007D5F6B"/>
    <w:rsid w:val="00875F99"/>
    <w:rsid w:val="00876B92"/>
    <w:rsid w:val="008F2F4F"/>
    <w:rsid w:val="00A31513"/>
    <w:rsid w:val="00AC7CBD"/>
    <w:rsid w:val="00AD7E2C"/>
    <w:rsid w:val="00B2052E"/>
    <w:rsid w:val="00BA1D84"/>
    <w:rsid w:val="00C305D0"/>
    <w:rsid w:val="00C751B6"/>
    <w:rsid w:val="00DA64E6"/>
    <w:rsid w:val="00E55A19"/>
    <w:rsid w:val="00EE6AE9"/>
    <w:rsid w:val="00FC62EA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2CDBE"/>
  <w15:chartTrackingRefBased/>
  <w15:docId w15:val="{086A540E-5ED6-45D5-B004-B8E0E7490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5E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7E2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75E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7C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7C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7C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0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12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av8981</dc:creator>
  <cp:keywords/>
  <dc:description/>
  <cp:lastModifiedBy>Anna Małecka</cp:lastModifiedBy>
  <cp:revision>3</cp:revision>
  <dcterms:created xsi:type="dcterms:W3CDTF">2023-11-27T16:27:00Z</dcterms:created>
  <dcterms:modified xsi:type="dcterms:W3CDTF">2023-11-27T16:39:00Z</dcterms:modified>
</cp:coreProperties>
</file>