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C5DBF" w14:textId="5B49E6DF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54BF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01553AA0" w14:textId="646D151A" w:rsidR="00D64FC4" w:rsidRPr="00191EBB" w:rsidRDefault="00D64FC4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21B7E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1E4501">
        <w:rPr>
          <w:rFonts w:ascii="Arial" w:hAnsi="Arial" w:cs="Arial"/>
          <w:b/>
          <w:sz w:val="20"/>
          <w:szCs w:val="20"/>
          <w:lang w:eastAsia="en-US"/>
        </w:rPr>
        <w:t>3</w:t>
      </w:r>
      <w:r w:rsidRPr="00D21B7E">
        <w:rPr>
          <w:rFonts w:ascii="Arial" w:hAnsi="Arial" w:cs="Arial"/>
          <w:b/>
          <w:sz w:val="20"/>
          <w:szCs w:val="20"/>
          <w:lang w:eastAsia="en-US"/>
        </w:rPr>
        <w:t>.2021 pn. „</w:t>
      </w:r>
      <w:r w:rsidR="001E4501">
        <w:rPr>
          <w:rFonts w:ascii="Arial" w:hAnsi="Arial" w:cs="Arial"/>
          <w:b/>
          <w:bCs/>
          <w:iCs/>
          <w:sz w:val="20"/>
          <w:szCs w:val="20"/>
          <w:lang w:eastAsia="en-US"/>
        </w:rPr>
        <w:t>Modernizacja boiska do piłki nożnej w Borzęcinie Dużym</w:t>
      </w:r>
      <w:r w:rsidRPr="00D21B7E">
        <w:rPr>
          <w:rFonts w:ascii="Arial" w:hAnsi="Arial" w:cs="Arial"/>
          <w:b/>
          <w:iCs/>
          <w:sz w:val="20"/>
          <w:szCs w:val="20"/>
          <w:lang w:eastAsia="en-US"/>
        </w:rPr>
        <w:t>”</w:t>
      </w:r>
    </w:p>
    <w:p w14:paraId="2603F294" w14:textId="77777777" w:rsidR="00D64FC4" w:rsidRDefault="00D64FC4" w:rsidP="00D64FC4"/>
    <w:p w14:paraId="4C20C976" w14:textId="64A9AF8D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49B5B768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wyłącznie w przypadku</w:t>
      </w:r>
      <w:r w:rsidRPr="002E49F3">
        <w:rPr>
          <w:rFonts w:ascii="Arial" w:hAnsi="Arial" w:cs="Arial"/>
          <w:sz w:val="20"/>
          <w:szCs w:val="20"/>
          <w:lang w:eastAsia="pl-PL"/>
        </w:rPr>
        <w:t>, kiedy zamierza zastosować urządzenia/materiały inne wobec tych zastosowanych w opisie przedmiotu zamówienia (dokumentacji projektowej). Dokument ten traktowany będzie jako przedmiotowy środek dowodowy, który zgodnie z art. 107 ust. 2 ustawy pzp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projektowej).</w:t>
      </w:r>
    </w:p>
    <w:p w14:paraId="221F15A1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>, w których przedmiot zamówienia w dokumentacji technicznej (projektowej), na podstawie której będą realizowane roboty budowlane, opisany jest za pomocą norm, aprobat, specyfikacji technicznych i systemów odniesienia, nazw własnych, patentów lub pochodzenia, źródła lub szczególnego procesu, który charakteryzuje produkty lub usługi dostarczane przez konkretnego Wykonawcę/Dostawcę, o których mowa w art. 101 ust 4 ustawy Pzp, Zamawiający dopuszcza rozwiązania równoważne opisywanym. Zamawiający zaleca, aby traktować takie wskazania, jako przykładowe i dopuszcza zastosowanie przy realizacji zamówienia w odniesieniu do materiałów, urządzeń, robót rozwiązań równoważnych, pod warunkiem, że zagwarantują one uzyskanie parametrów technicznych, funkcjonalnych i eksploatacyjnych nie gorszych od założonych w dokumentacji projektowej.</w:t>
      </w:r>
    </w:p>
    <w:p w14:paraId="1D8D8454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 xml:space="preserve">Wykonawca, który powołuje się na rozwiązania równoważne opisywanym przez Zamawiającego, jest obowiązany wykazać, że oferowane przez niego dostawy, usługi lub roboty budowlane 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– Materiały i urządzenia równoważne. W dokumencie musi wykazać, że zaproponowane urządzenia/materiały spełniają kryteria stosowane w celu oceny równoważności, tj.:</w:t>
      </w:r>
    </w:p>
    <w:p w14:paraId="591A3EE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spełniają minimalne parametry określone w opisie przedmiotu zamówienia (dokumentacji projektowej);</w:t>
      </w:r>
    </w:p>
    <w:p w14:paraId="5EEB896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mogą zostać zamontowane ze względu np. na wymiary pomieszczeń istniejących/projektowanych;</w:t>
      </w:r>
    </w:p>
    <w:p w14:paraId="0D02B5FF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mogą być użyte w budynkach użyteczności publicznej; </w:t>
      </w:r>
    </w:p>
    <w:p w14:paraId="3C0CA3FF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 będą mogły być użyte w istniejących instalacjach/systemach oraz będą współpracowały z istniejącymi instalacjami/urządzeniami;</w:t>
      </w:r>
    </w:p>
    <w:p w14:paraId="4BFC357E" w14:textId="45DDA5A5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- zaproponowane przez Wykonawcę urządzenia/materiały zostaną poddane ocenie pod kątem spełnienia powyższych kryteriów a także pod kątem ich funkcjonowania w całości obiektu stanowiącego przedmiot zamówienia. Ocena spełnienia powyższych kryteriów dokonana zostanie przez Zamawiającego oraz projektantów poszczególnych branż (autorów projektu) w zależności od zaproponowanych rozwiązań (urządzeń/materiałów) równoważnych. Zamawiający zaakceptuje równoważne środki dowodowe, jeśli potwierdzą, że oferowane dostawy, usługi lub roboty budowlane spełniają określone przez Zamawiającego wymagania, cechy lub kryteria. W przypadku, kiedy Zamawiający lub projektant uznają, że zaproponowane rozwiązanie (urządzenia/materiały) równoważne nie spełnia wymagań określonych przez Zamawiającego wówczas oferta takiego Wykonawcy podlega odrzuceniu ze względu na to, że jej treść jest niezgodna z warunkami zamówienia – art. 226 ust. 1 pkt 5 ustawy pzp</w:t>
      </w:r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0272E31F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 projekt, w którym materiał/urządzenie jest wymienione)</w:t>
            </w:r>
          </w:p>
        </w:tc>
        <w:tc>
          <w:tcPr>
            <w:tcW w:w="2551" w:type="dxa"/>
            <w:vAlign w:val="center"/>
          </w:tcPr>
          <w:p w14:paraId="4064480E" w14:textId="230FB42A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7AB4D1DA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0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E09961A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lastRenderedPageBreak/>
        <w:t>UWAGA! Dokument musi być podpisany przez osoby uprawnione do reprezentacji Wykonawcy za pomocą kwalifikowanego podpisu elektronicznego</w:t>
      </w:r>
      <w:r w:rsidR="001E4501">
        <w:rPr>
          <w:i/>
          <w:iCs/>
          <w:sz w:val="20"/>
          <w:szCs w:val="20"/>
        </w:rPr>
        <w:t>/podpisu zaufanego/</w:t>
      </w:r>
      <w:r w:rsidR="006C3797">
        <w:rPr>
          <w:rFonts w:ascii="Arial" w:hAnsi="Arial" w:cs="Arial"/>
          <w:i/>
          <w:iCs/>
          <w:sz w:val="20"/>
          <w:szCs w:val="20"/>
        </w:rPr>
        <w:t>elektronicznego</w:t>
      </w:r>
      <w:r w:rsidR="006C3797">
        <w:rPr>
          <w:rFonts w:ascii="Arial" w:hAnsi="Arial" w:cs="Arial"/>
          <w:i/>
          <w:iCs/>
          <w:sz w:val="20"/>
          <w:szCs w:val="20"/>
        </w:rPr>
        <w:t xml:space="preserve"> </w:t>
      </w:r>
      <w:r w:rsidR="001E4501">
        <w:rPr>
          <w:i/>
          <w:iCs/>
          <w:sz w:val="20"/>
          <w:szCs w:val="20"/>
        </w:rPr>
        <w:t>podpisu osobistego</w:t>
      </w:r>
      <w:r w:rsidRPr="00387A83">
        <w:rPr>
          <w:i/>
          <w:iCs/>
          <w:sz w:val="20"/>
          <w:szCs w:val="20"/>
        </w:rPr>
        <w:t>.</w:t>
      </w:r>
      <w:bookmarkEnd w:id="0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177781"/>
    <w:rsid w:val="001E4501"/>
    <w:rsid w:val="001F0CD1"/>
    <w:rsid w:val="002351C1"/>
    <w:rsid w:val="002554BF"/>
    <w:rsid w:val="002E49F3"/>
    <w:rsid w:val="002F3339"/>
    <w:rsid w:val="00373748"/>
    <w:rsid w:val="00387A83"/>
    <w:rsid w:val="003D4029"/>
    <w:rsid w:val="004D3A57"/>
    <w:rsid w:val="00607D4A"/>
    <w:rsid w:val="006510AD"/>
    <w:rsid w:val="006C3797"/>
    <w:rsid w:val="00767206"/>
    <w:rsid w:val="00945951"/>
    <w:rsid w:val="009D4082"/>
    <w:rsid w:val="00AC55C2"/>
    <w:rsid w:val="00AE1D65"/>
    <w:rsid w:val="00B64870"/>
    <w:rsid w:val="00C64BFD"/>
    <w:rsid w:val="00D21B7E"/>
    <w:rsid w:val="00D540A3"/>
    <w:rsid w:val="00D64FC4"/>
    <w:rsid w:val="00DD7174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14</cp:revision>
  <dcterms:created xsi:type="dcterms:W3CDTF">2021-02-19T11:35:00Z</dcterms:created>
  <dcterms:modified xsi:type="dcterms:W3CDTF">2021-03-09T15:46:00Z</dcterms:modified>
</cp:coreProperties>
</file>