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97" w:rsidRDefault="008347D9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Załącznik nr 1 do SWZ</w:t>
      </w:r>
    </w:p>
    <w:p w:rsidR="00ED7997" w:rsidRDefault="00ED7997">
      <w:pPr>
        <w:pStyle w:val="Standard"/>
      </w:pPr>
    </w:p>
    <w:p w:rsidR="00ED7997" w:rsidRDefault="00ED7997">
      <w:pPr>
        <w:pStyle w:val="Standard"/>
      </w:pPr>
    </w:p>
    <w:p w:rsidR="00ED7997" w:rsidRDefault="008347D9">
      <w:pPr>
        <w:pStyle w:val="Nagwektabeli"/>
      </w:pPr>
      <w:r>
        <w:t>PRZEDMIOT ZAMÓWIENIA</w:t>
      </w:r>
    </w:p>
    <w:p w:rsidR="00ED7997" w:rsidRDefault="00ED7997">
      <w:pPr>
        <w:pStyle w:val="Standard"/>
        <w:rPr>
          <w:b/>
          <w:bCs/>
        </w:rPr>
      </w:pPr>
    </w:p>
    <w:tbl>
      <w:tblPr>
        <w:tblW w:w="10555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2"/>
        <w:gridCol w:w="5670"/>
        <w:gridCol w:w="1560"/>
        <w:gridCol w:w="2693"/>
      </w:tblGrid>
      <w:tr w:rsidR="008347D9" w:rsidTr="008347D9">
        <w:trPr>
          <w:trHeight w:val="370"/>
        </w:trPr>
        <w:tc>
          <w:tcPr>
            <w:tcW w:w="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</w:tcPr>
          <w:p w:rsidR="008347D9" w:rsidRPr="009F2590" w:rsidRDefault="008347D9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F2590">
              <w:rPr>
                <w:b/>
                <w:bCs/>
                <w:sz w:val="16"/>
                <w:szCs w:val="16"/>
              </w:rPr>
              <w:t>Grupa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</w:tcPr>
          <w:p w:rsidR="008347D9" w:rsidRPr="009F2590" w:rsidRDefault="008347D9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F2590">
              <w:rPr>
                <w:b/>
                <w:bCs/>
                <w:sz w:val="16"/>
                <w:szCs w:val="16"/>
              </w:rPr>
              <w:t>Opis zamówienia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:rsidR="008347D9" w:rsidRPr="009F2590" w:rsidRDefault="008347D9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347D9">
              <w:rPr>
                <w:b/>
                <w:bCs/>
                <w:sz w:val="16"/>
                <w:szCs w:val="16"/>
              </w:rPr>
              <w:t>Potwierdzenie wymaganych parametrów (WPISAĆ TAK/NIE LUB OPISAĆ)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:rsidR="008347D9" w:rsidRPr="009F2590" w:rsidRDefault="008347D9" w:rsidP="008347D9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F2590">
              <w:rPr>
                <w:b/>
                <w:bCs/>
                <w:sz w:val="16"/>
                <w:szCs w:val="16"/>
              </w:rPr>
              <w:t>Ilość (szt.) na okres</w:t>
            </w:r>
          </w:p>
          <w:p w:rsidR="008347D9" w:rsidRPr="009F2590" w:rsidRDefault="008347D9" w:rsidP="008347D9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F2590">
              <w:rPr>
                <w:b/>
                <w:bCs/>
                <w:sz w:val="16"/>
                <w:szCs w:val="16"/>
              </w:rPr>
              <w:t>24 miesięcy</w:t>
            </w:r>
          </w:p>
        </w:tc>
      </w:tr>
      <w:tr w:rsidR="008347D9" w:rsidTr="008347D9">
        <w:trPr>
          <w:trHeight w:val="1399"/>
        </w:trPr>
        <w:tc>
          <w:tcPr>
            <w:tcW w:w="632" w:type="dxa"/>
            <w:tcBorders>
              <w:left w:val="single" w:sz="2" w:space="0" w:color="000001"/>
              <w:bottom w:val="single" w:sz="2" w:space="0" w:color="000001"/>
            </w:tcBorders>
          </w:tcPr>
          <w:p w:rsidR="008347D9" w:rsidRDefault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</w:tcBorders>
          </w:tcPr>
          <w:p w:rsidR="008347D9" w:rsidRPr="00457BEF" w:rsidRDefault="008347D9">
            <w:pPr>
              <w:pStyle w:val="Zawartotabeli"/>
              <w:widowControl w:val="0"/>
              <w:rPr>
                <w:b/>
                <w:sz w:val="22"/>
                <w:szCs w:val="22"/>
              </w:rPr>
            </w:pPr>
            <w:r w:rsidRPr="00457BEF">
              <w:rPr>
                <w:b/>
                <w:sz w:val="22"/>
                <w:szCs w:val="22"/>
              </w:rPr>
              <w:t>Pipety jednorazowe laboratoryjne:</w:t>
            </w:r>
          </w:p>
          <w:p w:rsidR="008347D9" w:rsidRDefault="008347D9">
            <w:pPr>
              <w:pStyle w:val="Zawartotabeli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pojemność 1 ml, </w:t>
            </w:r>
          </w:p>
          <w:p w:rsidR="008347D9" w:rsidRDefault="008347D9">
            <w:pPr>
              <w:pStyle w:val="Zawartotabeli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długość pipety nie mniejsza niż 100mm, </w:t>
            </w:r>
          </w:p>
          <w:p w:rsidR="008347D9" w:rsidRDefault="008347D9">
            <w:pPr>
              <w:pStyle w:val="Zawartotabeli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średnica pipety 5-10mm,</w:t>
            </w:r>
          </w:p>
          <w:p w:rsidR="008347D9" w:rsidRDefault="008347D9">
            <w:pPr>
              <w:pStyle w:val="Zawartotabeli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pompka o długości nie mniejszej niż 40mm</w:t>
            </w:r>
          </w:p>
          <w:p w:rsidR="008347D9" w:rsidRDefault="008347D9">
            <w:pPr>
              <w:pStyle w:val="Zawartotabeli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 kropli w zakresie 25-50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347D9" w:rsidRDefault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5765" w:rsidRDefault="00095765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095765" w:rsidRDefault="00095765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8347D9" w:rsidRDefault="008347D9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104000</w:t>
            </w:r>
          </w:p>
        </w:tc>
      </w:tr>
      <w:tr w:rsidR="008347D9" w:rsidTr="008347D9">
        <w:trPr>
          <w:trHeight w:val="1385"/>
        </w:trPr>
        <w:tc>
          <w:tcPr>
            <w:tcW w:w="632" w:type="dxa"/>
            <w:tcBorders>
              <w:left w:val="single" w:sz="2" w:space="0" w:color="000001"/>
              <w:bottom w:val="single" w:sz="2" w:space="0" w:color="000001"/>
            </w:tcBorders>
          </w:tcPr>
          <w:p w:rsidR="008347D9" w:rsidRDefault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</w:tcBorders>
          </w:tcPr>
          <w:p w:rsidR="008347D9" w:rsidRPr="00457BEF" w:rsidRDefault="008347D9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BEF">
              <w:rPr>
                <w:rFonts w:ascii="Times New Roman" w:hAnsi="Times New Roman" w:cs="Times New Roman"/>
                <w:b/>
                <w:sz w:val="22"/>
                <w:szCs w:val="22"/>
              </w:rPr>
              <w:t>Płyty do badań serologicznych:</w:t>
            </w:r>
          </w:p>
          <w:p w:rsidR="008347D9" w:rsidRDefault="008347D9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jednorazowe</w:t>
            </w:r>
          </w:p>
          <w:p w:rsidR="008347D9" w:rsidRDefault="008347D9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wykonane z przezroczystego tworzywa sztucznego</w:t>
            </w:r>
          </w:p>
          <w:p w:rsidR="008347D9" w:rsidRDefault="008347D9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posiadające wyprofilowane wgłębienia (celki) dostosowane do potrzeb badań serologicznych</w:t>
            </w:r>
          </w:p>
          <w:p w:rsidR="008347D9" w:rsidRDefault="008347D9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rozmiar płyt: 8-15 rzędów po 5 wgłębień (lub krotność 5 wgłębień)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347D9" w:rsidRDefault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5765" w:rsidRDefault="00095765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8347D9" w:rsidRDefault="008347D9" w:rsidP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5600</w:t>
            </w:r>
            <w:r>
              <w:rPr>
                <w:sz w:val="20"/>
                <w:szCs w:val="20"/>
              </w:rPr>
              <w:t xml:space="preserve"> </w:t>
            </w:r>
          </w:p>
          <w:p w:rsidR="008347D9" w:rsidRDefault="008347D9" w:rsidP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B08B6">
              <w:rPr>
                <w:sz w:val="20"/>
                <w:szCs w:val="20"/>
              </w:rPr>
              <w:t>280</w:t>
            </w:r>
            <w:r>
              <w:rPr>
                <w:sz w:val="20"/>
                <w:szCs w:val="20"/>
              </w:rPr>
              <w:t xml:space="preserve"> 000 wgłębień</w:t>
            </w:r>
          </w:p>
          <w:p w:rsidR="008347D9" w:rsidRDefault="00CB08B6" w:rsidP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dla </w:t>
            </w:r>
            <w:r w:rsidR="008347D9">
              <w:rPr>
                <w:sz w:val="20"/>
                <w:szCs w:val="20"/>
              </w:rPr>
              <w:t xml:space="preserve">płyty 10 rzędów po 5 kolumn; </w:t>
            </w:r>
            <w:r>
              <w:rPr>
                <w:sz w:val="20"/>
                <w:szCs w:val="20"/>
              </w:rPr>
              <w:t xml:space="preserve">a </w:t>
            </w:r>
            <w:r w:rsidR="008347D9">
              <w:rPr>
                <w:sz w:val="20"/>
                <w:szCs w:val="20"/>
              </w:rPr>
              <w:t>adekwatna ilość do innych wielkości płyt)</w:t>
            </w:r>
          </w:p>
        </w:tc>
      </w:tr>
      <w:tr w:rsidR="008347D9" w:rsidTr="008347D9">
        <w:trPr>
          <w:trHeight w:val="2373"/>
        </w:trPr>
        <w:tc>
          <w:tcPr>
            <w:tcW w:w="632" w:type="dxa"/>
            <w:tcBorders>
              <w:left w:val="single" w:sz="2" w:space="0" w:color="000001"/>
              <w:bottom w:val="single" w:sz="2" w:space="0" w:color="000001"/>
            </w:tcBorders>
          </w:tcPr>
          <w:p w:rsidR="008347D9" w:rsidRDefault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</w:tcBorders>
          </w:tcPr>
          <w:p w:rsidR="008347D9" w:rsidRPr="00457BEF" w:rsidRDefault="008347D9">
            <w:pPr>
              <w:pStyle w:val="Zawartotabeli"/>
              <w:widowControl w:val="0"/>
              <w:rPr>
                <w:b/>
                <w:sz w:val="22"/>
                <w:szCs w:val="22"/>
              </w:rPr>
            </w:pPr>
            <w:r w:rsidRPr="00457BEF">
              <w:rPr>
                <w:b/>
                <w:sz w:val="22"/>
                <w:szCs w:val="22"/>
              </w:rPr>
              <w:t>Probówki laboratoryjne:</w:t>
            </w:r>
          </w:p>
          <w:p w:rsidR="008347D9" w:rsidRDefault="008347D9">
            <w:pPr>
              <w:pStyle w:val="Zawartotabeli"/>
              <w:widowControl w:val="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 PS</w:t>
            </w:r>
          </w:p>
          <w:p w:rsidR="008347D9" w:rsidRDefault="008347D9">
            <w:pPr>
              <w:pStyle w:val="Zawartotabeli"/>
              <w:widowControl w:val="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okrągłodenna</w:t>
            </w:r>
            <w:proofErr w:type="spellEnd"/>
          </w:p>
          <w:p w:rsidR="008347D9" w:rsidRDefault="008347D9">
            <w:pPr>
              <w:pStyle w:val="Zawartotabeli"/>
              <w:widowControl w:val="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kołnierza</w:t>
            </w:r>
          </w:p>
          <w:p w:rsidR="008347D9" w:rsidRDefault="008347D9">
            <w:pPr>
              <w:pStyle w:val="Zawartotabeli"/>
              <w:widowControl w:val="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znacznika</w:t>
            </w:r>
          </w:p>
          <w:p w:rsidR="008347D9" w:rsidRDefault="008347D9">
            <w:pPr>
              <w:pStyle w:val="Zawartotabeli"/>
              <w:widowControl w:val="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4/5ml</w:t>
            </w:r>
          </w:p>
          <w:p w:rsidR="008347D9" w:rsidRDefault="008347D9">
            <w:pPr>
              <w:pStyle w:val="Zawartotabeli"/>
              <w:widowControl w:val="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wymiary: </w:t>
            </w:r>
          </w:p>
          <w:p w:rsidR="008347D9" w:rsidRDefault="008347D9">
            <w:pPr>
              <w:pStyle w:val="Zawartotabeli"/>
              <w:widowControl w:val="0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średnica zewnętrzna </w:t>
            </w:r>
            <w:r>
              <w:rPr>
                <w:rFonts w:cs="Times New Roman"/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 xml:space="preserve"> 12 mm, </w:t>
            </w:r>
          </w:p>
          <w:p w:rsidR="008347D9" w:rsidRDefault="008347D9">
            <w:pPr>
              <w:pStyle w:val="Zawartotabeli"/>
              <w:widowControl w:val="0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średnica wewnętrzna 10mm ; </w:t>
            </w:r>
          </w:p>
          <w:p w:rsidR="008347D9" w:rsidRDefault="008347D9">
            <w:pPr>
              <w:pStyle w:val="Zawartotabeli"/>
              <w:widowControl w:val="0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min.65mm max.80mm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347D9" w:rsidRDefault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5765" w:rsidRDefault="00095765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095765" w:rsidRDefault="00095765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095765" w:rsidRDefault="00095765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095765" w:rsidRDefault="00095765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8347D9" w:rsidRDefault="008347D9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156000</w:t>
            </w:r>
          </w:p>
        </w:tc>
      </w:tr>
      <w:tr w:rsidR="008347D9" w:rsidTr="008347D9">
        <w:trPr>
          <w:trHeight w:val="700"/>
        </w:trPr>
        <w:tc>
          <w:tcPr>
            <w:tcW w:w="632" w:type="dxa"/>
            <w:tcBorders>
              <w:left w:val="single" w:sz="2" w:space="0" w:color="000001"/>
              <w:bottom w:val="single" w:sz="2" w:space="0" w:color="000001"/>
            </w:tcBorders>
          </w:tcPr>
          <w:p w:rsidR="008347D9" w:rsidRDefault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</w:tcBorders>
          </w:tcPr>
          <w:p w:rsidR="008347D9" w:rsidRDefault="008347D9">
            <w:pPr>
              <w:pStyle w:val="Zawartotabeli"/>
              <w:widowControl w:val="0"/>
              <w:rPr>
                <w:sz w:val="20"/>
                <w:szCs w:val="20"/>
              </w:rPr>
            </w:pPr>
            <w:r w:rsidRPr="00457BEF">
              <w:rPr>
                <w:b/>
                <w:sz w:val="22"/>
                <w:szCs w:val="22"/>
              </w:rPr>
              <w:t>Otwieracz</w:t>
            </w:r>
            <w:r w:rsidRPr="008347D9">
              <w:rPr>
                <w:b/>
                <w:sz w:val="20"/>
                <w:szCs w:val="20"/>
              </w:rPr>
              <w:t xml:space="preserve"> </w:t>
            </w:r>
            <w:r w:rsidRPr="008347D9">
              <w:rPr>
                <w:sz w:val="20"/>
                <w:szCs w:val="20"/>
              </w:rPr>
              <w:t>(nakłuwacz)</w:t>
            </w:r>
            <w:r w:rsidRPr="008347D9">
              <w:rPr>
                <w:b/>
                <w:sz w:val="20"/>
                <w:szCs w:val="20"/>
              </w:rPr>
              <w:t xml:space="preserve"> </w:t>
            </w:r>
            <w:r w:rsidRPr="00457BEF">
              <w:rPr>
                <w:b/>
                <w:sz w:val="22"/>
                <w:szCs w:val="22"/>
              </w:rPr>
              <w:t>do drenów</w:t>
            </w:r>
            <w:r>
              <w:rPr>
                <w:sz w:val="20"/>
                <w:szCs w:val="20"/>
              </w:rPr>
              <w:t xml:space="preserve"> do próbówek o średnicy zew. </w:t>
            </w:r>
            <w:r w:rsidR="00002E53">
              <w:rPr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 xml:space="preserve"> 12 mm i średnicy wew. 10mm, stabilne mocowanie do probówki, jednorazowe, umożliwiające bezpieczne pobranie krwi z drenu.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347D9" w:rsidRDefault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5765" w:rsidRDefault="00095765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8347D9" w:rsidRDefault="008347D9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32000</w:t>
            </w:r>
          </w:p>
        </w:tc>
      </w:tr>
    </w:tbl>
    <w:p w:rsidR="00ED7997" w:rsidRDefault="00ED7997">
      <w:pPr>
        <w:pStyle w:val="Standard"/>
        <w:rPr>
          <w:b/>
          <w:bCs/>
          <w:sz w:val="20"/>
          <w:szCs w:val="20"/>
        </w:rPr>
      </w:pPr>
    </w:p>
    <w:tbl>
      <w:tblPr>
        <w:tblW w:w="10555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2"/>
        <w:gridCol w:w="5670"/>
        <w:gridCol w:w="1560"/>
        <w:gridCol w:w="2693"/>
      </w:tblGrid>
      <w:tr w:rsidR="008347D9" w:rsidTr="008347D9">
        <w:trPr>
          <w:trHeight w:val="370"/>
        </w:trPr>
        <w:tc>
          <w:tcPr>
            <w:tcW w:w="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</w:tcPr>
          <w:p w:rsidR="008347D9" w:rsidRPr="009F2590" w:rsidRDefault="008347D9" w:rsidP="008347D9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F2590">
              <w:rPr>
                <w:b/>
                <w:bCs/>
                <w:sz w:val="16"/>
                <w:szCs w:val="16"/>
              </w:rPr>
              <w:t>Grupa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</w:tcPr>
          <w:p w:rsidR="008347D9" w:rsidRPr="009F2590" w:rsidRDefault="008347D9" w:rsidP="008347D9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F2590">
              <w:rPr>
                <w:b/>
                <w:bCs/>
                <w:sz w:val="16"/>
                <w:szCs w:val="16"/>
              </w:rPr>
              <w:t>Opis zamówienia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:rsidR="008347D9" w:rsidRPr="009F2590" w:rsidRDefault="008347D9" w:rsidP="008347D9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347D9">
              <w:rPr>
                <w:b/>
                <w:bCs/>
                <w:sz w:val="16"/>
                <w:szCs w:val="16"/>
              </w:rPr>
              <w:t>Potwierdzenie wymaganych parametrów (WPISAĆ TAK/NIE LUB OPISAĆ)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:rsidR="008347D9" w:rsidRPr="009F2590" w:rsidRDefault="008347D9" w:rsidP="008347D9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9F2590">
              <w:rPr>
                <w:b/>
                <w:bCs/>
                <w:sz w:val="16"/>
                <w:szCs w:val="16"/>
              </w:rPr>
              <w:t>Ilość (szt.) na okres</w:t>
            </w:r>
          </w:p>
          <w:p w:rsidR="008347D9" w:rsidRPr="009F2590" w:rsidRDefault="008347D9" w:rsidP="008347D9">
            <w:pPr>
              <w:pStyle w:val="Zawartotabeli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  <w:r w:rsidRPr="009F2590">
              <w:rPr>
                <w:b/>
                <w:bCs/>
                <w:sz w:val="16"/>
                <w:szCs w:val="16"/>
              </w:rPr>
              <w:t xml:space="preserve"> miesięcy</w:t>
            </w:r>
          </w:p>
        </w:tc>
      </w:tr>
      <w:tr w:rsidR="008347D9" w:rsidTr="00917BBA">
        <w:trPr>
          <w:trHeight w:val="2729"/>
        </w:trPr>
        <w:tc>
          <w:tcPr>
            <w:tcW w:w="632" w:type="dxa"/>
            <w:tcBorders>
              <w:left w:val="single" w:sz="2" w:space="0" w:color="000001"/>
              <w:bottom w:val="single" w:sz="2" w:space="0" w:color="000001"/>
            </w:tcBorders>
          </w:tcPr>
          <w:p w:rsidR="008347D9" w:rsidRDefault="008347D9" w:rsidP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8347D9" w:rsidRDefault="008347D9" w:rsidP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</w:p>
          <w:p w:rsidR="008347D9" w:rsidRDefault="008347D9" w:rsidP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</w:p>
          <w:p w:rsidR="008347D9" w:rsidRDefault="008347D9" w:rsidP="008347D9">
            <w:pPr>
              <w:pStyle w:val="Zawartotabeli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a)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</w:tcBorders>
          </w:tcPr>
          <w:p w:rsidR="008347D9" w:rsidRPr="00457BEF" w:rsidRDefault="008347D9" w:rsidP="008347D9">
            <w:pPr>
              <w:pStyle w:val="Zawartotabeli"/>
              <w:widowControl w:val="0"/>
              <w:ind w:left="87"/>
              <w:rPr>
                <w:b/>
                <w:sz w:val="22"/>
                <w:szCs w:val="22"/>
              </w:rPr>
            </w:pPr>
            <w:r w:rsidRPr="00457BEF">
              <w:rPr>
                <w:b/>
                <w:sz w:val="22"/>
                <w:szCs w:val="22"/>
              </w:rPr>
              <w:t>Rękawice chirurgiczne sterylne</w:t>
            </w:r>
          </w:p>
          <w:p w:rsidR="008347D9" w:rsidRDefault="008347D9" w:rsidP="008347D9">
            <w:pPr>
              <w:pStyle w:val="Zawartotabeli"/>
              <w:rPr>
                <w:sz w:val="20"/>
                <w:szCs w:val="20"/>
              </w:rPr>
            </w:pPr>
          </w:p>
          <w:p w:rsidR="008347D9" w:rsidRDefault="008347D9" w:rsidP="00002E53">
            <w:pPr>
              <w:pStyle w:val="Zawartotabeli"/>
              <w:rPr>
                <w:sz w:val="20"/>
                <w:szCs w:val="20"/>
              </w:rPr>
            </w:pPr>
            <w:r w:rsidRPr="008347D9">
              <w:rPr>
                <w:sz w:val="20"/>
                <w:szCs w:val="20"/>
              </w:rPr>
              <w:t xml:space="preserve">Rękawice chirurgiczne </w:t>
            </w:r>
            <w:proofErr w:type="spellStart"/>
            <w:r w:rsidRPr="008347D9">
              <w:rPr>
                <w:sz w:val="20"/>
                <w:szCs w:val="20"/>
              </w:rPr>
              <w:t>bezpudrowe</w:t>
            </w:r>
            <w:proofErr w:type="spellEnd"/>
            <w:r w:rsidRPr="008347D9">
              <w:rPr>
                <w:sz w:val="20"/>
                <w:szCs w:val="20"/>
              </w:rPr>
              <w:t xml:space="preserve"> wykonane z ubogiego w białko lateksu, zawartość protein &lt; niż 50 µg/g, wewnętrzna warstwa z pokryciem polimerowym, ułatwiającym zakładanie rękawicy</w:t>
            </w:r>
            <w:r>
              <w:rPr>
                <w:sz w:val="20"/>
                <w:szCs w:val="20"/>
              </w:rPr>
              <w:t xml:space="preserve"> </w:t>
            </w:r>
            <w:r w:rsidRPr="008347D9">
              <w:rPr>
                <w:sz w:val="20"/>
                <w:szCs w:val="20"/>
              </w:rPr>
              <w:t>AQL maksymalnie 1,5; siła zrywająca minimum 12 N przed starzeniem, rękawica zgodna z normą EN-455-1-2-3, grubość na środkowym palcu mieszcząca się w zakresie 0,20 mm – 0,26 mm,  pakowane parami szczelne opakowanie gwarantujące zachowanie jałowości do momentu ich otwarcia, wyraźne oznaczenie rozmiaru na opakowaniu bezpośrednim i rękawicy</w:t>
            </w:r>
            <w:r>
              <w:rPr>
                <w:sz w:val="20"/>
                <w:szCs w:val="20"/>
              </w:rPr>
              <w:t xml:space="preserve"> – rozmiar 6,00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347D9" w:rsidRDefault="008347D9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5765" w:rsidRDefault="00095765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095765" w:rsidRDefault="00095765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095765" w:rsidRDefault="00095765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095765" w:rsidRDefault="00095765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095765" w:rsidRDefault="00095765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8347D9" w:rsidRDefault="00095765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6 000</w:t>
            </w:r>
          </w:p>
        </w:tc>
      </w:tr>
      <w:tr w:rsidR="008347D9" w:rsidTr="00046D3A">
        <w:trPr>
          <w:trHeight w:val="2220"/>
        </w:trPr>
        <w:tc>
          <w:tcPr>
            <w:tcW w:w="63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</w:tcPr>
          <w:p w:rsidR="008347D9" w:rsidRDefault="008347D9" w:rsidP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</w:p>
          <w:p w:rsidR="008347D9" w:rsidRDefault="008347D9" w:rsidP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</w:p>
          <w:p w:rsidR="008347D9" w:rsidRDefault="008347D9" w:rsidP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</w:tcPr>
          <w:p w:rsidR="008347D9" w:rsidRPr="008347D9" w:rsidRDefault="008347D9" w:rsidP="008347D9">
            <w:pPr>
              <w:pStyle w:val="Default"/>
              <w:ind w:lef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8347D9">
              <w:rPr>
                <w:rFonts w:ascii="Times New Roman" w:hAnsi="Times New Roman" w:cs="Times New Roman"/>
                <w:sz w:val="20"/>
                <w:szCs w:val="20"/>
              </w:rPr>
              <w:t xml:space="preserve">Rękawice chirurgiczne </w:t>
            </w:r>
            <w:proofErr w:type="spellStart"/>
            <w:r w:rsidRPr="008347D9">
              <w:rPr>
                <w:rFonts w:ascii="Times New Roman" w:hAnsi="Times New Roman" w:cs="Times New Roman"/>
                <w:sz w:val="20"/>
                <w:szCs w:val="20"/>
              </w:rPr>
              <w:t>bezpudrowe</w:t>
            </w:r>
            <w:proofErr w:type="spellEnd"/>
            <w:r w:rsidRPr="008347D9">
              <w:rPr>
                <w:rFonts w:ascii="Times New Roman" w:hAnsi="Times New Roman" w:cs="Times New Roman"/>
                <w:sz w:val="20"/>
                <w:szCs w:val="20"/>
              </w:rPr>
              <w:t xml:space="preserve"> wykonane z ubogiego w białko lateksu, zawartość protein &lt; niż 50 µg/g, wewnętrzna warstwa z pokryciem polimerowym, ułatwiającym zakładanie rękawicy</w:t>
            </w:r>
          </w:p>
          <w:p w:rsidR="008347D9" w:rsidRDefault="008347D9" w:rsidP="008347D9">
            <w:pPr>
              <w:pStyle w:val="Default"/>
              <w:widowControl w:val="0"/>
              <w:ind w:lef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8347D9">
              <w:rPr>
                <w:rFonts w:ascii="Times New Roman" w:hAnsi="Times New Roman" w:cs="Times New Roman"/>
                <w:sz w:val="20"/>
                <w:szCs w:val="20"/>
              </w:rPr>
              <w:t>AQL maksymalnie 1,5; siła zrywająca minimum 12 N przed starzeniem, rękawic zgodna z normą EN-455-1-2-3, grubość na środkowym palcu mieszcząca się w zakresie 0,20 mm – 0,26 mm,  pakowane parami szczelne opakowanie gwarantujące zachowanie jałowości do momentu ich otwarcia, wyraźne oznaczenie rozmiaru na opakowaniu bezpośrednim i rękawicy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rozmiar 6,50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347D9" w:rsidRDefault="008347D9" w:rsidP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347D9" w:rsidRDefault="008347D9" w:rsidP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</w:p>
          <w:p w:rsidR="00095765" w:rsidRPr="00095765" w:rsidRDefault="00095765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095765" w:rsidRDefault="00095765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095765" w:rsidRDefault="00095765" w:rsidP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  <w:r w:rsidRPr="00095765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5765">
              <w:rPr>
                <w:b/>
                <w:sz w:val="20"/>
                <w:szCs w:val="20"/>
              </w:rPr>
              <w:t>000</w:t>
            </w:r>
          </w:p>
        </w:tc>
      </w:tr>
      <w:tr w:rsidR="008347D9" w:rsidTr="008347D9">
        <w:trPr>
          <w:trHeight w:val="2295"/>
        </w:trPr>
        <w:tc>
          <w:tcPr>
            <w:tcW w:w="632" w:type="dxa"/>
            <w:tcBorders>
              <w:left w:val="single" w:sz="2" w:space="0" w:color="000001"/>
              <w:bottom w:val="single" w:sz="4" w:space="0" w:color="auto"/>
            </w:tcBorders>
          </w:tcPr>
          <w:p w:rsidR="008347D9" w:rsidRDefault="008347D9" w:rsidP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</w:p>
          <w:p w:rsidR="008347D9" w:rsidRDefault="008347D9" w:rsidP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</w:p>
          <w:p w:rsidR="008347D9" w:rsidRDefault="008347D9" w:rsidP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</w:p>
          <w:p w:rsidR="008347D9" w:rsidRDefault="008347D9" w:rsidP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</w:p>
          <w:p w:rsidR="008347D9" w:rsidRDefault="008347D9" w:rsidP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4" w:space="0" w:color="auto"/>
            </w:tcBorders>
          </w:tcPr>
          <w:p w:rsidR="008347D9" w:rsidRPr="00457BEF" w:rsidRDefault="008347D9" w:rsidP="008347D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7BEF">
              <w:rPr>
                <w:rFonts w:cs="Times New Roman"/>
                <w:color w:val="000000"/>
                <w:sz w:val="20"/>
                <w:szCs w:val="20"/>
              </w:rPr>
              <w:t xml:space="preserve">Rękawice chirurgiczne </w:t>
            </w:r>
            <w:proofErr w:type="spellStart"/>
            <w:r w:rsidRPr="00457BEF">
              <w:rPr>
                <w:rFonts w:cs="Times New Roman"/>
                <w:color w:val="000000"/>
                <w:sz w:val="20"/>
                <w:szCs w:val="20"/>
              </w:rPr>
              <w:t>bezpudrowe</w:t>
            </w:r>
            <w:proofErr w:type="spellEnd"/>
            <w:r w:rsidRPr="00457BEF">
              <w:rPr>
                <w:rFonts w:cs="Times New Roman"/>
                <w:color w:val="000000"/>
                <w:sz w:val="20"/>
                <w:szCs w:val="20"/>
              </w:rPr>
              <w:t xml:space="preserve"> wykonane z ubogiego w białko lateksu, zawartość protein &lt; niż 50 µg/g, wewnętrzna warstwa z pokryciem polimerowym, ułatwiającym zakładanie rękawicy</w:t>
            </w:r>
            <w:r w:rsidRPr="00457BEF">
              <w:rPr>
                <w:rFonts w:cs="Times New Roman"/>
                <w:color w:val="000000"/>
                <w:sz w:val="20"/>
                <w:szCs w:val="20"/>
              </w:rPr>
              <w:br/>
              <w:t>AQL maksymalnie 1,5; siła zrywająca minimum 12 N przed starzeniem, rękawic zgodna z normą EN-455-1-2-3, grubość na środkowym palcu mieszcząca się w zakresie 0,20 mm – 0,26 mm,  pakowane parami szczelne opakowanie gwarantujące zachowanie jałowości do momentu ich otwarcia, wyraźne oznaczenie rozmiaru na opakowaniu bezpośrednim i rękawic  - rozmiar 7,00</w:t>
            </w:r>
          </w:p>
          <w:p w:rsidR="008347D9" w:rsidRPr="00457BEF" w:rsidRDefault="008347D9" w:rsidP="008347D9">
            <w:pPr>
              <w:pStyle w:val="Zawartotabeli"/>
              <w:widowControl w:val="0"/>
              <w:ind w:left="14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8347D9" w:rsidRDefault="008347D9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8347D9" w:rsidRDefault="008347D9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095765" w:rsidRDefault="00095765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095765" w:rsidRDefault="00095765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095765" w:rsidRDefault="00095765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095765" w:rsidRDefault="00095765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35 000</w:t>
            </w:r>
          </w:p>
        </w:tc>
      </w:tr>
      <w:tr w:rsidR="008347D9" w:rsidTr="008347D9">
        <w:trPr>
          <w:trHeight w:val="217"/>
        </w:trPr>
        <w:tc>
          <w:tcPr>
            <w:tcW w:w="632" w:type="dxa"/>
            <w:tcBorders>
              <w:top w:val="single" w:sz="4" w:space="0" w:color="auto"/>
              <w:left w:val="single" w:sz="2" w:space="0" w:color="000001"/>
            </w:tcBorders>
          </w:tcPr>
          <w:p w:rsidR="00095765" w:rsidRDefault="00095765" w:rsidP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</w:p>
          <w:p w:rsidR="00095765" w:rsidRDefault="00095765" w:rsidP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</w:p>
          <w:p w:rsidR="00095765" w:rsidRDefault="00095765" w:rsidP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</w:p>
          <w:p w:rsidR="00095765" w:rsidRDefault="00095765" w:rsidP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</w:p>
          <w:p w:rsidR="00095765" w:rsidRDefault="00095765" w:rsidP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</w:p>
          <w:p w:rsidR="008347D9" w:rsidRDefault="00095765" w:rsidP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1"/>
            </w:tcBorders>
          </w:tcPr>
          <w:p w:rsidR="00095765" w:rsidRPr="00457BEF" w:rsidRDefault="00095765" w:rsidP="00095765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457BEF">
              <w:rPr>
                <w:rFonts w:cs="Times New Roman"/>
                <w:color w:val="000000"/>
                <w:sz w:val="20"/>
                <w:szCs w:val="20"/>
              </w:rPr>
              <w:t xml:space="preserve">Rękawice chirurgiczne </w:t>
            </w:r>
            <w:proofErr w:type="spellStart"/>
            <w:r w:rsidRPr="00457BEF">
              <w:rPr>
                <w:rFonts w:cs="Times New Roman"/>
                <w:color w:val="000000"/>
                <w:sz w:val="20"/>
                <w:szCs w:val="20"/>
              </w:rPr>
              <w:t>bezpudrowe</w:t>
            </w:r>
            <w:proofErr w:type="spellEnd"/>
            <w:r w:rsidRPr="00457BEF">
              <w:rPr>
                <w:rFonts w:cs="Times New Roman"/>
                <w:color w:val="000000"/>
                <w:sz w:val="20"/>
                <w:szCs w:val="20"/>
              </w:rPr>
              <w:t xml:space="preserve"> wykonane z ubogiego w białko lateksu, zawartość protein &lt; niż 50 µg/g, wewnętrzna warstwa z pokryciem polimerowym, ułatwiającym zakładanie rękawicy</w:t>
            </w:r>
          </w:p>
          <w:p w:rsidR="008347D9" w:rsidRPr="00457BEF" w:rsidRDefault="00095765" w:rsidP="00095765">
            <w:pPr>
              <w:pStyle w:val="Zawartotabeli"/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457BEF">
              <w:rPr>
                <w:rFonts w:cs="Times New Roman"/>
                <w:color w:val="000000"/>
                <w:sz w:val="20"/>
                <w:szCs w:val="20"/>
              </w:rPr>
              <w:t>AQL maksymalnie 1,5; siła zrywająca minimum 12 N przed starzeniem, rękawic zgodna z normą EN-455-1-2-3, grubość na środkowym palcu mieszcząca się w zakresie 0,20 mm – 0,26 mm,  pakowane parami szczelne opakowanie gwarantujące zachowanie jałowości do momentu ich otwarcia, wyraźne oznaczenie rozmiaru na opakowaniu bezpośrednim i rękawic – rozmiar 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1"/>
              <w:right w:val="single" w:sz="2" w:space="0" w:color="000001"/>
            </w:tcBorders>
          </w:tcPr>
          <w:p w:rsidR="008347D9" w:rsidRDefault="008347D9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1"/>
              <w:right w:val="single" w:sz="2" w:space="0" w:color="000001"/>
            </w:tcBorders>
          </w:tcPr>
          <w:p w:rsidR="00095765" w:rsidRDefault="00095765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095765" w:rsidRDefault="00095765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095765" w:rsidRDefault="00095765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095765" w:rsidRDefault="00095765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095765" w:rsidRDefault="00095765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8347D9" w:rsidRDefault="00095765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30 000</w:t>
            </w:r>
          </w:p>
        </w:tc>
      </w:tr>
      <w:tr w:rsidR="008347D9" w:rsidTr="00917BBA">
        <w:trPr>
          <w:trHeight w:val="138"/>
        </w:trPr>
        <w:tc>
          <w:tcPr>
            <w:tcW w:w="632" w:type="dxa"/>
            <w:tcBorders>
              <w:left w:val="single" w:sz="2" w:space="0" w:color="000001"/>
              <w:bottom w:val="single" w:sz="4" w:space="0" w:color="auto"/>
            </w:tcBorders>
          </w:tcPr>
          <w:p w:rsidR="008347D9" w:rsidRDefault="008347D9" w:rsidP="00095765">
            <w:pPr>
              <w:pStyle w:val="Zawartotabeli"/>
              <w:widowControl w:val="0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2" w:space="0" w:color="000001"/>
              <w:bottom w:val="single" w:sz="4" w:space="0" w:color="auto"/>
            </w:tcBorders>
          </w:tcPr>
          <w:p w:rsidR="008347D9" w:rsidRPr="00457BEF" w:rsidRDefault="008347D9" w:rsidP="008347D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8347D9" w:rsidRDefault="008347D9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8347D9" w:rsidRDefault="008347D9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347D9" w:rsidTr="00917BBA">
        <w:trPr>
          <w:trHeight w:val="2318"/>
        </w:trPr>
        <w:tc>
          <w:tcPr>
            <w:tcW w:w="63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</w:tcPr>
          <w:p w:rsidR="008347D9" w:rsidRDefault="008347D9" w:rsidP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</w:p>
          <w:p w:rsidR="00095765" w:rsidRDefault="00095765" w:rsidP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</w:p>
          <w:p w:rsidR="00095765" w:rsidRDefault="00095765" w:rsidP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</w:p>
          <w:p w:rsidR="00095765" w:rsidRDefault="00095765" w:rsidP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</w:p>
          <w:p w:rsidR="008347D9" w:rsidRDefault="008347D9" w:rsidP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</w:tcPr>
          <w:p w:rsidR="00095765" w:rsidRPr="00457BEF" w:rsidRDefault="00095765" w:rsidP="000957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7BEF">
              <w:rPr>
                <w:rFonts w:cs="Times New Roman"/>
                <w:color w:val="000000"/>
                <w:sz w:val="20"/>
                <w:szCs w:val="20"/>
              </w:rPr>
              <w:t xml:space="preserve">Rękawice chirurgiczne </w:t>
            </w:r>
            <w:proofErr w:type="spellStart"/>
            <w:r w:rsidRPr="00457BEF">
              <w:rPr>
                <w:rFonts w:cs="Times New Roman"/>
                <w:color w:val="000000"/>
                <w:sz w:val="20"/>
                <w:szCs w:val="20"/>
              </w:rPr>
              <w:t>bezpudrowe</w:t>
            </w:r>
            <w:proofErr w:type="spellEnd"/>
            <w:r w:rsidRPr="00457BEF">
              <w:rPr>
                <w:rFonts w:cs="Times New Roman"/>
                <w:color w:val="000000"/>
                <w:sz w:val="20"/>
                <w:szCs w:val="20"/>
              </w:rPr>
              <w:t xml:space="preserve"> wykonane z ubogiego w białko lateksu, zawartość protein &lt; niż 50 µg/g, wewnętrzna warstwa z pokryciem polimerowym, ułatwiającym zakładanie rękawicy</w:t>
            </w:r>
          </w:p>
          <w:p w:rsidR="008347D9" w:rsidRPr="00457BEF" w:rsidRDefault="00095765" w:rsidP="000957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7BEF">
              <w:rPr>
                <w:rFonts w:cs="Times New Roman"/>
                <w:color w:val="000000"/>
                <w:sz w:val="20"/>
                <w:szCs w:val="20"/>
              </w:rPr>
              <w:t>AQL maksymalnie 1,5; siła zrywająca minimum 12 N przed starzeniem, rękawic zgodna z normą EN-455-1-2-3, grubość na środkowym palcu mieszcząca się w zakresie 0,20 mm – 0,26 mm,  pakowane parami szczelne opakowanie gwarantujące zachowanie jałowości do momentu ich otwarcia, wyraźne oznaczenie rozmiaru na opakowaniu bezpośrednim i rękawic – rozmiar 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8347D9" w:rsidRDefault="008347D9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8347D9" w:rsidRDefault="008347D9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095765" w:rsidRDefault="00095765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095765" w:rsidRDefault="00095765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095765" w:rsidRDefault="00095765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095765" w:rsidRDefault="00095765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20 000</w:t>
            </w:r>
          </w:p>
        </w:tc>
      </w:tr>
      <w:tr w:rsidR="00095765" w:rsidTr="00046D3A">
        <w:trPr>
          <w:trHeight w:val="2438"/>
        </w:trPr>
        <w:tc>
          <w:tcPr>
            <w:tcW w:w="63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</w:tcPr>
          <w:p w:rsidR="00095765" w:rsidRDefault="00095765" w:rsidP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</w:p>
          <w:p w:rsidR="00095765" w:rsidRDefault="00095765" w:rsidP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</w:p>
          <w:p w:rsidR="00095765" w:rsidRDefault="00095765" w:rsidP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</w:tcPr>
          <w:p w:rsidR="00095765" w:rsidRPr="00457BEF" w:rsidRDefault="00095765" w:rsidP="000957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7BEF">
              <w:rPr>
                <w:rFonts w:cs="Times New Roman"/>
                <w:color w:val="000000"/>
                <w:sz w:val="20"/>
                <w:szCs w:val="20"/>
              </w:rPr>
              <w:t xml:space="preserve">Rękawice chirurgiczne </w:t>
            </w:r>
            <w:proofErr w:type="spellStart"/>
            <w:r w:rsidRPr="00457BEF">
              <w:rPr>
                <w:rFonts w:cs="Times New Roman"/>
                <w:color w:val="000000"/>
                <w:sz w:val="20"/>
                <w:szCs w:val="20"/>
              </w:rPr>
              <w:t>bezpudrowe</w:t>
            </w:r>
            <w:proofErr w:type="spellEnd"/>
            <w:r w:rsidRPr="00457BEF">
              <w:rPr>
                <w:rFonts w:cs="Times New Roman"/>
                <w:color w:val="000000"/>
                <w:sz w:val="20"/>
                <w:szCs w:val="20"/>
              </w:rPr>
              <w:t xml:space="preserve"> wykonane z ubogiego w białko lateksu, zawartość protein &lt; niż 50 µg/g, wewnętrzna warstwa z pokryciem polimerowym, ułatwiającym zakładanie rękawicy</w:t>
            </w:r>
          </w:p>
          <w:p w:rsidR="00095765" w:rsidRPr="00457BEF" w:rsidRDefault="00095765" w:rsidP="000957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7BEF">
              <w:rPr>
                <w:rFonts w:cs="Times New Roman"/>
                <w:color w:val="000000"/>
                <w:sz w:val="20"/>
                <w:szCs w:val="20"/>
              </w:rPr>
              <w:t>AQL maksymalnie 1,5; siła zrywająca minimum 12 N przed starzeniem, rękawic zgodna z normą EN-455-1-2-3, grubość na środkowym palcu mieszcząca się w zakresie 0,20 mm – 0,26 mm,  pakowane parami szczelne opakowanie gwarantujące zachowanie jałowości do momentu ich otwarcia, wyraźne oznaczenie rozmiaru na opakowaniu bezpośrednim i rękawic – rozmiar 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095765" w:rsidRDefault="00095765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095765" w:rsidRDefault="00095765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095765" w:rsidRDefault="00095765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095765" w:rsidRDefault="00095765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095765" w:rsidRDefault="00095765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095765" w:rsidRDefault="00095765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5 000</w:t>
            </w:r>
          </w:p>
          <w:p w:rsidR="00095765" w:rsidRDefault="00095765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46D3A" w:rsidTr="00046D3A">
        <w:trPr>
          <w:trHeight w:val="1820"/>
        </w:trPr>
        <w:tc>
          <w:tcPr>
            <w:tcW w:w="63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</w:tcPr>
          <w:p w:rsidR="00046D3A" w:rsidRDefault="00046D3A" w:rsidP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046D3A" w:rsidRDefault="00046D3A" w:rsidP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</w:p>
          <w:p w:rsidR="00046D3A" w:rsidRDefault="00046D3A" w:rsidP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</w:tcPr>
          <w:p w:rsidR="00046D3A" w:rsidRPr="00457BEF" w:rsidRDefault="00046D3A" w:rsidP="00095765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457BEF">
              <w:rPr>
                <w:rFonts w:cs="Times New Roman"/>
                <w:b/>
                <w:color w:val="000000"/>
                <w:sz w:val="22"/>
                <w:szCs w:val="22"/>
              </w:rPr>
              <w:t xml:space="preserve">Rękawice nitrylowe </w:t>
            </w:r>
            <w:proofErr w:type="spellStart"/>
            <w:r w:rsidRPr="00457BEF">
              <w:rPr>
                <w:rFonts w:cs="Times New Roman"/>
                <w:b/>
                <w:color w:val="000000"/>
                <w:sz w:val="22"/>
                <w:szCs w:val="22"/>
              </w:rPr>
              <w:t>bezpudrowe</w:t>
            </w:r>
            <w:proofErr w:type="spellEnd"/>
          </w:p>
          <w:p w:rsidR="00046D3A" w:rsidRPr="00457BEF" w:rsidRDefault="00046D3A" w:rsidP="00095765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046D3A" w:rsidRPr="00457BEF" w:rsidRDefault="00046D3A" w:rsidP="00002E5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7BEF">
              <w:rPr>
                <w:rFonts w:cs="Times New Roman"/>
                <w:color w:val="000000"/>
                <w:sz w:val="20"/>
                <w:szCs w:val="20"/>
              </w:rPr>
              <w:t xml:space="preserve">Rękawice do badań nitrylowe, powierzchnia gładka w części dłoniowej, dopuszczone teksturowane na końcach palców, mankiet rolowany, uniwersalne pasujące na prawą i lewą dłoń, poziom AQL maksimum 1,5, spełniająca normy </w:t>
            </w:r>
            <w:r w:rsidR="00002E53" w:rsidRPr="00457BEF">
              <w:rPr>
                <w:rFonts w:cs="Times New Roman"/>
                <w:color w:val="000000"/>
                <w:sz w:val="20"/>
                <w:szCs w:val="20"/>
              </w:rPr>
              <w:t>EN</w:t>
            </w:r>
            <w:r w:rsidRPr="00457BEF">
              <w:rPr>
                <w:rFonts w:cs="Times New Roman"/>
                <w:color w:val="000000"/>
                <w:sz w:val="20"/>
                <w:szCs w:val="20"/>
              </w:rPr>
              <w:t xml:space="preserve"> 455-1-2-3, pakowane max po 200 szt. – rozmiar 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046D3A" w:rsidRDefault="00046D3A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046D3A" w:rsidRDefault="00046D3A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046D3A" w:rsidRDefault="00046D3A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046D3A" w:rsidRDefault="00046D3A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046D3A" w:rsidRDefault="00046D3A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2 000 000</w:t>
            </w:r>
          </w:p>
        </w:tc>
      </w:tr>
      <w:tr w:rsidR="00046D3A" w:rsidTr="00457BEF">
        <w:trPr>
          <w:trHeight w:val="509"/>
        </w:trPr>
        <w:tc>
          <w:tcPr>
            <w:tcW w:w="63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</w:tcPr>
          <w:p w:rsidR="00046D3A" w:rsidRDefault="00046D3A" w:rsidP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</w:p>
          <w:p w:rsidR="00046D3A" w:rsidRDefault="00046D3A" w:rsidP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</w:p>
          <w:p w:rsidR="00046D3A" w:rsidRDefault="00046D3A" w:rsidP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</w:tcPr>
          <w:p w:rsidR="00046D3A" w:rsidRPr="00457BEF" w:rsidRDefault="00046D3A" w:rsidP="00002E5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7BEF">
              <w:rPr>
                <w:rFonts w:cs="Times New Roman"/>
                <w:color w:val="000000"/>
                <w:sz w:val="20"/>
                <w:szCs w:val="20"/>
              </w:rPr>
              <w:t xml:space="preserve">Rękawice do badań nitrylowe, powierzchnia gładka w części dłoniowej, dopuszczone teksturowane na końcach palców, mankiet rolowany, uniwersalne pasujące na prawą i lewą dłoń, poziom AQL </w:t>
            </w:r>
            <w:r w:rsidRPr="00457BEF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maksimum 1,5, spełniająca normy </w:t>
            </w:r>
            <w:r w:rsidR="00002E53" w:rsidRPr="00457BEF">
              <w:rPr>
                <w:rFonts w:cs="Times New Roman"/>
                <w:color w:val="000000"/>
                <w:sz w:val="20"/>
                <w:szCs w:val="20"/>
              </w:rPr>
              <w:t>EN</w:t>
            </w:r>
            <w:r w:rsidRPr="00457BEF">
              <w:rPr>
                <w:rFonts w:cs="Times New Roman"/>
                <w:color w:val="000000"/>
                <w:sz w:val="20"/>
                <w:szCs w:val="20"/>
              </w:rPr>
              <w:t xml:space="preserve"> 455-1-2-3, pakowane max po 200 szt. – rozmiar 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046D3A" w:rsidRDefault="00046D3A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046D3A" w:rsidRDefault="00046D3A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046D3A" w:rsidRDefault="00046D3A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046D3A" w:rsidRDefault="00046D3A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3 500 000</w:t>
            </w:r>
          </w:p>
        </w:tc>
      </w:tr>
      <w:tr w:rsidR="00046D3A" w:rsidTr="00002E53">
        <w:trPr>
          <w:trHeight w:val="706"/>
        </w:trPr>
        <w:tc>
          <w:tcPr>
            <w:tcW w:w="63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</w:tcPr>
          <w:p w:rsidR="00046D3A" w:rsidRDefault="00046D3A" w:rsidP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</w:p>
          <w:p w:rsidR="00046D3A" w:rsidRDefault="00046D3A" w:rsidP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</w:tcPr>
          <w:p w:rsidR="00046D3A" w:rsidRPr="00457BEF" w:rsidRDefault="00046D3A" w:rsidP="00002E5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7BEF">
              <w:rPr>
                <w:rFonts w:cs="Times New Roman"/>
                <w:color w:val="000000"/>
                <w:sz w:val="20"/>
                <w:szCs w:val="20"/>
              </w:rPr>
              <w:t xml:space="preserve">Rękawice do badań nitrylowe, powierzchnia gładka w części dłoniowej, dopuszczone teksturowane na końcach palców, mankiet rolowany, uniwersalne pasujące na prawą i lewą dłoń, poziom AQL maksimum 1,5, spełniająca normy </w:t>
            </w:r>
            <w:r w:rsidR="00002E53" w:rsidRPr="00457BEF">
              <w:rPr>
                <w:rFonts w:cs="Times New Roman"/>
                <w:color w:val="000000"/>
                <w:sz w:val="20"/>
                <w:szCs w:val="20"/>
              </w:rPr>
              <w:t>EN</w:t>
            </w:r>
            <w:r w:rsidRPr="00457BEF">
              <w:rPr>
                <w:rFonts w:cs="Times New Roman"/>
                <w:color w:val="000000"/>
                <w:sz w:val="20"/>
                <w:szCs w:val="20"/>
              </w:rPr>
              <w:t xml:space="preserve"> 455-1-2-3, pakowane max po 200 szt. – rozmiar 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046D3A" w:rsidRDefault="00046D3A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046D3A" w:rsidRDefault="00046D3A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046D3A" w:rsidRDefault="00046D3A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046D3A" w:rsidRDefault="00046D3A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3 200 000</w:t>
            </w:r>
          </w:p>
        </w:tc>
      </w:tr>
      <w:tr w:rsidR="00002E53" w:rsidTr="00002E53">
        <w:trPr>
          <w:trHeight w:val="706"/>
        </w:trPr>
        <w:tc>
          <w:tcPr>
            <w:tcW w:w="63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</w:tcPr>
          <w:p w:rsidR="00002E53" w:rsidRDefault="00002E53" w:rsidP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002E53" w:rsidRDefault="00002E53" w:rsidP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</w:p>
          <w:p w:rsidR="00002E53" w:rsidRDefault="00002E53" w:rsidP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</w:p>
          <w:p w:rsidR="00002E53" w:rsidRDefault="00002E53" w:rsidP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</w:tcPr>
          <w:p w:rsidR="00002E53" w:rsidRPr="00457BEF" w:rsidRDefault="00002E53" w:rsidP="00002E53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457BEF">
              <w:rPr>
                <w:rFonts w:cs="Times New Roman"/>
                <w:b/>
                <w:color w:val="000000"/>
                <w:sz w:val="22"/>
                <w:szCs w:val="22"/>
              </w:rPr>
              <w:t>Strzykawki jednorazowego użytku</w:t>
            </w:r>
          </w:p>
          <w:p w:rsidR="00002E53" w:rsidRPr="00457BEF" w:rsidRDefault="00002E53" w:rsidP="00002E5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002E53" w:rsidRPr="00457BEF" w:rsidRDefault="00002E53" w:rsidP="00002E5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7BEF">
              <w:rPr>
                <w:rFonts w:cs="Times New Roman"/>
                <w:color w:val="000000"/>
                <w:sz w:val="20"/>
                <w:szCs w:val="20"/>
              </w:rPr>
              <w:t xml:space="preserve">strzykawki jednorazowego użytku 2 częściowe </w:t>
            </w:r>
            <w:proofErr w:type="spellStart"/>
            <w:r w:rsidRPr="00457BEF">
              <w:rPr>
                <w:rFonts w:cs="Times New Roman"/>
                <w:color w:val="000000"/>
                <w:sz w:val="20"/>
                <w:szCs w:val="20"/>
              </w:rPr>
              <w:t>luer</w:t>
            </w:r>
            <w:proofErr w:type="spellEnd"/>
            <w:r w:rsidRPr="00457BEF">
              <w:rPr>
                <w:rFonts w:cs="Times New Roman"/>
                <w:color w:val="000000"/>
                <w:sz w:val="20"/>
                <w:szCs w:val="20"/>
              </w:rPr>
              <w:t>, sterylna, czytelna skala pomiarowa co 0,1 ml, przezroczysty cylinder (korpus polipropylen) strzykawki umożliwiający pełną kontrolę wizualną zawartości, tłok strzykawki (polietylen) podwójna kryza zabezpieczająca tłok przed wypadaniem  sterylizowane tlenkiem etylenu – rozmiar 2 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002E53" w:rsidRDefault="00002E53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002E53" w:rsidRDefault="00002E53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002E53" w:rsidRDefault="00002E53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002E53" w:rsidRDefault="00002E53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002E53" w:rsidRDefault="00002E53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002E53" w:rsidRDefault="00002E53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500 000</w:t>
            </w:r>
          </w:p>
        </w:tc>
      </w:tr>
      <w:tr w:rsidR="00002E53" w:rsidTr="00984DDB">
        <w:trPr>
          <w:trHeight w:val="706"/>
        </w:trPr>
        <w:tc>
          <w:tcPr>
            <w:tcW w:w="63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</w:tcPr>
          <w:p w:rsidR="00984DDB" w:rsidRDefault="00984DDB" w:rsidP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</w:p>
          <w:p w:rsidR="00002E53" w:rsidRDefault="00984DDB" w:rsidP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</w:tcPr>
          <w:p w:rsidR="00002E53" w:rsidRPr="00457BEF" w:rsidRDefault="00984DDB" w:rsidP="00984DD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7BEF">
              <w:rPr>
                <w:rFonts w:cs="Times New Roman"/>
                <w:color w:val="000000"/>
                <w:sz w:val="20"/>
                <w:szCs w:val="20"/>
              </w:rPr>
              <w:t xml:space="preserve">strzykawki jednorazowego użytku 2 częściowe </w:t>
            </w:r>
            <w:proofErr w:type="spellStart"/>
            <w:r w:rsidRPr="00457BEF">
              <w:rPr>
                <w:rFonts w:cs="Times New Roman"/>
                <w:color w:val="000000"/>
                <w:sz w:val="20"/>
                <w:szCs w:val="20"/>
              </w:rPr>
              <w:t>luer</w:t>
            </w:r>
            <w:proofErr w:type="spellEnd"/>
            <w:r w:rsidRPr="00457BEF">
              <w:rPr>
                <w:rFonts w:cs="Times New Roman"/>
                <w:color w:val="000000"/>
                <w:sz w:val="20"/>
                <w:szCs w:val="20"/>
              </w:rPr>
              <w:t>, sterylna, czytelna skala pomiarowa co 0,2 ml, przezroczysty cylinder (korpus polipropylen)strzykawki umożliwia pełną kontrolę wizualną zawartości, tłok strzykawki (polietylen) podwójna kryza zabezpieczająca tłok przed wypadaniem sterylizowane tlenkiem etylenu – rozmiar 5 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002E53" w:rsidRDefault="00002E53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002E53" w:rsidRDefault="00002E53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984DDB" w:rsidRDefault="00984DDB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984DDB" w:rsidRDefault="00984DDB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984DDB" w:rsidRDefault="00984DDB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500 000</w:t>
            </w:r>
          </w:p>
        </w:tc>
      </w:tr>
      <w:tr w:rsidR="00984DDB" w:rsidTr="00984DDB">
        <w:trPr>
          <w:trHeight w:val="706"/>
        </w:trPr>
        <w:tc>
          <w:tcPr>
            <w:tcW w:w="63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</w:tcPr>
          <w:p w:rsidR="00984DDB" w:rsidRDefault="00984DDB" w:rsidP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</w:p>
          <w:p w:rsidR="00984DDB" w:rsidRDefault="00984DDB" w:rsidP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</w:tcPr>
          <w:p w:rsidR="00984DDB" w:rsidRPr="00457BEF" w:rsidRDefault="00984DDB" w:rsidP="00984DD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7BEF">
              <w:rPr>
                <w:rFonts w:cs="Times New Roman"/>
                <w:color w:val="000000"/>
                <w:sz w:val="20"/>
                <w:szCs w:val="20"/>
              </w:rPr>
              <w:t xml:space="preserve">strzykawki jednorazowego użytku 2 częściowe </w:t>
            </w:r>
            <w:proofErr w:type="spellStart"/>
            <w:r w:rsidRPr="00457BEF">
              <w:rPr>
                <w:rFonts w:cs="Times New Roman"/>
                <w:color w:val="000000"/>
                <w:sz w:val="20"/>
                <w:szCs w:val="20"/>
              </w:rPr>
              <w:t>luer</w:t>
            </w:r>
            <w:proofErr w:type="spellEnd"/>
            <w:r w:rsidRPr="00457BEF">
              <w:rPr>
                <w:rFonts w:cs="Times New Roman"/>
                <w:color w:val="000000"/>
                <w:sz w:val="20"/>
                <w:szCs w:val="20"/>
              </w:rPr>
              <w:t>, sterylna, czytelna skala pomiarowa co 0,5 ml, przezroczysty cylinder (korpus polipropylen) strzykawki umożliwia pełną kontrolę wizualną zawartości, tłok strzykawki (polietylen) podwójna kryza zabezpieczająca tłok przed wypadaniem sterylizowane tlenkiem etylenu – rozmiar 10 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984DDB" w:rsidRDefault="00984DDB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984DDB" w:rsidRDefault="00984DDB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984DDB" w:rsidRDefault="00984DDB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457BEF" w:rsidRDefault="00457BEF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984DDB" w:rsidRDefault="00984DDB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600 000</w:t>
            </w:r>
          </w:p>
        </w:tc>
      </w:tr>
      <w:tr w:rsidR="00984DDB" w:rsidTr="009066BC">
        <w:trPr>
          <w:trHeight w:val="706"/>
        </w:trPr>
        <w:tc>
          <w:tcPr>
            <w:tcW w:w="63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</w:tcPr>
          <w:p w:rsidR="00984DDB" w:rsidRDefault="00984DDB" w:rsidP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</w:p>
          <w:p w:rsidR="00984DDB" w:rsidRDefault="00984DDB" w:rsidP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</w:tcPr>
          <w:p w:rsidR="00984DDB" w:rsidRPr="00457BEF" w:rsidRDefault="00984DDB" w:rsidP="00457BE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7BEF">
              <w:rPr>
                <w:rFonts w:cs="Times New Roman"/>
                <w:color w:val="000000"/>
                <w:sz w:val="20"/>
                <w:szCs w:val="20"/>
              </w:rPr>
              <w:t xml:space="preserve">strzykawki jednorazowego użytku 2 częściowe </w:t>
            </w:r>
            <w:proofErr w:type="spellStart"/>
            <w:r w:rsidRPr="00457BEF">
              <w:rPr>
                <w:rFonts w:cs="Times New Roman"/>
                <w:color w:val="000000"/>
                <w:sz w:val="20"/>
                <w:szCs w:val="20"/>
              </w:rPr>
              <w:t>luer</w:t>
            </w:r>
            <w:proofErr w:type="spellEnd"/>
            <w:r w:rsidRPr="00457BEF">
              <w:rPr>
                <w:rFonts w:cs="Times New Roman"/>
                <w:color w:val="000000"/>
                <w:sz w:val="20"/>
                <w:szCs w:val="20"/>
              </w:rPr>
              <w:t>, sterylna,</w:t>
            </w:r>
            <w:r w:rsidR="00457BEF" w:rsidRPr="00457BE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457BEF">
              <w:rPr>
                <w:rFonts w:cs="Times New Roman"/>
                <w:color w:val="000000"/>
                <w:sz w:val="20"/>
                <w:szCs w:val="20"/>
              </w:rPr>
              <w:t>czytelna skala pomiarowa co 1 ml, przezroczysty cylinder (korpus polipropylen)strzykawki umożliwia pełną kontrolę wizualną zawartości ,tłok strzykawki (polietylen) podwójna kryza zabezpieczająca tłok przed wypadaniem sterylizowane tlenkiem etylenu</w:t>
            </w:r>
            <w:r w:rsidR="00457BEF" w:rsidRPr="00457BEF">
              <w:rPr>
                <w:rFonts w:cs="Times New Roman"/>
                <w:color w:val="000000"/>
                <w:sz w:val="20"/>
                <w:szCs w:val="20"/>
              </w:rPr>
              <w:t xml:space="preserve"> – rozmiar 20 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984DDB" w:rsidRDefault="00984DDB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984DDB" w:rsidRDefault="00984DDB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457BEF" w:rsidRDefault="00457BEF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457BEF" w:rsidRDefault="00457BEF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457BEF" w:rsidRDefault="00457BEF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650 000</w:t>
            </w:r>
          </w:p>
        </w:tc>
      </w:tr>
      <w:tr w:rsidR="009066BC" w:rsidTr="00917BBA">
        <w:trPr>
          <w:trHeight w:val="706"/>
        </w:trPr>
        <w:tc>
          <w:tcPr>
            <w:tcW w:w="63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</w:tcPr>
          <w:p w:rsidR="009066BC" w:rsidRDefault="009066BC" w:rsidP="008347D9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</w:tcPr>
          <w:p w:rsidR="009066BC" w:rsidRDefault="009066BC" w:rsidP="00457BEF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9066BC">
              <w:rPr>
                <w:rFonts w:cs="Times New Roman"/>
                <w:b/>
                <w:color w:val="000000"/>
                <w:sz w:val="20"/>
                <w:szCs w:val="20"/>
              </w:rPr>
              <w:t>Aparat do przetaczania płynów infuzyjnych</w:t>
            </w:r>
          </w:p>
          <w:p w:rsidR="009066BC" w:rsidRPr="009066BC" w:rsidRDefault="009066BC" w:rsidP="00457BE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Pakowany </w:t>
            </w:r>
            <w:r w:rsidRPr="009066BC">
              <w:rPr>
                <w:rFonts w:cs="Times New Roman"/>
                <w:color w:val="000000"/>
                <w:sz w:val="20"/>
                <w:szCs w:val="20"/>
              </w:rPr>
              <w:t>pojedynczo, sterylny, dren o długości 150</w:t>
            </w:r>
            <w:r w:rsidR="00566BF3">
              <w:rPr>
                <w:rFonts w:cs="Times New Roman"/>
                <w:color w:val="000000"/>
                <w:sz w:val="20"/>
                <w:szCs w:val="20"/>
              </w:rPr>
              <w:t>-170</w:t>
            </w:r>
            <w:r w:rsidRPr="009066BC">
              <w:rPr>
                <w:rFonts w:cs="Times New Roman"/>
                <w:color w:val="000000"/>
                <w:sz w:val="20"/>
                <w:szCs w:val="20"/>
              </w:rPr>
              <w:t xml:space="preserve"> 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066BC" w:rsidRDefault="009066BC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066BC" w:rsidRDefault="009066BC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9066BC" w:rsidRDefault="00566BF3" w:rsidP="008347D9">
            <w:pPr>
              <w:pStyle w:val="Zawartotabeli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  <w:r w:rsidR="009066BC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ED7997" w:rsidRDefault="00ED7997">
      <w:pPr>
        <w:pStyle w:val="Default"/>
        <w:suppressLineNumbers/>
        <w:rPr>
          <w:rFonts w:ascii="Times New Roman" w:hAnsi="Times New Roman" w:cs="Times New Roman"/>
          <w:sz w:val="16"/>
          <w:szCs w:val="16"/>
        </w:rPr>
      </w:pPr>
    </w:p>
    <w:p w:rsidR="00ED7997" w:rsidRDefault="00ED7997">
      <w:pPr>
        <w:pStyle w:val="Default"/>
        <w:suppressLineNumbers/>
        <w:rPr>
          <w:rFonts w:ascii="Times New Roman" w:hAnsi="Times New Roman" w:cs="Times New Roman"/>
          <w:sz w:val="16"/>
          <w:szCs w:val="16"/>
        </w:rPr>
      </w:pPr>
    </w:p>
    <w:p w:rsidR="00ED7997" w:rsidRDefault="00ED7997">
      <w:pPr>
        <w:pStyle w:val="Default"/>
        <w:suppressLineNumbers/>
        <w:rPr>
          <w:rFonts w:ascii="Times New Roman" w:hAnsi="Times New Roman" w:cs="Times New Roman"/>
          <w:sz w:val="16"/>
          <w:szCs w:val="16"/>
        </w:rPr>
      </w:pPr>
    </w:p>
    <w:p w:rsidR="00ED7997" w:rsidRDefault="008347D9">
      <w:pPr>
        <w:pStyle w:val="Default"/>
        <w:suppressLineNumbers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Uwaga:</w:t>
      </w:r>
    </w:p>
    <w:p w:rsidR="00ED7997" w:rsidRDefault="008347D9" w:rsidP="008347D9">
      <w:pPr>
        <w:pStyle w:val="Nagwektabeli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>
        <w:rPr>
          <w:b w:val="0"/>
          <w:sz w:val="16"/>
          <w:szCs w:val="16"/>
        </w:rPr>
        <w:t>Wykonawca jest zobowiązany wypełnić załącznik nr 1 w</w:t>
      </w:r>
      <w:r w:rsidR="009F2590">
        <w:rPr>
          <w:b w:val="0"/>
          <w:sz w:val="16"/>
          <w:szCs w:val="16"/>
        </w:rPr>
        <w:t xml:space="preserve"> kolumnie pn. </w:t>
      </w:r>
      <w:r w:rsidRPr="008347D9">
        <w:rPr>
          <w:b w:val="0"/>
          <w:sz w:val="16"/>
          <w:szCs w:val="16"/>
        </w:rPr>
        <w:t>Potwierdzenie wymaganych parametrów (WPISAĆ TAK/NIE LUB OPISAĆ)</w:t>
      </w:r>
      <w:r>
        <w:rPr>
          <w:b w:val="0"/>
          <w:sz w:val="16"/>
          <w:szCs w:val="16"/>
        </w:rPr>
        <w:t xml:space="preserve"> i załączyć go do oferty.</w:t>
      </w:r>
    </w:p>
    <w:p w:rsidR="00ED7997" w:rsidRDefault="008347D9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- Załącznik nr 1 do SWZ  musi być podpisany przez osobę uprawnioną.</w:t>
      </w:r>
    </w:p>
    <w:p w:rsidR="00ED7997" w:rsidRDefault="008347D9">
      <w:pPr>
        <w:pStyle w:val="Standard"/>
        <w:suppressLineNumbers/>
        <w:ind w:left="5664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                                                                                                                   </w:t>
      </w:r>
    </w:p>
    <w:p w:rsidR="00ED7997" w:rsidRDefault="008347D9">
      <w:pPr>
        <w:pStyle w:val="Standard"/>
        <w:suppressLineNumbers/>
        <w:ind w:left="5664"/>
        <w:rPr>
          <w:rFonts w:ascii="Arial Narrow" w:hAnsi="Arial Narrow" w:cs="Arial Narrow"/>
          <w:i/>
          <w:sz w:val="20"/>
        </w:rPr>
      </w:pPr>
      <w:r>
        <w:rPr>
          <w:rFonts w:ascii="Arial Narrow" w:hAnsi="Arial Narrow" w:cs="Arial Narrow"/>
          <w:i/>
          <w:sz w:val="20"/>
        </w:rPr>
        <w:t xml:space="preserve">…...............................................     </w:t>
      </w:r>
    </w:p>
    <w:p w:rsidR="00ED7997" w:rsidRDefault="008347D9">
      <w:pPr>
        <w:pStyle w:val="Standard"/>
        <w:suppressLineNumbers/>
        <w:ind w:left="5664"/>
        <w:rPr>
          <w:rFonts w:ascii="Arial Narrow" w:hAnsi="Arial Narrow" w:cs="Arial Narrow"/>
          <w:i/>
          <w:sz w:val="20"/>
        </w:rPr>
      </w:pPr>
      <w:r>
        <w:rPr>
          <w:rFonts w:ascii="Arial Narrow" w:hAnsi="Arial Narrow" w:cs="Arial Narrow"/>
          <w:i/>
          <w:sz w:val="20"/>
        </w:rPr>
        <w:t xml:space="preserve">    ( podpis Wykonawcy)</w:t>
      </w:r>
    </w:p>
    <w:sectPr w:rsidR="00ED7997" w:rsidSect="009F2590">
      <w:footerReference w:type="default" r:id="rId7"/>
      <w:pgSz w:w="11906" w:h="16838"/>
      <w:pgMar w:top="720" w:right="720" w:bottom="720" w:left="720" w:header="0" w:footer="595" w:gutter="0"/>
      <w:cols w:space="708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6BC" w:rsidRDefault="009066BC" w:rsidP="00ED7997">
      <w:r>
        <w:separator/>
      </w:r>
    </w:p>
  </w:endnote>
  <w:endnote w:type="continuationSeparator" w:id="0">
    <w:p w:rsidR="009066BC" w:rsidRDefault="009066BC" w:rsidP="00ED7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40502020204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6BC" w:rsidRDefault="00CF0708">
    <w:pPr>
      <w:pStyle w:val="Footer"/>
    </w:pPr>
    <w:fldSimple w:instr=" PAGE ">
      <w:r w:rsidR="002A73A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6BC" w:rsidRDefault="009066BC" w:rsidP="00ED7997">
      <w:r>
        <w:separator/>
      </w:r>
    </w:p>
  </w:footnote>
  <w:footnote w:type="continuationSeparator" w:id="0">
    <w:p w:rsidR="009066BC" w:rsidRDefault="009066BC" w:rsidP="00ED7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83827"/>
    <w:multiLevelType w:val="multilevel"/>
    <w:tmpl w:val="D8C0F9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64469C9"/>
    <w:multiLevelType w:val="multilevel"/>
    <w:tmpl w:val="166474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DBB483F"/>
    <w:multiLevelType w:val="multilevel"/>
    <w:tmpl w:val="A0D6AA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66A7697F"/>
    <w:multiLevelType w:val="multilevel"/>
    <w:tmpl w:val="0012112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7997"/>
    <w:rsid w:val="00002E53"/>
    <w:rsid w:val="00046D3A"/>
    <w:rsid w:val="00095765"/>
    <w:rsid w:val="002341D0"/>
    <w:rsid w:val="002A73A9"/>
    <w:rsid w:val="00457BEF"/>
    <w:rsid w:val="00566BF3"/>
    <w:rsid w:val="0066175C"/>
    <w:rsid w:val="008347D9"/>
    <w:rsid w:val="00881B83"/>
    <w:rsid w:val="009066BC"/>
    <w:rsid w:val="00917BBA"/>
    <w:rsid w:val="00984DDB"/>
    <w:rsid w:val="009F2590"/>
    <w:rsid w:val="00CB08B6"/>
    <w:rsid w:val="00CF0708"/>
    <w:rsid w:val="00CF50B4"/>
    <w:rsid w:val="00D52208"/>
    <w:rsid w:val="00DB0BD8"/>
    <w:rsid w:val="00ED7997"/>
    <w:rsid w:val="00FA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70E"/>
    <w:pPr>
      <w:widowControl w:val="0"/>
      <w:textAlignment w:val="baseline"/>
    </w:pPr>
    <w:rPr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Standard"/>
    <w:next w:val="Textbody"/>
    <w:qFormat/>
    <w:rsid w:val="00D1470E"/>
    <w:pPr>
      <w:keepNext/>
      <w:jc w:val="right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Nagwek1Znak">
    <w:name w:val="Nagłówek 1 Znak"/>
    <w:qFormat/>
    <w:rsid w:val="00D1470E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TekstpodstawowyZnak">
    <w:name w:val="Tekst podstawowy Znak"/>
    <w:qFormat/>
    <w:rsid w:val="00D1470E"/>
    <w:rPr>
      <w:rFonts w:ascii="Times New Roman" w:hAnsi="Times New Roman"/>
      <w:sz w:val="24"/>
      <w:szCs w:val="24"/>
      <w:lang w:eastAsia="ar-SA"/>
    </w:rPr>
  </w:style>
  <w:style w:type="character" w:customStyle="1" w:styleId="TekstdymkaZnak">
    <w:name w:val="Tekst dymka Znak"/>
    <w:qFormat/>
    <w:rsid w:val="00D1470E"/>
    <w:rPr>
      <w:rFonts w:ascii="Tahoma" w:hAnsi="Tahoma" w:cs="Tahoma"/>
      <w:sz w:val="16"/>
      <w:szCs w:val="16"/>
      <w:lang w:eastAsia="ar-SA"/>
    </w:rPr>
  </w:style>
  <w:style w:type="character" w:customStyle="1" w:styleId="TekstprzypisukocowegoZnak">
    <w:name w:val="Tekst przypisu końcowego Znak"/>
    <w:qFormat/>
    <w:rsid w:val="00D1470E"/>
    <w:rPr>
      <w:rFonts w:ascii="Times New Roman" w:hAnsi="Times New Roman"/>
      <w:lang w:eastAsia="ar-SA"/>
    </w:rPr>
  </w:style>
  <w:style w:type="character" w:customStyle="1" w:styleId="EndnoteReference">
    <w:name w:val="Endnote Reference"/>
    <w:rsid w:val="00ED7997"/>
    <w:rPr>
      <w:vertAlign w:val="superscript"/>
    </w:rPr>
  </w:style>
  <w:style w:type="character" w:customStyle="1" w:styleId="EndnoteCharacters">
    <w:name w:val="Endnote Characters"/>
    <w:qFormat/>
    <w:rsid w:val="00D1470E"/>
    <w:rPr>
      <w:vertAlign w:val="superscript"/>
    </w:rPr>
  </w:style>
  <w:style w:type="character" w:customStyle="1" w:styleId="NagwekZnak">
    <w:name w:val="Nagłówek Znak"/>
    <w:qFormat/>
    <w:rsid w:val="00D1470E"/>
    <w:rPr>
      <w:rFonts w:ascii="Times New Roman" w:hAnsi="Times New Roman"/>
      <w:sz w:val="24"/>
      <w:szCs w:val="24"/>
      <w:lang w:eastAsia="ar-SA"/>
    </w:rPr>
  </w:style>
  <w:style w:type="character" w:customStyle="1" w:styleId="StopkaZnak">
    <w:name w:val="Stopka Znak"/>
    <w:qFormat/>
    <w:rsid w:val="00D1470E"/>
    <w:rPr>
      <w:rFonts w:ascii="Times New Roman" w:hAnsi="Times New Roman"/>
      <w:sz w:val="24"/>
      <w:szCs w:val="24"/>
      <w:lang w:eastAsia="ar-SA"/>
    </w:rPr>
  </w:style>
  <w:style w:type="character" w:customStyle="1" w:styleId="Znakiwypunktowania">
    <w:name w:val="Znaki wypunktowania"/>
    <w:qFormat/>
    <w:rsid w:val="00D1470E"/>
    <w:rPr>
      <w:rFonts w:ascii="OpenSymbol" w:eastAsia="OpenSymbol" w:hAnsi="OpenSymbol" w:cs="OpenSymbol"/>
    </w:rPr>
  </w:style>
  <w:style w:type="character" w:styleId="Odwoaniedokomentarza">
    <w:name w:val="annotation reference"/>
    <w:uiPriority w:val="99"/>
    <w:semiHidden/>
    <w:unhideWhenUsed/>
    <w:qFormat/>
    <w:rsid w:val="007C59F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7C59F4"/>
    <w:rPr>
      <w:kern w:val="2"/>
      <w:szCs w:val="18"/>
      <w:lang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7C59F4"/>
    <w:rPr>
      <w:b/>
      <w:bCs/>
      <w:kern w:val="2"/>
      <w:szCs w:val="18"/>
      <w:lang w:eastAsia="zh-CN" w:bidi="hi-IN"/>
    </w:rPr>
  </w:style>
  <w:style w:type="paragraph" w:customStyle="1" w:styleId="Nagwek1">
    <w:name w:val="Nagłówek1"/>
    <w:basedOn w:val="Standard"/>
    <w:next w:val="Textbody"/>
    <w:qFormat/>
    <w:rsid w:val="00D1470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ED7997"/>
    <w:pPr>
      <w:spacing w:after="140" w:line="276" w:lineRule="auto"/>
    </w:pPr>
  </w:style>
  <w:style w:type="paragraph" w:styleId="Lista">
    <w:name w:val="List"/>
    <w:basedOn w:val="Textbody"/>
    <w:rsid w:val="00D1470E"/>
  </w:style>
  <w:style w:type="paragraph" w:customStyle="1" w:styleId="Caption">
    <w:name w:val="Caption"/>
    <w:basedOn w:val="Normalny"/>
    <w:qFormat/>
    <w:rsid w:val="00ED7997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Standard"/>
    <w:qFormat/>
    <w:rsid w:val="00D1470E"/>
    <w:pPr>
      <w:suppressLineNumbers/>
    </w:pPr>
  </w:style>
  <w:style w:type="paragraph" w:customStyle="1" w:styleId="Standard">
    <w:name w:val="Standard"/>
    <w:qFormat/>
    <w:rsid w:val="00D1470E"/>
    <w:pPr>
      <w:textAlignment w:val="baseline"/>
    </w:pPr>
    <w:rPr>
      <w:kern w:val="2"/>
      <w:sz w:val="24"/>
      <w:szCs w:val="24"/>
      <w:lang w:eastAsia="ar-SA" w:bidi="hi-IN"/>
    </w:rPr>
  </w:style>
  <w:style w:type="paragraph" w:customStyle="1" w:styleId="Gwkaistopka">
    <w:name w:val="Główka i stopka"/>
    <w:basedOn w:val="Normalny"/>
    <w:qFormat/>
    <w:rsid w:val="00ED7997"/>
  </w:style>
  <w:style w:type="paragraph" w:customStyle="1" w:styleId="Header">
    <w:name w:val="Header"/>
    <w:basedOn w:val="Standard"/>
    <w:next w:val="Textbody"/>
    <w:rsid w:val="00D1470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D1470E"/>
    <w:pPr>
      <w:ind w:right="-711"/>
      <w:jc w:val="center"/>
    </w:pPr>
  </w:style>
  <w:style w:type="paragraph" w:styleId="Legenda">
    <w:name w:val="caption"/>
    <w:basedOn w:val="Standard"/>
    <w:qFormat/>
    <w:rsid w:val="00D1470E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Standard"/>
    <w:qFormat/>
    <w:rsid w:val="00D1470E"/>
    <w:pPr>
      <w:suppressLineNumbers/>
    </w:pPr>
  </w:style>
  <w:style w:type="paragraph" w:customStyle="1" w:styleId="Default">
    <w:name w:val="Default"/>
    <w:basedOn w:val="Standard"/>
    <w:qFormat/>
    <w:rsid w:val="00D1470E"/>
    <w:rPr>
      <w:rFonts w:ascii="Trebuchet MS" w:hAnsi="Trebuchet MS" w:cs="Trebuchet MS"/>
      <w:color w:val="000000"/>
    </w:rPr>
  </w:style>
  <w:style w:type="paragraph" w:customStyle="1" w:styleId="Nagwektabeli">
    <w:name w:val="Nagłówek tabeli"/>
    <w:basedOn w:val="Zawartotabeli"/>
    <w:qFormat/>
    <w:rsid w:val="00D1470E"/>
    <w:pPr>
      <w:jc w:val="center"/>
    </w:pPr>
    <w:rPr>
      <w:b/>
      <w:bCs/>
    </w:rPr>
  </w:style>
  <w:style w:type="paragraph" w:styleId="Tekstdymka">
    <w:name w:val="Balloon Text"/>
    <w:basedOn w:val="Standard"/>
    <w:qFormat/>
    <w:rsid w:val="00D1470E"/>
    <w:rPr>
      <w:rFonts w:ascii="Tahoma" w:hAnsi="Tahoma"/>
      <w:sz w:val="16"/>
      <w:szCs w:val="16"/>
    </w:rPr>
  </w:style>
  <w:style w:type="paragraph" w:customStyle="1" w:styleId="EndnoteText">
    <w:name w:val="Endnote Text"/>
    <w:basedOn w:val="Standard"/>
    <w:rsid w:val="00D1470E"/>
    <w:rPr>
      <w:sz w:val="20"/>
      <w:szCs w:val="20"/>
    </w:rPr>
  </w:style>
  <w:style w:type="paragraph" w:customStyle="1" w:styleId="Footer">
    <w:name w:val="Footer"/>
    <w:basedOn w:val="Standard"/>
    <w:rsid w:val="00D1470E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C59F4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C59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1072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nzz.blaszczykp</cp:lastModifiedBy>
  <cp:revision>24</cp:revision>
  <cp:lastPrinted>2024-01-03T09:06:00Z</cp:lastPrinted>
  <dcterms:created xsi:type="dcterms:W3CDTF">2023-12-11T11:14:00Z</dcterms:created>
  <dcterms:modified xsi:type="dcterms:W3CDTF">2024-01-03T09:18:00Z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