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A" w:rsidRPr="006D1793" w:rsidRDefault="00453D8A" w:rsidP="006D1793">
      <w:pPr>
        <w:rPr>
          <w:rFonts w:ascii="Calibri" w:hAnsi="Calibri" w:cs="Calibri"/>
          <w:b/>
          <w:spacing w:val="30"/>
        </w:rPr>
      </w:pPr>
    </w:p>
    <w:p w:rsidR="00453D8A" w:rsidRPr="006D1793" w:rsidRDefault="00453D8A" w:rsidP="006D1793">
      <w:pPr>
        <w:rPr>
          <w:rFonts w:ascii="Calibri" w:hAnsi="Calibri" w:cs="Calibri"/>
          <w:b/>
          <w:spacing w:val="30"/>
        </w:rPr>
      </w:pPr>
    </w:p>
    <w:p w:rsidR="00453D8A" w:rsidRPr="006D1793" w:rsidRDefault="00453D8A" w:rsidP="006D1793">
      <w:pPr>
        <w:rPr>
          <w:rFonts w:ascii="Calibri" w:hAnsi="Calibri" w:cs="Calibri"/>
          <w:b/>
          <w:spacing w:val="30"/>
        </w:rPr>
      </w:pPr>
      <w:r w:rsidRPr="006D1793">
        <w:rPr>
          <w:rFonts w:ascii="Calibri" w:hAnsi="Calibri" w:cs="Calibri"/>
          <w:b/>
          <w:spacing w:val="30"/>
        </w:rPr>
        <w:t>INFORMACJA O WYBORZE OFERTY</w:t>
      </w:r>
    </w:p>
    <w:p w:rsidR="00453D8A" w:rsidRPr="006D1793" w:rsidRDefault="00453D8A" w:rsidP="006D1793">
      <w:pPr>
        <w:rPr>
          <w:rFonts w:ascii="Calibri" w:hAnsi="Calibri" w:cs="Calibri"/>
          <w:b/>
          <w:spacing w:val="30"/>
        </w:rPr>
      </w:pPr>
    </w:p>
    <w:p w:rsidR="00483C24" w:rsidRPr="006D1793" w:rsidRDefault="00483C24" w:rsidP="006D1793">
      <w:pPr>
        <w:spacing w:after="200"/>
        <w:rPr>
          <w:rFonts w:ascii="Calibri" w:hAnsi="Calibri" w:cs="Calibri"/>
          <w:b/>
          <w:bCs/>
          <w:iCs/>
          <w:spacing w:val="30"/>
        </w:rPr>
      </w:pPr>
      <w:r w:rsidRPr="006D1793">
        <w:rPr>
          <w:rFonts w:ascii="Calibri" w:eastAsiaTheme="minorHAnsi" w:hAnsi="Calibri" w:cs="Calibri"/>
          <w:b/>
          <w:spacing w:val="30"/>
          <w:kern w:val="2"/>
          <w:lang w:eastAsia="en-US"/>
        </w:rPr>
        <w:t>Dotyczy</w:t>
      </w:r>
      <w:r w:rsidRPr="006D1793">
        <w:rPr>
          <w:rFonts w:ascii="Calibri" w:eastAsiaTheme="minorHAnsi" w:hAnsi="Calibri" w:cs="Calibri"/>
          <w:spacing w:val="30"/>
          <w:kern w:val="2"/>
          <w:lang w:eastAsia="en-US"/>
        </w:rPr>
        <w:t xml:space="preserve"> : postępowania o udzielenie zamówienia publicznego prowadzonego </w:t>
      </w:r>
      <w:r w:rsidRPr="006D1793">
        <w:rPr>
          <w:rFonts w:ascii="Calibri" w:eastAsia="Calibri" w:hAnsi="Calibri" w:cs="Calibri"/>
          <w:spacing w:val="30"/>
          <w:lang w:eastAsia="en-US"/>
        </w:rPr>
        <w:t>w trybie</w:t>
      </w:r>
      <w:r w:rsidRPr="006D1793">
        <w:rPr>
          <w:rFonts w:ascii="Calibri" w:hAnsi="Calibri" w:cs="Calibri"/>
          <w:spacing w:val="30"/>
          <w:lang w:eastAsia="en-US"/>
        </w:rPr>
        <w:t xml:space="preserve"> podstawowym bez negocjacji na podstawie art. 275 pkt. 1 ustawy z dnia 11 września 2019 r. Prawo zamówień publicznych </w:t>
      </w:r>
      <w:r w:rsidRPr="006D1793">
        <w:rPr>
          <w:rFonts w:ascii="Calibri" w:eastAsia="Calibri" w:hAnsi="Calibri" w:cs="Calibri"/>
          <w:spacing w:val="30"/>
          <w:lang w:eastAsia="en-US"/>
        </w:rPr>
        <w:t>(</w:t>
      </w:r>
      <w:proofErr w:type="spellStart"/>
      <w:r w:rsidRPr="006D1793">
        <w:rPr>
          <w:rFonts w:ascii="Calibri" w:eastAsia="Calibri" w:hAnsi="Calibri" w:cs="Calibri"/>
          <w:spacing w:val="30"/>
          <w:lang w:eastAsia="en-US"/>
        </w:rPr>
        <w:t>t.j</w:t>
      </w:r>
      <w:proofErr w:type="spellEnd"/>
      <w:r w:rsidRPr="006D1793">
        <w:rPr>
          <w:rFonts w:ascii="Calibri" w:eastAsia="Calibri" w:hAnsi="Calibri" w:cs="Calibri"/>
          <w:spacing w:val="30"/>
          <w:lang w:eastAsia="en-US"/>
        </w:rPr>
        <w:t xml:space="preserve">. Dz. U. 2023 r. poz.1605) zwanej dalej </w:t>
      </w:r>
      <w:proofErr w:type="spellStart"/>
      <w:r w:rsidRPr="006D1793">
        <w:rPr>
          <w:rFonts w:ascii="Calibri" w:eastAsia="Calibri" w:hAnsi="Calibri" w:cs="Calibri"/>
          <w:spacing w:val="30"/>
          <w:lang w:eastAsia="en-US"/>
        </w:rPr>
        <w:t>upzp</w:t>
      </w:r>
      <w:proofErr w:type="spellEnd"/>
      <w:r w:rsidRPr="006D1793">
        <w:rPr>
          <w:rFonts w:ascii="Calibri" w:eastAsia="Calibri" w:hAnsi="Calibri" w:cs="Calibri"/>
          <w:spacing w:val="30"/>
          <w:lang w:eastAsia="en-US"/>
        </w:rPr>
        <w:t>,</w:t>
      </w:r>
      <w:r w:rsidRPr="006D1793">
        <w:rPr>
          <w:rFonts w:ascii="Calibri" w:eastAsiaTheme="minorHAnsi" w:hAnsi="Calibri" w:cs="Calibri"/>
          <w:spacing w:val="30"/>
          <w:kern w:val="2"/>
          <w:lang w:eastAsia="en-US"/>
        </w:rPr>
        <w:t xml:space="preserve"> na zadanie pn</w:t>
      </w:r>
      <w:r w:rsidRPr="006D1793">
        <w:rPr>
          <w:rFonts w:ascii="Calibri" w:eastAsiaTheme="minorHAnsi" w:hAnsi="Calibri" w:cs="Calibri"/>
          <w:spacing w:val="30"/>
          <w:lang w:eastAsia="en-US"/>
        </w:rPr>
        <w:t>.</w:t>
      </w:r>
      <w:r w:rsidRPr="006D1793">
        <w:rPr>
          <w:rFonts w:ascii="Calibri" w:hAnsi="Calibri" w:cs="Calibri"/>
          <w:b/>
          <w:bCs/>
          <w:iCs/>
          <w:spacing w:val="30"/>
          <w:lang w:eastAsia="en-US"/>
        </w:rPr>
        <w:t xml:space="preserve"> </w:t>
      </w:r>
      <w:r w:rsidRPr="006D1793">
        <w:rPr>
          <w:rFonts w:ascii="Calibri" w:hAnsi="Calibri" w:cs="Calibri"/>
          <w:b/>
          <w:bCs/>
          <w:iCs/>
          <w:spacing w:val="30"/>
        </w:rPr>
        <w:t>„Ubezpieczenie majątku i innych interesów Gminy Sandomierz wraz z jednostkami organizacyjnymi w okresie 12 miesięcy tj. od 1 marca 2024r. do 28 lutego 2025.</w:t>
      </w:r>
    </w:p>
    <w:p w:rsidR="00483C24" w:rsidRPr="006D1793" w:rsidRDefault="00483C24" w:rsidP="006D1793">
      <w:pPr>
        <w:ind w:left="993" w:hanging="993"/>
        <w:rPr>
          <w:rFonts w:ascii="Calibri" w:eastAsiaTheme="minorHAnsi" w:hAnsi="Calibri" w:cs="Calibri"/>
          <w:spacing w:val="30"/>
        </w:rPr>
      </w:pPr>
      <w:r w:rsidRPr="006D1793">
        <w:rPr>
          <w:rFonts w:ascii="Calibri" w:eastAsiaTheme="minorHAnsi" w:hAnsi="Calibri" w:cs="Calibri"/>
          <w:b/>
          <w:bCs/>
          <w:caps/>
          <w:spacing w:val="30"/>
        </w:rPr>
        <w:t>Część I:</w:t>
      </w:r>
      <w:r w:rsidRPr="006D1793">
        <w:rPr>
          <w:rFonts w:ascii="Calibri" w:eastAsiaTheme="minorHAnsi" w:hAnsi="Calibri" w:cs="Calibri"/>
          <w:b/>
          <w:bCs/>
          <w:caps/>
          <w:spacing w:val="30"/>
        </w:rPr>
        <w:tab/>
      </w:r>
      <w:r w:rsidRPr="006D1793">
        <w:rPr>
          <w:rFonts w:ascii="Calibri" w:eastAsiaTheme="minorHAnsi" w:hAnsi="Calibri" w:cs="Calibri"/>
          <w:b/>
          <w:bCs/>
          <w:spacing w:val="30"/>
        </w:rPr>
        <w:t xml:space="preserve">Ubezpieczenie majątku, osób i odpowiedzialności cywilnej Gminy Sandomierz </w:t>
      </w:r>
      <w:r w:rsidRPr="006D1793">
        <w:rPr>
          <w:rFonts w:ascii="Calibri" w:eastAsiaTheme="minorHAnsi" w:hAnsi="Calibri" w:cs="Calibri"/>
          <w:b/>
          <w:bCs/>
          <w:spacing w:val="30"/>
        </w:rPr>
        <w:br/>
        <w:t>wraz z jednostkami organizacyjnymi. Zakres ubezpieczenia obejmuje:</w:t>
      </w:r>
    </w:p>
    <w:p w:rsidR="00483C24" w:rsidRPr="006D1793" w:rsidRDefault="00483C24" w:rsidP="006D1793">
      <w:pPr>
        <w:numPr>
          <w:ilvl w:val="0"/>
          <w:numId w:val="1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Ubezpieczenie odpowiedzialności cywilnej z t</w:t>
      </w:r>
      <w:r w:rsidR="006D1793">
        <w:rPr>
          <w:rFonts w:ascii="Calibri" w:hAnsi="Calibri" w:cs="Calibri"/>
          <w:spacing w:val="30"/>
        </w:rPr>
        <w:t xml:space="preserve">ytułu prowadzonej działalności </w:t>
      </w:r>
      <w:r w:rsidRPr="006D1793">
        <w:rPr>
          <w:rFonts w:ascii="Calibri" w:hAnsi="Calibri" w:cs="Calibri"/>
          <w:spacing w:val="30"/>
        </w:rPr>
        <w:t>i posiadanego mienia, w tym z tytułu administrowania drogami.</w:t>
      </w:r>
    </w:p>
    <w:p w:rsidR="00483C24" w:rsidRPr="006D1793" w:rsidRDefault="00483C24" w:rsidP="006D1793">
      <w:pPr>
        <w:numPr>
          <w:ilvl w:val="0"/>
          <w:numId w:val="1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 xml:space="preserve">Ubezpieczenie mienia w systemie wszystkich </w:t>
      </w:r>
      <w:proofErr w:type="spellStart"/>
      <w:r w:rsidRPr="006D1793">
        <w:rPr>
          <w:rFonts w:ascii="Calibri" w:hAnsi="Calibri" w:cs="Calibri"/>
          <w:spacing w:val="30"/>
        </w:rPr>
        <w:t>ryzyk</w:t>
      </w:r>
      <w:proofErr w:type="spellEnd"/>
      <w:r w:rsidRPr="006D1793">
        <w:rPr>
          <w:rFonts w:ascii="Calibri" w:hAnsi="Calibri" w:cs="Calibri"/>
          <w:spacing w:val="30"/>
        </w:rPr>
        <w:t>.</w:t>
      </w:r>
    </w:p>
    <w:p w:rsidR="00483C24" w:rsidRPr="006D1793" w:rsidRDefault="00483C24" w:rsidP="006D1793">
      <w:pPr>
        <w:numPr>
          <w:ilvl w:val="0"/>
          <w:numId w:val="1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 xml:space="preserve">Ubezpieczenie sprzętu elektronicznego w systemie wszystkich </w:t>
      </w:r>
      <w:proofErr w:type="spellStart"/>
      <w:r w:rsidRPr="006D1793">
        <w:rPr>
          <w:rFonts w:ascii="Calibri" w:hAnsi="Calibri" w:cs="Calibri"/>
          <w:spacing w:val="30"/>
        </w:rPr>
        <w:t>ryzyk</w:t>
      </w:r>
      <w:proofErr w:type="spellEnd"/>
      <w:r w:rsidRPr="006D1793">
        <w:rPr>
          <w:rFonts w:ascii="Calibri" w:hAnsi="Calibri" w:cs="Calibri"/>
          <w:spacing w:val="30"/>
        </w:rPr>
        <w:t>.</w:t>
      </w:r>
    </w:p>
    <w:p w:rsidR="00483C24" w:rsidRPr="006D1793" w:rsidRDefault="00483C24" w:rsidP="006D1793">
      <w:pPr>
        <w:numPr>
          <w:ilvl w:val="0"/>
          <w:numId w:val="1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Ubezpieczenie następstw nieszczęśliwych wypadków.</w:t>
      </w:r>
    </w:p>
    <w:p w:rsidR="00483C24" w:rsidRPr="006D1793" w:rsidRDefault="00483C24" w:rsidP="006D1793">
      <w:pPr>
        <w:ind w:left="993" w:hanging="993"/>
        <w:rPr>
          <w:rFonts w:ascii="Calibri" w:eastAsiaTheme="minorHAnsi" w:hAnsi="Calibri" w:cs="Calibri"/>
          <w:spacing w:val="30"/>
        </w:rPr>
      </w:pPr>
      <w:r w:rsidRPr="006D1793">
        <w:rPr>
          <w:rFonts w:ascii="Calibri" w:eastAsiaTheme="minorHAnsi" w:hAnsi="Calibri" w:cs="Calibri"/>
          <w:b/>
          <w:bCs/>
          <w:caps/>
          <w:spacing w:val="30"/>
        </w:rPr>
        <w:t>Część II:</w:t>
      </w:r>
      <w:r w:rsidRPr="006D1793">
        <w:rPr>
          <w:rFonts w:ascii="Calibri" w:eastAsiaTheme="minorHAnsi" w:hAnsi="Calibri" w:cs="Calibri"/>
          <w:b/>
          <w:bCs/>
          <w:caps/>
          <w:spacing w:val="30"/>
        </w:rPr>
        <w:tab/>
      </w:r>
      <w:r w:rsidRPr="006D1793">
        <w:rPr>
          <w:rFonts w:ascii="Calibri" w:eastAsiaTheme="minorHAnsi" w:hAnsi="Calibri" w:cs="Calibri"/>
          <w:b/>
          <w:bCs/>
          <w:spacing w:val="30"/>
        </w:rPr>
        <w:t>Ubezpieczenie pojazdów mechanicznych Gminy Sandomierz i jednostek organizacyjnych. Zakres ubezpieczenia obejmuje:</w:t>
      </w:r>
    </w:p>
    <w:p w:rsidR="00483C24" w:rsidRPr="006D1793" w:rsidRDefault="00483C24" w:rsidP="006D1793">
      <w:pPr>
        <w:widowControl w:val="0"/>
        <w:numPr>
          <w:ilvl w:val="0"/>
          <w:numId w:val="2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Obowiązkowe ubezpieczenie odpowiedzialności cywilnej posiadaczy pojazdów mechanicznych.</w:t>
      </w:r>
    </w:p>
    <w:p w:rsidR="00483C24" w:rsidRPr="006D1793" w:rsidRDefault="00483C24" w:rsidP="006D1793">
      <w:pPr>
        <w:widowControl w:val="0"/>
        <w:numPr>
          <w:ilvl w:val="0"/>
          <w:numId w:val="2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Ubezpieczenie pojazdów od uszkodzenia i utraty auto casco.</w:t>
      </w:r>
    </w:p>
    <w:p w:rsidR="00483C24" w:rsidRPr="006D1793" w:rsidRDefault="00483C24" w:rsidP="006D1793">
      <w:pPr>
        <w:widowControl w:val="0"/>
        <w:numPr>
          <w:ilvl w:val="0"/>
          <w:numId w:val="2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Ubezpieczenie następstw nieszczęśliwych wypadków kierowcy i pasażerów.</w:t>
      </w:r>
    </w:p>
    <w:p w:rsidR="00453D8A" w:rsidRPr="006D1793" w:rsidRDefault="00483C24" w:rsidP="006D1793">
      <w:pPr>
        <w:widowControl w:val="0"/>
        <w:numPr>
          <w:ilvl w:val="0"/>
          <w:numId w:val="2"/>
        </w:numPr>
        <w:spacing w:after="200" w:line="276" w:lineRule="auto"/>
        <w:ind w:left="1276" w:hanging="283"/>
        <w:contextualSpacing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 xml:space="preserve">Ubezpieczenie </w:t>
      </w:r>
      <w:proofErr w:type="spellStart"/>
      <w:r w:rsidRPr="006D1793">
        <w:rPr>
          <w:rFonts w:ascii="Calibri" w:hAnsi="Calibri" w:cs="Calibri"/>
          <w:spacing w:val="30"/>
        </w:rPr>
        <w:t>assistance</w:t>
      </w:r>
      <w:proofErr w:type="spellEnd"/>
      <w:r w:rsidRPr="006D1793">
        <w:rPr>
          <w:rFonts w:ascii="Calibri" w:hAnsi="Calibri" w:cs="Calibri"/>
          <w:spacing w:val="30"/>
        </w:rPr>
        <w:t>”.</w:t>
      </w:r>
    </w:p>
    <w:p w:rsidR="00453D8A" w:rsidRPr="006D1793" w:rsidRDefault="00453D8A" w:rsidP="006D1793">
      <w:pPr>
        <w:ind w:left="1276"/>
        <w:rPr>
          <w:rFonts w:ascii="Calibri" w:hAnsi="Calibri" w:cs="Calibri"/>
          <w:b/>
          <w:spacing w:val="30"/>
        </w:rPr>
      </w:pPr>
    </w:p>
    <w:p w:rsidR="00453D8A" w:rsidRPr="006D1793" w:rsidRDefault="00453D8A" w:rsidP="006D1793">
      <w:pPr>
        <w:ind w:firstLine="708"/>
        <w:rPr>
          <w:rFonts w:ascii="Calibri" w:eastAsia="Andale Sans UI" w:hAnsi="Calibri" w:cs="Calibri"/>
          <w:spacing w:val="30"/>
          <w:kern w:val="2"/>
          <w:lang w:eastAsia="zh-CN"/>
        </w:rPr>
      </w:pPr>
      <w:r w:rsidRPr="006D1793">
        <w:rPr>
          <w:rFonts w:ascii="Calibri" w:hAnsi="Calibri" w:cs="Calibri"/>
          <w:spacing w:val="30"/>
        </w:rPr>
        <w:t xml:space="preserve">Zamawiający - Gmina Sandomierz działając na podstawie art. 253 ust. 2 </w:t>
      </w:r>
      <w:proofErr w:type="spellStart"/>
      <w:r w:rsidRPr="006D1793">
        <w:rPr>
          <w:rFonts w:ascii="Calibri" w:hAnsi="Calibri" w:cs="Calibri"/>
          <w:spacing w:val="30"/>
        </w:rPr>
        <w:t>upzp</w:t>
      </w:r>
      <w:proofErr w:type="spellEnd"/>
      <w:r w:rsidRPr="006D1793">
        <w:rPr>
          <w:rFonts w:ascii="Calibri" w:hAnsi="Calibri" w:cs="Calibri"/>
          <w:spacing w:val="30"/>
        </w:rPr>
        <w:t xml:space="preserve"> informuje, iż w postępowaniu jw. </w:t>
      </w:r>
      <w:r w:rsidRPr="006D1793">
        <w:rPr>
          <w:rFonts w:ascii="Calibri" w:eastAsia="Andale Sans UI" w:hAnsi="Calibri" w:cs="Calibri"/>
          <w:b/>
          <w:spacing w:val="30"/>
          <w:kern w:val="2"/>
          <w:lang w:eastAsia="zh-CN"/>
        </w:rPr>
        <w:t>dla części I – „</w:t>
      </w:r>
      <w:r w:rsidRPr="006D1793">
        <w:rPr>
          <w:rFonts w:ascii="Calibri" w:hAnsi="Calibri" w:cs="Calibri"/>
          <w:b/>
          <w:bCs/>
          <w:spacing w:val="30"/>
        </w:rPr>
        <w:t>Ubezpieczenie majątku, osób i odpowiedzialności cywilnej Gminy Sandomierz wraz z jednostkami organizacyjnymi”</w:t>
      </w:r>
      <w:r w:rsidRPr="006D1793">
        <w:rPr>
          <w:rFonts w:ascii="Calibri" w:eastAsia="Andale Sans UI" w:hAnsi="Calibri" w:cs="Calibri"/>
          <w:b/>
          <w:spacing w:val="30"/>
          <w:kern w:val="2"/>
          <w:lang w:eastAsia="zh-CN"/>
        </w:rPr>
        <w:t xml:space="preserve"> </w:t>
      </w:r>
      <w:r w:rsidRPr="006D1793">
        <w:rPr>
          <w:rFonts w:ascii="Calibri" w:eastAsia="Andale Sans UI" w:hAnsi="Calibri" w:cs="Calibri"/>
          <w:spacing w:val="30"/>
          <w:kern w:val="2"/>
          <w:lang w:eastAsia="zh-CN"/>
        </w:rPr>
        <w:t>wybrał ofertę złożoną przez:</w:t>
      </w:r>
      <w:r w:rsidR="00483C24" w:rsidRPr="006D1793">
        <w:rPr>
          <w:rFonts w:ascii="Calibri" w:eastAsia="Andale Sans UI" w:hAnsi="Calibri" w:cs="Calibri"/>
          <w:spacing w:val="30"/>
          <w:kern w:val="2"/>
          <w:lang w:eastAsia="zh-CN"/>
        </w:rPr>
        <w:t xml:space="preserve"> </w:t>
      </w:r>
      <w:proofErr w:type="spellStart"/>
      <w:r w:rsidRPr="006D1793">
        <w:rPr>
          <w:rFonts w:ascii="Calibri" w:eastAsia="Andale Sans UI" w:hAnsi="Calibri" w:cs="Calibri"/>
          <w:spacing w:val="30"/>
          <w:kern w:val="2"/>
          <w:lang w:eastAsia="zh-CN"/>
        </w:rPr>
        <w:t>Pool</w:t>
      </w:r>
      <w:proofErr w:type="spellEnd"/>
      <w:r w:rsidRPr="006D1793">
        <w:rPr>
          <w:rFonts w:ascii="Calibri" w:eastAsia="Andale Sans UI" w:hAnsi="Calibri" w:cs="Calibri"/>
          <w:spacing w:val="30"/>
          <w:kern w:val="2"/>
          <w:lang w:eastAsia="zh-CN"/>
        </w:rPr>
        <w:t xml:space="preserve"> </w:t>
      </w:r>
      <w:proofErr w:type="spellStart"/>
      <w:r w:rsidRPr="006D1793">
        <w:rPr>
          <w:rFonts w:ascii="Calibri" w:eastAsia="Andale Sans UI" w:hAnsi="Calibri" w:cs="Calibri"/>
          <w:spacing w:val="30"/>
          <w:kern w:val="2"/>
          <w:lang w:eastAsia="zh-CN"/>
        </w:rPr>
        <w:t>koasekuracyjny</w:t>
      </w:r>
      <w:proofErr w:type="spellEnd"/>
      <w:r w:rsidR="00483C24" w:rsidRPr="006D1793">
        <w:rPr>
          <w:rFonts w:ascii="Calibri" w:eastAsia="Andale Sans UI" w:hAnsi="Calibri" w:cs="Calibri"/>
          <w:spacing w:val="30"/>
          <w:kern w:val="2"/>
          <w:lang w:eastAsia="zh-CN"/>
        </w:rPr>
        <w:t xml:space="preserve">: </w:t>
      </w:r>
      <w:r w:rsidRPr="006D1793">
        <w:rPr>
          <w:rFonts w:ascii="Calibri" w:eastAsia="Andale Sans UI" w:hAnsi="Calibri" w:cs="Calibri"/>
          <w:spacing w:val="30"/>
          <w:kern w:val="2"/>
          <w:lang w:eastAsia="zh-CN"/>
        </w:rPr>
        <w:t xml:space="preserve"> </w:t>
      </w:r>
      <w:proofErr w:type="spellStart"/>
      <w:r w:rsidRPr="006D1793">
        <w:rPr>
          <w:rFonts w:ascii="Calibri" w:hAnsi="Calibri" w:cs="Calibri"/>
          <w:spacing w:val="30"/>
        </w:rPr>
        <w:t>Koasekurator</w:t>
      </w:r>
      <w:proofErr w:type="spellEnd"/>
      <w:r w:rsidRPr="006D1793">
        <w:rPr>
          <w:rFonts w:ascii="Calibri" w:hAnsi="Calibri" w:cs="Calibri"/>
          <w:spacing w:val="30"/>
        </w:rPr>
        <w:t xml:space="preserve"> wiodący - </w:t>
      </w:r>
      <w:r w:rsidRPr="006D1793">
        <w:rPr>
          <w:rFonts w:ascii="Calibri" w:eastAsiaTheme="minorHAnsi" w:hAnsi="Calibri" w:cs="Calibri"/>
          <w:spacing w:val="30"/>
          <w:lang w:eastAsia="en-US"/>
        </w:rPr>
        <w:t xml:space="preserve"> Generali TU S.A. ,ul. Senatorska 18,00-082 Warszawa;  </w:t>
      </w:r>
      <w:proofErr w:type="spellStart"/>
      <w:r w:rsidRPr="006D1793">
        <w:rPr>
          <w:rFonts w:ascii="Calibri" w:hAnsi="Calibri" w:cs="Calibri"/>
          <w:spacing w:val="30"/>
        </w:rPr>
        <w:t>Koasekurator</w:t>
      </w:r>
      <w:proofErr w:type="spellEnd"/>
      <w:r w:rsidRPr="006D1793">
        <w:rPr>
          <w:rFonts w:ascii="Calibri" w:hAnsi="Calibri" w:cs="Calibri"/>
          <w:spacing w:val="30"/>
        </w:rPr>
        <w:t xml:space="preserve"> - </w:t>
      </w:r>
      <w:r w:rsidRPr="006D1793">
        <w:rPr>
          <w:rFonts w:ascii="Calibri" w:eastAsiaTheme="minorHAnsi" w:hAnsi="Calibri" w:cs="Calibri"/>
          <w:spacing w:val="30"/>
          <w:lang w:eastAsia="en-US"/>
        </w:rPr>
        <w:t xml:space="preserve">Wiener TU S.A. </w:t>
      </w:r>
      <w:proofErr w:type="spellStart"/>
      <w:r w:rsidRPr="006D1793">
        <w:rPr>
          <w:rFonts w:ascii="Calibri" w:eastAsiaTheme="minorHAnsi" w:hAnsi="Calibri" w:cs="Calibri"/>
          <w:spacing w:val="30"/>
          <w:lang w:eastAsia="en-US"/>
        </w:rPr>
        <w:t>Vienna</w:t>
      </w:r>
      <w:proofErr w:type="spellEnd"/>
      <w:r w:rsidRPr="006D1793">
        <w:rPr>
          <w:rFonts w:ascii="Calibri" w:eastAsiaTheme="minorHAnsi" w:hAnsi="Calibri" w:cs="Calibri"/>
          <w:spacing w:val="30"/>
          <w:lang w:eastAsia="en-US"/>
        </w:rPr>
        <w:t xml:space="preserve"> </w:t>
      </w:r>
      <w:proofErr w:type="spellStart"/>
      <w:r w:rsidRPr="006D1793">
        <w:rPr>
          <w:rFonts w:ascii="Calibri" w:eastAsiaTheme="minorHAnsi" w:hAnsi="Calibri" w:cs="Calibri"/>
          <w:spacing w:val="30"/>
          <w:lang w:eastAsia="en-US"/>
        </w:rPr>
        <w:t>Insurance</w:t>
      </w:r>
      <w:proofErr w:type="spellEnd"/>
      <w:r w:rsidRPr="006D1793">
        <w:rPr>
          <w:rFonts w:ascii="Calibri" w:eastAsiaTheme="minorHAnsi" w:hAnsi="Calibri" w:cs="Calibri"/>
          <w:spacing w:val="30"/>
          <w:lang w:eastAsia="en-US"/>
        </w:rPr>
        <w:t xml:space="preserve"> </w:t>
      </w:r>
      <w:proofErr w:type="spellStart"/>
      <w:r w:rsidRPr="006D1793">
        <w:rPr>
          <w:rFonts w:ascii="Calibri" w:eastAsiaTheme="minorHAnsi" w:hAnsi="Calibri" w:cs="Calibri"/>
          <w:spacing w:val="30"/>
          <w:lang w:eastAsia="en-US"/>
        </w:rPr>
        <w:t>Group</w:t>
      </w:r>
      <w:proofErr w:type="spellEnd"/>
      <w:r w:rsidRPr="006D1793">
        <w:rPr>
          <w:rFonts w:ascii="Calibri" w:eastAsiaTheme="minorHAnsi" w:hAnsi="Calibri" w:cs="Calibri"/>
          <w:spacing w:val="30"/>
          <w:lang w:eastAsia="en-US"/>
        </w:rPr>
        <w:t xml:space="preserve"> ul. Wołoska 22A, 02-675 Warszawa.</w:t>
      </w:r>
    </w:p>
    <w:p w:rsidR="00453D8A" w:rsidRPr="006D1793" w:rsidRDefault="00453D8A" w:rsidP="006D1793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 xml:space="preserve">Oferta spełnia wszystkie wymogi SWZ, jest zgodna z przepisami - ustawy Prawo zamówień publicznych, nie podlega odrzuceniu oraz uzyskała poniższą liczbę punktów na </w:t>
      </w:r>
      <w:r w:rsidR="00D0612E" w:rsidRPr="006D1793">
        <w:rPr>
          <w:rFonts w:ascii="Calibri" w:hAnsi="Calibri" w:cs="Calibri"/>
          <w:spacing w:val="30"/>
        </w:rPr>
        <w:t xml:space="preserve">podstawie kryteriów oceny ofert </w:t>
      </w:r>
      <w:r w:rsidRPr="006D1793">
        <w:rPr>
          <w:rFonts w:ascii="Calibri" w:hAnsi="Calibri" w:cs="Calibri"/>
          <w:spacing w:val="30"/>
        </w:rPr>
        <w:t xml:space="preserve">zastosowanych w tym postępowaniu: </w:t>
      </w:r>
    </w:p>
    <w:p w:rsidR="00453D8A" w:rsidRPr="006D1793" w:rsidRDefault="00453D8A" w:rsidP="006D17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cena za zamówienie podstawowe oraz opcja (waga kryterium 60%),</w:t>
      </w:r>
    </w:p>
    <w:p w:rsidR="00453D8A" w:rsidRPr="006D1793" w:rsidRDefault="00453D8A" w:rsidP="006D17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lastRenderedPageBreak/>
        <w:t>warunki ubezpieczenia: klauzule i postanowienia fakultatywne  (waga kryterium 40%).</w:t>
      </w:r>
    </w:p>
    <w:p w:rsidR="00453D8A" w:rsidRPr="006D1793" w:rsidRDefault="00453D8A" w:rsidP="006D1793">
      <w:pPr>
        <w:rPr>
          <w:rFonts w:ascii="Calibri" w:eastAsia="Calibri" w:hAnsi="Calibri" w:cs="Calibri"/>
          <w:spacing w:val="30"/>
          <w:lang w:eastAsia="en-US"/>
        </w:rPr>
      </w:pPr>
    </w:p>
    <w:p w:rsidR="00453D8A" w:rsidRPr="006D1793" w:rsidRDefault="00453D8A" w:rsidP="006D1793">
      <w:pPr>
        <w:ind w:firstLine="360"/>
        <w:rPr>
          <w:rFonts w:ascii="Calibri" w:eastAsia="Calibri" w:hAnsi="Calibri" w:cs="Calibri"/>
          <w:spacing w:val="30"/>
          <w:lang w:eastAsia="en-US"/>
        </w:rPr>
      </w:pPr>
      <w:r w:rsidRPr="006D1793">
        <w:rPr>
          <w:rFonts w:ascii="Calibri" w:eastAsia="Calibri" w:hAnsi="Calibri" w:cs="Calibri"/>
          <w:spacing w:val="30"/>
          <w:lang w:eastAsia="en-US"/>
        </w:rPr>
        <w:t>W postępowaniu na część I</w:t>
      </w:r>
      <w:r w:rsidRPr="006D1793">
        <w:rPr>
          <w:rFonts w:ascii="Calibri" w:eastAsia="Calibri" w:hAnsi="Calibri" w:cs="Calibri"/>
          <w:b/>
          <w:spacing w:val="30"/>
          <w:lang w:eastAsia="en-US"/>
        </w:rPr>
        <w:t xml:space="preserve"> - </w:t>
      </w:r>
      <w:r w:rsidRPr="006D1793">
        <w:rPr>
          <w:rFonts w:ascii="Calibri" w:eastAsia="Andale Sans UI" w:hAnsi="Calibri" w:cs="Calibri"/>
          <w:b/>
          <w:spacing w:val="30"/>
          <w:kern w:val="2"/>
          <w:lang w:eastAsia="zh-CN"/>
        </w:rPr>
        <w:t>„</w:t>
      </w:r>
      <w:r w:rsidRPr="006D1793">
        <w:rPr>
          <w:rFonts w:ascii="Calibri" w:hAnsi="Calibri" w:cs="Calibri"/>
          <w:b/>
          <w:bCs/>
          <w:spacing w:val="30"/>
        </w:rPr>
        <w:t>Ubezpieczenie majątku, osób i odpowiedzialności cywilnej Gminy Sandomierz wraz z jednostkami organizacyjnymi”</w:t>
      </w:r>
      <w:r w:rsidRPr="006D1793">
        <w:rPr>
          <w:rFonts w:ascii="Calibri" w:eastAsia="Andale Sans UI" w:hAnsi="Calibri" w:cs="Calibri"/>
          <w:b/>
          <w:spacing w:val="30"/>
          <w:kern w:val="2"/>
          <w:lang w:eastAsia="zh-CN"/>
        </w:rPr>
        <w:t xml:space="preserve">  </w:t>
      </w:r>
      <w:r w:rsidRPr="006D1793">
        <w:rPr>
          <w:rFonts w:ascii="Calibri" w:eastAsia="Calibri" w:hAnsi="Calibri" w:cs="Calibri"/>
          <w:b/>
          <w:spacing w:val="30"/>
          <w:lang w:eastAsia="en-US"/>
        </w:rPr>
        <w:t xml:space="preserve"> </w:t>
      </w:r>
      <w:r w:rsidRPr="006D1793">
        <w:rPr>
          <w:rFonts w:ascii="Calibri" w:eastAsia="Calibri" w:hAnsi="Calibri" w:cs="Calibri"/>
          <w:spacing w:val="30"/>
          <w:lang w:eastAsia="en-US"/>
        </w:rPr>
        <w:t>wpłynęła 1 oferta</w:t>
      </w:r>
      <w:r w:rsidRPr="006D1793">
        <w:rPr>
          <w:rFonts w:ascii="Calibri" w:eastAsia="Calibri" w:hAnsi="Calibri" w:cs="Calibri"/>
          <w:b/>
          <w:spacing w:val="30"/>
          <w:lang w:eastAsia="en-US"/>
        </w:rPr>
        <w:t xml:space="preserve">. </w:t>
      </w:r>
      <w:r w:rsidRPr="006D1793">
        <w:rPr>
          <w:rFonts w:ascii="Calibri" w:eastAsia="Calibri" w:hAnsi="Calibri" w:cs="Calibri"/>
          <w:b/>
          <w:spacing w:val="30"/>
          <w:lang w:eastAsia="en-US"/>
        </w:rPr>
        <w:br/>
      </w:r>
    </w:p>
    <w:p w:rsidR="00453D8A" w:rsidRPr="006D1793" w:rsidRDefault="00453D8A" w:rsidP="006D1793">
      <w:pPr>
        <w:rPr>
          <w:rFonts w:ascii="Calibri" w:eastAsia="Calibri" w:hAnsi="Calibri" w:cs="Calibri"/>
          <w:spacing w:val="30"/>
          <w:lang w:eastAsia="en-US"/>
        </w:rPr>
      </w:pPr>
      <w:r w:rsidRPr="006D1793">
        <w:rPr>
          <w:rFonts w:ascii="Calibri" w:eastAsia="Calibri" w:hAnsi="Calibri" w:cs="Calibri"/>
          <w:spacing w:val="30"/>
          <w:lang w:eastAsia="en-US"/>
        </w:rPr>
        <w:t xml:space="preserve">Punktacja wg. poniższej tabeli. </w:t>
      </w:r>
    </w:p>
    <w:p w:rsidR="00453D8A" w:rsidRPr="006D1793" w:rsidRDefault="00453D8A" w:rsidP="006D1793">
      <w:pPr>
        <w:rPr>
          <w:rFonts w:ascii="Calibri" w:eastAsia="Calibri" w:hAnsi="Calibri" w:cs="Calibri"/>
          <w:b/>
          <w:spacing w:val="30"/>
          <w:lang w:eastAsia="en-US"/>
        </w:rPr>
      </w:pPr>
    </w:p>
    <w:tbl>
      <w:tblPr>
        <w:tblStyle w:val="Tabela-Siatka"/>
        <w:tblW w:w="9677" w:type="dxa"/>
        <w:jc w:val="center"/>
        <w:tblInd w:w="-455" w:type="dxa"/>
        <w:tblLayout w:type="fixed"/>
        <w:tblLook w:val="04A0" w:firstRow="1" w:lastRow="0" w:firstColumn="1" w:lastColumn="0" w:noHBand="0" w:noVBand="1"/>
      </w:tblPr>
      <w:tblGrid>
        <w:gridCol w:w="1097"/>
        <w:gridCol w:w="2910"/>
        <w:gridCol w:w="1843"/>
        <w:gridCol w:w="2268"/>
        <w:gridCol w:w="1559"/>
      </w:tblGrid>
      <w:tr w:rsidR="00453D8A" w:rsidRPr="006D1793" w:rsidTr="006D1793">
        <w:trPr>
          <w:tblHeader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bookmarkStart w:id="0" w:name="_Hlk80169340"/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Kryterium: cena za zamówienie podstawowe oraz opcja</w:t>
            </w:r>
          </w:p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(60%)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Kryterium:</w:t>
            </w:r>
          </w:p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Warunki ubezpieczenia: klauzule </w:t>
            </w:r>
          </w:p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i postanowienia fakultatywne  (40%)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Punktacja ogółem</w:t>
            </w:r>
          </w:p>
        </w:tc>
      </w:tr>
      <w:tr w:rsidR="00453D8A" w:rsidRPr="006D1793" w:rsidTr="006D1793">
        <w:trPr>
          <w:trHeight w:val="69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8A" w:rsidRPr="006D1793" w:rsidRDefault="00483C24" w:rsidP="006D17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  <w:t>4</w:t>
            </w:r>
            <w:r w:rsidR="00453D8A" w:rsidRPr="006D1793"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  <w:t xml:space="preserve">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A" w:rsidRPr="006D1793" w:rsidRDefault="00453D8A" w:rsidP="006D1793">
            <w:pPr>
              <w:rPr>
                <w:rFonts w:ascii="Calibri" w:hAnsi="Calibri" w:cs="Calibri"/>
                <w:b/>
                <w:spacing w:val="30"/>
                <w:lang w:eastAsia="en-US"/>
              </w:rPr>
            </w:pPr>
            <w:proofErr w:type="spellStart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>Pool</w:t>
            </w:r>
            <w:proofErr w:type="spellEnd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 xml:space="preserve"> </w:t>
            </w:r>
            <w:proofErr w:type="spellStart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>koasekuracyjny</w:t>
            </w:r>
            <w:proofErr w:type="spellEnd"/>
          </w:p>
          <w:p w:rsidR="00453D8A" w:rsidRPr="006D1793" w:rsidRDefault="00453D8A" w:rsidP="006D1793">
            <w:pPr>
              <w:rPr>
                <w:rFonts w:ascii="Calibri" w:hAnsi="Calibri" w:cs="Calibri"/>
                <w:spacing w:val="30"/>
                <w:lang w:eastAsia="en-US"/>
              </w:rPr>
            </w:pPr>
            <w:proofErr w:type="spellStart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>Koasekurator</w:t>
            </w:r>
            <w:proofErr w:type="spellEnd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 xml:space="preserve"> wiodący</w:t>
            </w:r>
            <w:r w:rsidRPr="006D1793">
              <w:rPr>
                <w:rFonts w:ascii="Calibri" w:hAnsi="Calibri" w:cs="Calibri"/>
                <w:spacing w:val="30"/>
                <w:lang w:eastAsia="en-US"/>
              </w:rPr>
              <w:t xml:space="preserve">: </w:t>
            </w: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Generali TU S.A.,</w:t>
            </w:r>
            <w:r w:rsidR="0073460A" w:rsidRPr="006D1793">
              <w:rPr>
                <w:rFonts w:ascii="Calibri" w:eastAsiaTheme="minorHAnsi" w:hAnsi="Calibri" w:cs="Calibri"/>
                <w:spacing w:val="30"/>
                <w:lang w:eastAsia="en-US"/>
              </w:rPr>
              <w:br/>
            </w: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ul. Senatorska 18,</w:t>
            </w: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br/>
              <w:t xml:space="preserve">00-082 Warszawa </w:t>
            </w: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br/>
            </w:r>
            <w:proofErr w:type="spellStart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>Koasekurator</w:t>
            </w:r>
            <w:proofErr w:type="spellEnd"/>
            <w:r w:rsidRPr="006D1793">
              <w:rPr>
                <w:rFonts w:ascii="Calibri" w:hAnsi="Calibri" w:cs="Calibri"/>
                <w:b/>
                <w:spacing w:val="30"/>
                <w:lang w:eastAsia="en-US"/>
              </w:rPr>
              <w:t>:</w:t>
            </w:r>
          </w:p>
          <w:p w:rsidR="00453D8A" w:rsidRPr="006D1793" w:rsidRDefault="00453D8A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Wiener TU S.A. </w:t>
            </w:r>
            <w:proofErr w:type="spellStart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Vienna</w:t>
            </w:r>
            <w:proofErr w:type="spellEnd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 </w:t>
            </w:r>
            <w:proofErr w:type="spellStart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Insurance</w:t>
            </w:r>
            <w:proofErr w:type="spellEnd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 </w:t>
            </w:r>
            <w:proofErr w:type="spellStart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Group</w:t>
            </w:r>
            <w:proofErr w:type="spellEnd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 ul. Wołoska 22A, 02-675 Warszawa;</w:t>
            </w:r>
          </w:p>
          <w:p w:rsidR="00453D8A" w:rsidRPr="006D1793" w:rsidRDefault="00453D8A" w:rsidP="006D1793">
            <w:pPr>
              <w:rPr>
                <w:rFonts w:ascii="Calibri" w:hAnsi="Calibri" w:cs="Calibri"/>
                <w:spacing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="Andale Sans UI" w:hAnsi="Calibri" w:cs="Calibri"/>
                <w:b/>
                <w:bCs/>
                <w:spacing w:val="30"/>
                <w:kern w:val="2"/>
                <w:lang w:eastAsia="zh-CN"/>
              </w:rPr>
            </w:pPr>
            <w:r w:rsidRPr="006D1793">
              <w:rPr>
                <w:rFonts w:ascii="Calibri" w:eastAsia="Andale Sans UI" w:hAnsi="Calibri" w:cs="Calibri"/>
                <w:b/>
                <w:bCs/>
                <w:spacing w:val="30"/>
                <w:kern w:val="2"/>
                <w:lang w:eastAsia="zh-CN"/>
              </w:rPr>
              <w:t xml:space="preserve">60, 00 </w:t>
            </w:r>
            <w:r w:rsidR="00453D8A" w:rsidRPr="006D1793">
              <w:rPr>
                <w:rFonts w:ascii="Calibri" w:eastAsia="Andale Sans UI" w:hAnsi="Calibri" w:cs="Calibri"/>
                <w:b/>
                <w:bCs/>
                <w:spacing w:val="30"/>
                <w:kern w:val="2"/>
                <w:lang w:eastAsia="zh-CN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13,33 </w:t>
            </w:r>
            <w:r w:rsidR="00453D8A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54451E" w:rsidP="006D17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  <w:t>73</w:t>
            </w:r>
            <w:r w:rsidR="0073460A" w:rsidRPr="006D1793"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  <w:t xml:space="preserve">,33 </w:t>
            </w:r>
            <w:r w:rsidR="00453D8A" w:rsidRPr="006D1793">
              <w:rPr>
                <w:rFonts w:ascii="Calibri" w:eastAsia="Calibr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</w:tr>
      <w:bookmarkEnd w:id="0"/>
    </w:tbl>
    <w:p w:rsidR="00453D8A" w:rsidRPr="006D1793" w:rsidRDefault="00453D8A" w:rsidP="006D1793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:rsidR="00453D8A" w:rsidRPr="006D1793" w:rsidRDefault="00483C24" w:rsidP="006D1793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  <w:r w:rsidRPr="006D1793">
        <w:rPr>
          <w:rFonts w:ascii="Calibri" w:eastAsiaTheme="minorHAnsi" w:hAnsi="Calibri" w:cs="Calibri"/>
          <w:spacing w:val="30"/>
          <w:lang w:eastAsia="en-US"/>
        </w:rPr>
        <w:t xml:space="preserve">Umowa dot. niniejszego postępowania na </w:t>
      </w:r>
      <w:r w:rsidRPr="006D1793">
        <w:rPr>
          <w:rFonts w:ascii="Calibri" w:eastAsiaTheme="minorHAnsi" w:hAnsi="Calibri" w:cs="Calibri"/>
          <w:b/>
          <w:spacing w:val="30"/>
          <w:lang w:eastAsia="en-US"/>
        </w:rPr>
        <w:t>część  I</w:t>
      </w:r>
      <w:r w:rsidRPr="006D1793">
        <w:rPr>
          <w:rFonts w:ascii="Calibri" w:eastAsiaTheme="minorHAnsi" w:hAnsi="Calibri" w:cs="Calibri"/>
          <w:spacing w:val="30"/>
          <w:lang w:eastAsia="en-US"/>
        </w:rPr>
        <w:t xml:space="preserve"> zostanie zawarta po  przesłaniu Wykonawcy drogą elektroniczną zawiadomienia o wyborze najkorzystniejszej oferty. </w:t>
      </w:r>
    </w:p>
    <w:p w:rsidR="00453D8A" w:rsidRPr="006D1793" w:rsidRDefault="00453D8A" w:rsidP="006D1793">
      <w:pPr>
        <w:ind w:firstLine="360"/>
        <w:rPr>
          <w:rFonts w:ascii="Calibri" w:eastAsiaTheme="minorHAnsi" w:hAnsi="Calibri" w:cs="Calibri"/>
          <w:spacing w:val="30"/>
          <w:lang w:eastAsia="en-US"/>
        </w:rPr>
      </w:pPr>
      <w:r w:rsidRPr="006D1793">
        <w:rPr>
          <w:rFonts w:ascii="Calibri" w:hAnsi="Calibri" w:cs="Calibri"/>
          <w:spacing w:val="30"/>
        </w:rPr>
        <w:t xml:space="preserve">Zamawiający - Gmina Sandomierz działając na podstawie art. 253 ust. 2 </w:t>
      </w:r>
      <w:proofErr w:type="spellStart"/>
      <w:r w:rsidRPr="006D1793">
        <w:rPr>
          <w:rFonts w:ascii="Calibri" w:hAnsi="Calibri" w:cs="Calibri"/>
          <w:spacing w:val="30"/>
        </w:rPr>
        <w:t>upzp</w:t>
      </w:r>
      <w:proofErr w:type="spellEnd"/>
      <w:r w:rsidRPr="006D1793">
        <w:rPr>
          <w:rFonts w:ascii="Calibri" w:hAnsi="Calibri" w:cs="Calibri"/>
          <w:spacing w:val="30"/>
        </w:rPr>
        <w:t xml:space="preserve"> informuje, iż w postępowaniu jw. </w:t>
      </w:r>
      <w:r w:rsidRPr="006D1793">
        <w:rPr>
          <w:rFonts w:ascii="Calibri" w:eastAsia="Andale Sans UI" w:hAnsi="Calibri" w:cs="Calibri"/>
          <w:b/>
          <w:spacing w:val="30"/>
          <w:kern w:val="2"/>
          <w:lang w:eastAsia="zh-CN"/>
        </w:rPr>
        <w:t>dla części II – „</w:t>
      </w:r>
      <w:r w:rsidRPr="006D1793">
        <w:rPr>
          <w:rFonts w:ascii="Calibri" w:hAnsi="Calibri" w:cs="Calibri"/>
          <w:b/>
          <w:bCs/>
          <w:spacing w:val="30"/>
        </w:rPr>
        <w:t>Ubezpieczenie pojazdów mechanicznych Gminy Sandomierz</w:t>
      </w:r>
      <w:r w:rsidRPr="006D1793">
        <w:rPr>
          <w:rFonts w:ascii="Calibri" w:hAnsi="Calibri" w:cs="Calibri"/>
          <w:b/>
          <w:bCs/>
          <w:spacing w:val="30"/>
        </w:rPr>
        <w:br/>
        <w:t xml:space="preserve"> i jednostek organizacyjnych”</w:t>
      </w:r>
      <w:r w:rsidRPr="006D1793">
        <w:rPr>
          <w:rFonts w:ascii="Calibri" w:hAnsi="Calibri" w:cs="Calibri"/>
          <w:bCs/>
          <w:spacing w:val="30"/>
        </w:rPr>
        <w:t>,</w:t>
      </w:r>
      <w:r w:rsidRPr="006D1793">
        <w:rPr>
          <w:rFonts w:ascii="Calibri" w:hAnsi="Calibri" w:cs="Calibri"/>
          <w:b/>
          <w:bCs/>
          <w:spacing w:val="30"/>
        </w:rPr>
        <w:t xml:space="preserve"> </w:t>
      </w:r>
      <w:r w:rsidRPr="006D1793">
        <w:rPr>
          <w:rFonts w:ascii="Calibri" w:hAnsi="Calibri" w:cs="Calibri"/>
          <w:bCs/>
          <w:spacing w:val="30"/>
        </w:rPr>
        <w:t xml:space="preserve">wybrał ofertę złożoną przez: </w:t>
      </w:r>
      <w:r w:rsidR="00483C24" w:rsidRPr="006D1793">
        <w:rPr>
          <w:rFonts w:ascii="Calibri" w:eastAsiaTheme="minorHAnsi" w:hAnsi="Calibri" w:cs="Calibri"/>
          <w:spacing w:val="30"/>
          <w:lang w:eastAsia="en-US"/>
        </w:rPr>
        <w:t>TUZ Towarzystwo Ubezpieczeń Wzajemnych ul. Domaniewska 41</w:t>
      </w:r>
      <w:r w:rsidR="00BC4437" w:rsidRPr="006D1793">
        <w:rPr>
          <w:rFonts w:ascii="Calibri" w:eastAsiaTheme="minorHAnsi" w:hAnsi="Calibri" w:cs="Calibri"/>
          <w:spacing w:val="30"/>
          <w:lang w:eastAsia="en-US"/>
        </w:rPr>
        <w:t>,</w:t>
      </w:r>
      <w:r w:rsidR="00483C24" w:rsidRPr="006D1793">
        <w:rPr>
          <w:rFonts w:ascii="Calibri" w:eastAsiaTheme="minorHAnsi" w:hAnsi="Calibri" w:cs="Calibri"/>
          <w:spacing w:val="30"/>
          <w:lang w:eastAsia="en-US"/>
        </w:rPr>
        <w:t xml:space="preserve">  02-672 Warszawa.</w:t>
      </w:r>
    </w:p>
    <w:p w:rsidR="00453D8A" w:rsidRPr="006D1793" w:rsidRDefault="00453D8A" w:rsidP="006D1793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 xml:space="preserve">Oferta spełnia wszystkie wymogi SWZ, jest zgodna z przepisami ustawy - Prawo zamówień publicznych, nie podlega odrzuceniu oraz uzyskała poniższą liczbę punktów na podstawie kryteriów oceny ofert zastosowanych w tym postępowaniu: </w:t>
      </w:r>
    </w:p>
    <w:p w:rsidR="00453D8A" w:rsidRPr="006D1793" w:rsidRDefault="00453D8A" w:rsidP="006D17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cena za zamówienie podstawowe oraz opcja (waga kryterium 60%),</w:t>
      </w:r>
    </w:p>
    <w:p w:rsidR="00453D8A" w:rsidRPr="006D1793" w:rsidRDefault="00453D8A" w:rsidP="006D17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pacing w:val="30"/>
        </w:rPr>
      </w:pPr>
      <w:r w:rsidRPr="006D1793">
        <w:rPr>
          <w:rFonts w:ascii="Calibri" w:hAnsi="Calibri" w:cs="Calibri"/>
          <w:spacing w:val="30"/>
        </w:rPr>
        <w:t>warunki ubezpieczenia: klauzule i postanowienia fakultatywne (waga kryterium 40%).</w:t>
      </w:r>
    </w:p>
    <w:p w:rsidR="00453D8A" w:rsidRPr="006D1793" w:rsidRDefault="00453D8A" w:rsidP="006D1793">
      <w:pPr>
        <w:ind w:right="-106"/>
        <w:rPr>
          <w:rFonts w:ascii="Calibri" w:hAnsi="Calibri" w:cs="Calibri"/>
          <w:spacing w:val="30"/>
        </w:rPr>
      </w:pPr>
    </w:p>
    <w:p w:rsidR="00453D8A" w:rsidRPr="006D1793" w:rsidRDefault="00453D8A" w:rsidP="006D1793">
      <w:pPr>
        <w:rPr>
          <w:rFonts w:ascii="Calibri" w:eastAsia="Calibri" w:hAnsi="Calibri" w:cs="Calibri"/>
          <w:bCs/>
          <w:spacing w:val="30"/>
          <w:lang w:eastAsia="en-US"/>
        </w:rPr>
      </w:pPr>
      <w:r w:rsidRPr="006D1793">
        <w:rPr>
          <w:rFonts w:ascii="Calibri" w:eastAsia="Calibri" w:hAnsi="Calibri" w:cs="Calibri"/>
          <w:spacing w:val="30"/>
          <w:lang w:eastAsia="en-US"/>
        </w:rPr>
        <w:t xml:space="preserve">W postępowaniu na </w:t>
      </w:r>
      <w:r w:rsidRPr="006D1793">
        <w:rPr>
          <w:rFonts w:ascii="Calibri" w:eastAsia="Calibri" w:hAnsi="Calibri" w:cs="Calibri"/>
          <w:b/>
          <w:spacing w:val="30"/>
          <w:lang w:eastAsia="en-US"/>
        </w:rPr>
        <w:t xml:space="preserve">część II </w:t>
      </w:r>
      <w:r w:rsidRPr="006D1793">
        <w:rPr>
          <w:rFonts w:ascii="Calibri" w:eastAsia="Calibri" w:hAnsi="Calibri" w:cs="Calibri"/>
          <w:bCs/>
          <w:spacing w:val="30"/>
          <w:lang w:eastAsia="en-US"/>
        </w:rPr>
        <w:t>–</w:t>
      </w:r>
      <w:r w:rsidRPr="006D1793">
        <w:rPr>
          <w:rFonts w:ascii="Calibri" w:hAnsi="Calibri" w:cs="Calibri"/>
          <w:bCs/>
          <w:spacing w:val="30"/>
        </w:rPr>
        <w:t xml:space="preserve"> „Ubezpieczenie pojazdów mechanicznych Gminy Sandomierz i jednostek organizacyjnych” </w:t>
      </w:r>
      <w:r w:rsidR="00483C24" w:rsidRPr="006D1793">
        <w:rPr>
          <w:rFonts w:ascii="Calibri" w:eastAsia="Calibri" w:hAnsi="Calibri" w:cs="Calibri"/>
          <w:bCs/>
          <w:spacing w:val="30"/>
          <w:lang w:eastAsia="en-US"/>
        </w:rPr>
        <w:t>wpłynęły 3 oferty</w:t>
      </w:r>
      <w:r w:rsidRPr="006D1793">
        <w:rPr>
          <w:rFonts w:ascii="Calibri" w:eastAsia="Calibri" w:hAnsi="Calibri" w:cs="Calibri"/>
          <w:bCs/>
          <w:spacing w:val="30"/>
          <w:lang w:eastAsia="en-US"/>
        </w:rPr>
        <w:t xml:space="preserve">. Punktacja wg. poniższej tabeli. </w:t>
      </w:r>
    </w:p>
    <w:p w:rsidR="00453D8A" w:rsidRPr="006D1793" w:rsidRDefault="00453D8A" w:rsidP="006D1793">
      <w:pPr>
        <w:rPr>
          <w:rFonts w:ascii="Calibri" w:eastAsia="Calibri" w:hAnsi="Calibri" w:cs="Calibri"/>
          <w:b/>
          <w:spacing w:val="30"/>
          <w:lang w:eastAsia="en-US"/>
        </w:rPr>
      </w:pPr>
    </w:p>
    <w:tbl>
      <w:tblPr>
        <w:tblStyle w:val="Tabela-Siatka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2695"/>
        <w:gridCol w:w="1984"/>
        <w:gridCol w:w="2268"/>
        <w:gridCol w:w="1701"/>
      </w:tblGrid>
      <w:tr w:rsidR="00453D8A" w:rsidRPr="006D1793" w:rsidTr="006D1793">
        <w:trPr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bookmarkStart w:id="1" w:name="_Hlk80258345"/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Kryterium: cena </w:t>
            </w:r>
            <w:r w:rsidR="00273733"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br/>
            </w:r>
            <w:r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za zamówienie podstawowe oraz opcja</w:t>
            </w:r>
            <w:r w:rsidR="0073460A"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 </w:t>
            </w:r>
            <w:r w:rsidRPr="006D1793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(60%)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Kryterium:</w:t>
            </w:r>
          </w:p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Warunki ubezpieczenia klauzule </w:t>
            </w:r>
            <w:r w:rsidR="00273733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br/>
            </w: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i postanowienia fakultatywne 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="Calibri" w:hAnsi="Calibri" w:cs="Calibri"/>
                <w:b/>
                <w:spacing w:val="30"/>
                <w:lang w:eastAsia="en-US"/>
              </w:rPr>
              <w:t>Punktacja ogółem</w:t>
            </w:r>
          </w:p>
        </w:tc>
      </w:tr>
      <w:tr w:rsidR="00453D8A" w:rsidRPr="006D1793" w:rsidTr="006D179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453D8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spacing w:val="3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TUZ Towarzystwo Ubezpieczeń Wzajemnych </w:t>
            </w:r>
          </w:p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ul. Domaniewska 41 </w:t>
            </w:r>
          </w:p>
          <w:p w:rsidR="00453D8A" w:rsidRPr="006D1793" w:rsidRDefault="00483C24" w:rsidP="006D1793">
            <w:pPr>
              <w:rPr>
                <w:rFonts w:ascii="Calibri" w:eastAsia="Calibri" w:hAnsi="Calibri" w:cs="Calibri"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60,00</w:t>
            </w:r>
            <w:r w:rsidR="00453D8A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40,00 </w:t>
            </w:r>
            <w:r w:rsidR="00453D8A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8A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100,00 </w:t>
            </w:r>
            <w:r w:rsidR="00453D8A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</w:tr>
      <w:tr w:rsidR="00483C24" w:rsidRPr="006D1793" w:rsidTr="006D179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483C24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spacing w:val="30"/>
                <w:lang w:eastAsia="en-US"/>
              </w:rPr>
              <w:t xml:space="preserve">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Towarzystwo Ubezpieczeń Wzajemnych „TUW”</w:t>
            </w:r>
          </w:p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ul. H.</w:t>
            </w:r>
            <w:r w:rsid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 </w:t>
            </w:r>
            <w:bookmarkStart w:id="2" w:name="_GoBack"/>
            <w:bookmarkEnd w:id="2"/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Raabego 13, 02-973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53,25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40,00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93,25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</w:tr>
      <w:tr w:rsidR="00483C24" w:rsidRPr="006D1793" w:rsidTr="006D179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483C24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spacing w:val="3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 xml:space="preserve">Powszechny Zakład Ubezpieczeń Spółka Akcyjna </w:t>
            </w:r>
          </w:p>
          <w:p w:rsidR="00483C24" w:rsidRPr="006D1793" w:rsidRDefault="00483C24" w:rsidP="006D1793">
            <w:pPr>
              <w:rPr>
                <w:rFonts w:ascii="Calibri" w:eastAsiaTheme="minorHAnsi" w:hAnsi="Calibri" w:cs="Calibri"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spacing w:val="30"/>
                <w:lang w:eastAsia="en-US"/>
              </w:rPr>
              <w:t>ul. Rondo Ignacego Daszyńskiego 4, 00-843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33,34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20,00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4" w:rsidRPr="006D1793" w:rsidRDefault="0073460A" w:rsidP="006D17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</w:pPr>
            <w:r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 xml:space="preserve">53,34 </w:t>
            </w:r>
            <w:r w:rsidR="00483C24" w:rsidRPr="006D1793">
              <w:rPr>
                <w:rFonts w:ascii="Calibri" w:eastAsiaTheme="minorHAnsi" w:hAnsi="Calibri" w:cs="Calibri"/>
                <w:b/>
                <w:bCs/>
                <w:spacing w:val="30"/>
                <w:lang w:eastAsia="en-US"/>
              </w:rPr>
              <w:t>pkt</w:t>
            </w:r>
          </w:p>
        </w:tc>
      </w:tr>
      <w:bookmarkEnd w:id="1"/>
    </w:tbl>
    <w:p w:rsidR="00483C24" w:rsidRPr="006D1793" w:rsidRDefault="00483C24" w:rsidP="006D1793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lang w:eastAsia="en-US"/>
        </w:rPr>
      </w:pPr>
    </w:p>
    <w:p w:rsidR="00C6389B" w:rsidRPr="006D1793" w:rsidRDefault="00483C24" w:rsidP="006D1793">
      <w:pPr>
        <w:rPr>
          <w:rFonts w:ascii="Calibri" w:hAnsi="Calibri" w:cs="Calibri"/>
          <w:spacing w:val="30"/>
        </w:rPr>
      </w:pPr>
      <w:r w:rsidRPr="006D1793">
        <w:rPr>
          <w:rFonts w:ascii="Calibri" w:eastAsiaTheme="minorHAnsi" w:hAnsi="Calibri" w:cs="Calibri"/>
          <w:spacing w:val="30"/>
          <w:lang w:eastAsia="en-US"/>
        </w:rPr>
        <w:t xml:space="preserve">       Umowa dot. niniejszego postępowania na </w:t>
      </w:r>
      <w:r w:rsidRPr="006D1793">
        <w:rPr>
          <w:rFonts w:ascii="Calibri" w:eastAsiaTheme="minorHAnsi" w:hAnsi="Calibri" w:cs="Calibri"/>
          <w:b/>
          <w:spacing w:val="30"/>
          <w:lang w:eastAsia="en-US"/>
        </w:rPr>
        <w:t xml:space="preserve">część  II </w:t>
      </w:r>
      <w:r w:rsidRPr="006D1793">
        <w:rPr>
          <w:rFonts w:ascii="Calibri" w:eastAsiaTheme="minorHAnsi" w:hAnsi="Calibri" w:cs="Calibri"/>
          <w:spacing w:val="30"/>
          <w:lang w:eastAsia="en-US"/>
        </w:rPr>
        <w:t xml:space="preserve"> zostanie zawarta w terminie nie krótszym niż 5 dni od przesłania Wykonawcom drogą elektroniczną zawiadomienia o wyborze najkorzystniejszej oferty</w:t>
      </w:r>
      <w:r w:rsidR="00DA6CF1" w:rsidRPr="006D1793">
        <w:rPr>
          <w:rFonts w:ascii="Calibri" w:eastAsiaTheme="minorHAnsi" w:hAnsi="Calibri" w:cs="Calibri"/>
          <w:spacing w:val="30"/>
          <w:lang w:eastAsia="en-US"/>
        </w:rPr>
        <w:t>.</w:t>
      </w:r>
    </w:p>
    <w:sectPr w:rsidR="00C6389B" w:rsidRPr="006D17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24" w:rsidRDefault="00483C24" w:rsidP="00483C24">
      <w:r>
        <w:separator/>
      </w:r>
    </w:p>
  </w:endnote>
  <w:endnote w:type="continuationSeparator" w:id="0">
    <w:p w:rsidR="00483C24" w:rsidRDefault="00483C24" w:rsidP="004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24" w:rsidRDefault="00483C24" w:rsidP="00483C24">
      <w:r>
        <w:separator/>
      </w:r>
    </w:p>
  </w:footnote>
  <w:footnote w:type="continuationSeparator" w:id="0">
    <w:p w:rsidR="00483C24" w:rsidRDefault="00483C24" w:rsidP="0048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24" w:rsidRPr="006D1793" w:rsidRDefault="00483C24">
    <w:pPr>
      <w:pStyle w:val="Nagwek"/>
      <w:rPr>
        <w:rFonts w:asciiTheme="minorHAnsi" w:hAnsiTheme="minorHAnsi" w:cstheme="minorHAnsi"/>
        <w:spacing w:val="28"/>
      </w:rPr>
    </w:pPr>
    <w:r w:rsidRPr="006D1793">
      <w:rPr>
        <w:rFonts w:asciiTheme="minorHAnsi" w:hAnsiTheme="minorHAnsi" w:cstheme="minorHAnsi"/>
        <w:spacing w:val="28"/>
      </w:rPr>
      <w:t>RZP.2</w:t>
    </w:r>
    <w:r w:rsidR="00BC4437" w:rsidRPr="006D1793">
      <w:rPr>
        <w:rFonts w:asciiTheme="minorHAnsi" w:hAnsiTheme="minorHAnsi" w:cstheme="minorHAnsi"/>
        <w:spacing w:val="28"/>
      </w:rPr>
      <w:t xml:space="preserve">71.1.1.2024.MZI </w:t>
    </w:r>
    <w:r w:rsidR="00BC4437" w:rsidRPr="006D1793">
      <w:rPr>
        <w:rFonts w:asciiTheme="minorHAnsi" w:hAnsiTheme="minorHAnsi" w:cstheme="minorHAnsi"/>
        <w:spacing w:val="28"/>
      </w:rPr>
      <w:tab/>
    </w:r>
    <w:r w:rsidR="00BC4437" w:rsidRPr="006D1793">
      <w:rPr>
        <w:rFonts w:asciiTheme="minorHAnsi" w:hAnsiTheme="minorHAnsi" w:cstheme="minorHAnsi"/>
        <w:spacing w:val="28"/>
      </w:rPr>
      <w:tab/>
      <w:t>Sandomierz, 26</w:t>
    </w:r>
    <w:r w:rsidRPr="006D1793">
      <w:rPr>
        <w:rFonts w:asciiTheme="minorHAnsi" w:hAnsiTheme="minorHAnsi" w:cstheme="minorHAnsi"/>
        <w:spacing w:val="28"/>
      </w:rPr>
      <w:t>.02.2024r.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A067A"/>
    <w:multiLevelType w:val="hybridMultilevel"/>
    <w:tmpl w:val="4686D4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A"/>
    <w:rsid w:val="00273733"/>
    <w:rsid w:val="00453D8A"/>
    <w:rsid w:val="00483C24"/>
    <w:rsid w:val="0054451E"/>
    <w:rsid w:val="006D1793"/>
    <w:rsid w:val="0073460A"/>
    <w:rsid w:val="008C37B3"/>
    <w:rsid w:val="00BC4437"/>
    <w:rsid w:val="00D0612E"/>
    <w:rsid w:val="00DA55D0"/>
    <w:rsid w:val="00DA6CF1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453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453D8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453D8A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453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C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453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453D8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453D8A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453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C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5774-DD88-4FBE-B69D-27E676B9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10</cp:revision>
  <cp:lastPrinted>2024-02-26T09:13:00Z</cp:lastPrinted>
  <dcterms:created xsi:type="dcterms:W3CDTF">2023-03-13T08:28:00Z</dcterms:created>
  <dcterms:modified xsi:type="dcterms:W3CDTF">2024-02-26T11:48:00Z</dcterms:modified>
</cp:coreProperties>
</file>