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56" w:rsidRDefault="00F12201" w:rsidP="00151F50">
      <w:pPr>
        <w:jc w:val="both"/>
      </w:pPr>
      <w:r>
        <w:t>SA</w:t>
      </w:r>
      <w:r w:rsidR="00004EEE">
        <w:t>.270</w:t>
      </w:r>
      <w:r>
        <w:t>.1.33.2021</w:t>
      </w:r>
      <w:bookmarkStart w:id="0" w:name="_GoBack"/>
      <w:bookmarkEnd w:id="0"/>
    </w:p>
    <w:p w:rsidR="009F1A56" w:rsidRDefault="009F1A56" w:rsidP="00151F50">
      <w:pPr>
        <w:jc w:val="both"/>
      </w:pPr>
      <w:r>
        <w:tab/>
      </w:r>
      <w:r>
        <w:tab/>
      </w:r>
      <w:r>
        <w:tab/>
      </w:r>
      <w:r>
        <w:tab/>
      </w:r>
      <w:r>
        <w:tab/>
      </w:r>
      <w:r>
        <w:tab/>
      </w:r>
      <w:r>
        <w:tab/>
      </w:r>
      <w:r>
        <w:tab/>
      </w:r>
      <w:r>
        <w:tab/>
      </w:r>
      <w:r w:rsidR="00653347">
        <w:tab/>
      </w:r>
      <w:r w:rsidR="002F21D4">
        <w:t>Załącznik nr 9</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F12201">
        <w:rPr>
          <w:rFonts w:cs="Arial"/>
        </w:rPr>
        <w:t>Kołaczyce</w:t>
      </w:r>
      <w:r w:rsidRPr="00B4424E">
        <w:rPr>
          <w:rFonts w:cs="Arial"/>
        </w:rPr>
        <w:t xml:space="preserve"> (NIP: </w:t>
      </w:r>
      <w:r w:rsidR="00145AEF">
        <w:rPr>
          <w:rFonts w:cs="Arial"/>
        </w:rPr>
        <w:t>………………..</w:t>
      </w:r>
      <w:r w:rsidRPr="00B4424E">
        <w:rPr>
          <w:rFonts w:cs="Arial"/>
        </w:rPr>
        <w:t xml:space="preserve">, REGON </w:t>
      </w:r>
      <w:r w:rsidR="00145AEF">
        <w:rPr>
          <w:rFonts w:cs="Arial"/>
        </w:rPr>
        <w:t>……………………..</w:t>
      </w:r>
      <w:r w:rsidRPr="00B4424E">
        <w:rPr>
          <w:rFonts w:cs="Arial"/>
        </w:rPr>
        <w:t xml:space="preserve">), z siedzibą w </w:t>
      </w:r>
      <w:r w:rsidR="00F12201">
        <w:rPr>
          <w:rFonts w:cs="Arial"/>
        </w:rPr>
        <w:t>Nawsiach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12201">
        <w:rPr>
          <w:rFonts w:cs="Arial"/>
        </w:rPr>
        <w:t>........................</w:t>
      </w:r>
      <w:r w:rsidRPr="00B4424E">
        <w:rPr>
          <w:rFonts w:cs="Arial"/>
        </w:rPr>
        <w:t xml:space="preserve"> Nadleśniczego Nadleśnictwa </w:t>
      </w:r>
      <w:r w:rsidR="00145AEF">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145AEF" w:rsidP="000A4E31">
      <w:pPr>
        <w:spacing w:before="120" w:line="276" w:lineRule="auto"/>
        <w:jc w:val="center"/>
        <w:rPr>
          <w:rFonts w:ascii="Calibri" w:hAnsi="Calibri"/>
          <w:b/>
          <w:u w:val="single"/>
        </w:rPr>
      </w:pPr>
      <w:r>
        <w:rPr>
          <w:b/>
        </w:rPr>
        <w:t>……………………………………………………..</w:t>
      </w:r>
    </w:p>
    <w:p w:rsidR="00C57D90" w:rsidRPr="00411510" w:rsidRDefault="00C57D90" w:rsidP="00C57D90">
      <w:pPr>
        <w:spacing w:before="120" w:line="276" w:lineRule="auto"/>
        <w:ind w:left="33" w:right="-108"/>
        <w:jc w:val="both"/>
        <w:rPr>
          <w:rFonts w:ascii="Arial" w:hAnsi="Arial" w:cs="Arial"/>
          <w:b/>
          <w:sz w:val="20"/>
          <w:szCs w:val="20"/>
        </w:rPr>
      </w:pP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Pzp,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145AEF">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2C622A">
        <w:rPr>
          <w:rFonts w:ascii="Calibri" w:hAnsi="Calibri"/>
        </w:rPr>
        <w:t>przedmiarze robót</w:t>
      </w:r>
      <w:r w:rsidR="00C57D90" w:rsidRPr="002B167D">
        <w:rPr>
          <w:rFonts w:ascii="Calibri" w:hAnsi="Calibri"/>
        </w:rPr>
        <w:t xml:space="preserve"> (załącznik nr </w:t>
      </w:r>
      <w:r w:rsidR="0054073B" w:rsidRPr="002B167D">
        <w:rPr>
          <w:rFonts w:ascii="Calibri" w:hAnsi="Calibri"/>
        </w:rPr>
        <w:t>1</w:t>
      </w:r>
      <w:r w:rsidR="002C622A">
        <w:rPr>
          <w:rFonts w:ascii="Calibri" w:hAnsi="Calibri"/>
        </w:rPr>
        <w:t>3</w:t>
      </w:r>
      <w:r w:rsidR="00C57D90" w:rsidRPr="002B167D">
        <w:rPr>
          <w:rFonts w:ascii="Calibri" w:hAnsi="Calibri"/>
        </w:rPr>
        <w:t xml:space="preserve"> do SIWZ).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820601" w:rsidRPr="00303D4B" w:rsidRDefault="00820601" w:rsidP="00820601">
      <w:pPr>
        <w:pStyle w:val="Akapitzlist"/>
        <w:numPr>
          <w:ilvl w:val="0"/>
          <w:numId w:val="48"/>
        </w:numPr>
        <w:jc w:val="both"/>
        <w:rPr>
          <w:rFonts w:cs="Arial"/>
        </w:rPr>
      </w:pP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820601">
        <w:rPr>
          <w:rFonts w:cs="Arial"/>
          <w:b/>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2C622A">
        <w:t>12</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E84F29" w:rsidRPr="00820601">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lastRenderedPageBreak/>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Pr="00820601"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określonego przepisami ustawy z dnia 7 lipca 1994 </w:t>
      </w:r>
      <w:r w:rsidR="002F2221">
        <w:t xml:space="preserve">r. Prawo budowlane (t.j. Dz. U. </w:t>
      </w:r>
      <w:r w:rsidR="00FB1D1B" w:rsidRPr="00820601">
        <w:t>20</w:t>
      </w:r>
      <w:r w:rsidR="00CF6B06" w:rsidRPr="00820601">
        <w:t>20</w:t>
      </w:r>
      <w:r w:rsidR="00FB1D1B" w:rsidRPr="00820601">
        <w:t xml:space="preserve"> r., poz. </w:t>
      </w:r>
      <w:r w:rsidR="00CF6B06" w:rsidRPr="00820601">
        <w:t>1333, ze zm.</w:t>
      </w:r>
      <w:r w:rsidRPr="00820601">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SIWZ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lastRenderedPageBreak/>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r w:rsidRPr="00A9019D">
        <w:rPr>
          <w:rFonts w:cstheme="minorHAnsi"/>
          <w:lang w:eastAsia="pl-PL"/>
        </w:rPr>
        <w:t>P</w:t>
      </w:r>
      <w:r w:rsidR="00BA7763">
        <w:rPr>
          <w:rFonts w:cstheme="minorHAnsi"/>
          <w:lang w:eastAsia="pl-PL"/>
        </w:rPr>
        <w:t>zp</w:t>
      </w:r>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2B167D">
        <w:rPr>
          <w:rFonts w:cs="Arial"/>
          <w:b/>
        </w:rPr>
        <w:t>opisanych szczegółowo w SIWZ.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lastRenderedPageBreak/>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36436F" w:rsidRPr="0036436F"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Zamawiający ustanawia Inspektora Nadzoru w osobie: ……………………………..</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t>
      </w:r>
      <w:r w:rsidRPr="00820601">
        <w:rPr>
          <w:rFonts w:ascii="Calibri" w:hAnsi="Calibri" w:cs="Arial"/>
        </w:rPr>
        <w:lastRenderedPageBreak/>
        <w:t>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ykonawcy, podwykonawcy 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lastRenderedPageBreak/>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 xml:space="preserve">piśmie </w:t>
      </w:r>
      <w:r w:rsidR="00F12201">
        <w:rPr>
          <w:rFonts w:ascii="Calibri" w:hAnsi="Calibri" w:cs="Arial"/>
        </w:rPr>
        <w:t>lub</w:t>
      </w:r>
      <w:r w:rsidR="00656028" w:rsidRPr="00943CE5">
        <w:rPr>
          <w:rFonts w:ascii="Calibri" w:hAnsi="Calibri" w:cs="Arial"/>
        </w:rPr>
        <w:t xml:space="preserve">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943CE5">
        <w:rPr>
          <w:rFonts w:ascii="Calibri" w:hAnsi="Calibri" w:cs="Arial"/>
        </w:rPr>
        <w:t>, o k</w:t>
      </w:r>
      <w:r w:rsidR="00943CE5">
        <w:rPr>
          <w:rFonts w:ascii="Calibri" w:hAnsi="Calibri" w:cs="Arial"/>
        </w:rPr>
        <w:t>tórym mowa w ust. 2 lub ust. 3,</w:t>
      </w:r>
      <w:r w:rsidRPr="00FC4F96">
        <w:rPr>
          <w:rFonts w:ascii="Calibri" w:hAnsi="Calibri" w:cs="Arial"/>
        </w:rPr>
        <w:t xml:space="preserve"> przez inspektora nadzoru lub upływ 7 dni od dokonania zgłoszenia przez Wykonawcę stanowi podstawę do pisemnego żądania od </w:t>
      </w:r>
      <w:r w:rsidRPr="00FC4F96">
        <w:rPr>
          <w:rFonts w:ascii="Calibri" w:hAnsi="Calibri" w:cs="Arial"/>
        </w:rPr>
        <w:lastRenderedPageBreak/>
        <w:t xml:space="preserve">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1" w:name="_Toc61833313"/>
      <w:r w:rsidRPr="00943CE5">
        <w:rPr>
          <w:rFonts w:asciiTheme="minorHAnsi" w:hAnsiTheme="minorHAnsi"/>
          <w:color w:val="auto"/>
          <w:sz w:val="22"/>
        </w:rPr>
        <w:t>§ 7a</w:t>
      </w:r>
      <w:bookmarkEnd w:id="1"/>
    </w:p>
    <w:p w:rsidR="005E0FE0" w:rsidRPr="00943CE5" w:rsidRDefault="005E0FE0" w:rsidP="005E0FE0">
      <w:pPr>
        <w:pStyle w:val="Nagwek3"/>
        <w:spacing w:before="120" w:after="0" w:line="240" w:lineRule="auto"/>
        <w:ind w:left="0" w:firstLine="0"/>
        <w:rPr>
          <w:rFonts w:asciiTheme="minorHAnsi" w:hAnsiTheme="minorHAnsi"/>
          <w:color w:val="auto"/>
          <w:sz w:val="22"/>
        </w:rPr>
      </w:pPr>
      <w:bookmarkStart w:id="2" w:name="_Toc61833314"/>
      <w:r w:rsidRPr="00943CE5">
        <w:rPr>
          <w:rFonts w:asciiTheme="minorHAnsi" w:hAnsiTheme="minorHAnsi"/>
          <w:color w:val="auto"/>
          <w:sz w:val="22"/>
        </w:rPr>
        <w:t>Waloryzacja wynagrodzenia</w:t>
      </w:r>
      <w:bookmarkEnd w:id="2"/>
    </w:p>
    <w:p w:rsidR="005E0FE0" w:rsidRPr="00943CE5" w:rsidRDefault="005E0FE0" w:rsidP="005E0FE0">
      <w:pPr>
        <w:pStyle w:val="Nagwek3"/>
        <w:spacing w:before="120" w:after="0" w:line="240" w:lineRule="auto"/>
        <w:ind w:left="0" w:firstLine="0"/>
        <w:rPr>
          <w:rFonts w:asciiTheme="minorHAnsi" w:hAnsiTheme="minorHAnsi"/>
          <w:b w:val="0"/>
          <w:color w:val="auto"/>
          <w:sz w:val="22"/>
        </w:rPr>
      </w:pPr>
      <w:bookmarkStart w:id="3" w:name="_Toc61833315"/>
      <w:r w:rsidRPr="00943CE5">
        <w:rPr>
          <w:rFonts w:asciiTheme="minorHAnsi" w:hAnsiTheme="minorHAnsi"/>
          <w:b w:val="0"/>
          <w:color w:val="auto"/>
          <w:sz w:val="22"/>
          <w:highlight w:val="lightGray"/>
        </w:rPr>
        <w:t>obowiązująca wyłącznie wtedy, gdy okres realizacji Umowy przekroczy 12 miesięcy z powodu zawieszenia wykonywania robót budowlanych</w:t>
      </w:r>
      <w:bookmarkEnd w:id="3"/>
    </w:p>
    <w:p w:rsidR="005E0FE0" w:rsidRPr="00943CE5" w:rsidRDefault="005E0FE0" w:rsidP="005E0FE0">
      <w:pPr>
        <w:pStyle w:val="Akapitzlist"/>
        <w:numPr>
          <w:ilvl w:val="2"/>
          <w:numId w:val="41"/>
        </w:numPr>
        <w:tabs>
          <w:tab w:val="clear" w:pos="2160"/>
          <w:tab w:val="num" w:pos="567"/>
        </w:tabs>
        <w:spacing w:before="120" w:after="0" w:line="240" w:lineRule="auto"/>
        <w:ind w:left="567" w:hanging="567"/>
        <w:contextualSpacing w:val="0"/>
        <w:jc w:val="both"/>
      </w:pPr>
      <w:r w:rsidRPr="00943CE5">
        <w:t xml:space="preserve">Strony postanawiają, iż w sytuacji gdy okres realizacji Umowy będzie dłuższy niż 12 miesięcy dokonają zmiany wynagrodzenia, o którym mowa w </w:t>
      </w:r>
      <w:r w:rsidRPr="00943CE5">
        <w:rPr>
          <w:rFonts w:cstheme="minorHAnsi"/>
        </w:rPr>
        <w:t>§</w:t>
      </w:r>
      <w:r w:rsidRPr="00943CE5">
        <w:t> 7ust. 1, na zasadach opisanych w ust. 2 – 6 niniejszego paragrafu, w wypadku zmiany:</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stawki podatku od towarów i usług oraz podatku akcyzowego; </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wysokości minimalnego wynagrodzenia za pracę albo wysokości minimalnej stawki godzinowej, ustalonych na podstawie ustawy z dnia 10 października 2002 r. o minimalnym wynagrodzeniu za pracę;</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lastRenderedPageBreak/>
        <w:t>zasad podlegania ubezpieczeniom społecznym lub ubezpieczeniu zdrowotnemu lub wysokości stawki składki na ubezpieczenia społeczne lub ubezpieczenie zdrowotne;</w:t>
      </w:r>
    </w:p>
    <w:p w:rsidR="005E0FE0" w:rsidRPr="00943CE5" w:rsidRDefault="005E0FE0" w:rsidP="005E0FE0">
      <w:pPr>
        <w:pStyle w:val="Akapitzlist"/>
        <w:numPr>
          <w:ilvl w:val="1"/>
          <w:numId w:val="40"/>
        </w:numPr>
        <w:tabs>
          <w:tab w:val="clear" w:pos="1440"/>
          <w:tab w:val="num" w:pos="1134"/>
        </w:tabs>
        <w:spacing w:before="120" w:after="0" w:line="240" w:lineRule="auto"/>
        <w:ind w:left="1134" w:hanging="567"/>
        <w:contextualSpacing w:val="0"/>
        <w:jc w:val="both"/>
      </w:pPr>
      <w:r w:rsidRPr="00943CE5">
        <w:t xml:space="preserve">zasad gromadzenia i wysokości wpłat do pracowniczych planów kapitałowych, o których mowa w ustawie z dnia 4 października 2018 r. o pracowniczych planach kapitałowych </w:t>
      </w:r>
    </w:p>
    <w:p w:rsidR="005E0FE0" w:rsidRPr="00943CE5" w:rsidRDefault="005E0FE0" w:rsidP="005E0FE0">
      <w:pPr>
        <w:spacing w:before="120"/>
        <w:ind w:left="567"/>
        <w:jc w:val="both"/>
      </w:pPr>
      <w:r w:rsidRPr="00943CE5">
        <w:t>- jeżeli zmiany tę będą miały wpływ na koszty wykonania zamówienia przez Wykonawcę.</w:t>
      </w:r>
    </w:p>
    <w:p w:rsidR="005E0FE0" w:rsidRPr="00943CE5" w:rsidRDefault="005E0FE0" w:rsidP="005E0FE0">
      <w:pPr>
        <w:spacing w:before="120"/>
        <w:ind w:left="567" w:hanging="567"/>
        <w:jc w:val="both"/>
      </w:pPr>
      <w:r w:rsidRPr="00943CE5">
        <w:t>2.</w:t>
      </w:r>
      <w:r w:rsidRPr="00943CE5">
        <w:tab/>
        <w:t>Zmiana wysokości wynagrodzenia będzie obowiązywać od dnia od dnia określonego aneksem, ale nie wcześniej, niż od dnia wejścia w życie przepisów wpływających na koszty wykonania zamówienia przez Wykonawcę.</w:t>
      </w:r>
    </w:p>
    <w:p w:rsidR="005E0FE0" w:rsidRPr="00943CE5" w:rsidRDefault="005E0FE0" w:rsidP="005E0FE0">
      <w:pPr>
        <w:spacing w:before="120"/>
        <w:ind w:left="567" w:hanging="577"/>
        <w:jc w:val="both"/>
      </w:pPr>
      <w:r w:rsidRPr="00943CE5">
        <w:t>3.</w:t>
      </w:r>
      <w:r w:rsidRPr="00943CE5">
        <w:tab/>
        <w:t>Wprowadzeni</w:t>
      </w:r>
      <w:r w:rsidR="00E25F45" w:rsidRPr="00943CE5">
        <w:t>e</w:t>
      </w:r>
      <w:r w:rsidRPr="00943CE5">
        <w:t xml:space="preserve"> zmian wysokości wynagrodzenia</w:t>
      </w:r>
      <w:r w:rsidR="00E25F45" w:rsidRPr="00943CE5">
        <w:t xml:space="preserve"> spowodowanych zmianami, o których mowa w ust. 1,</w:t>
      </w:r>
      <w:r w:rsidRPr="00943CE5">
        <w:t xml:space="preserve"> wymaga uprzedniego złożenia oświadczenia drugiej stronie zawierającego wyczerpujące uzasadnienie faktyczne i prawne wraz z dokładnym wyliczeniem kwoty wynagrodzenia należnego Wykonawcy po zmianie Umowy, w tym w</w:t>
      </w:r>
      <w:r w:rsidR="00943CE5" w:rsidRPr="00943CE5">
        <w:t xml:space="preserve"> </w:t>
      </w:r>
      <w:r w:rsidRPr="00943CE5">
        <w:t>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w:t>
      </w:r>
    </w:p>
    <w:p w:rsidR="005E0FE0" w:rsidRPr="00943CE5" w:rsidRDefault="005E0FE0" w:rsidP="005E0FE0">
      <w:pPr>
        <w:spacing w:before="120"/>
        <w:ind w:left="567" w:hanging="577"/>
        <w:jc w:val="both"/>
      </w:pPr>
      <w:r w:rsidRPr="00943CE5">
        <w:t>4.</w:t>
      </w:r>
      <w:r w:rsidRPr="00943CE5">
        <w:tab/>
        <w:t>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w:t>
      </w:r>
    </w:p>
    <w:p w:rsidR="005E0FE0" w:rsidRPr="00943CE5" w:rsidRDefault="005E0FE0" w:rsidP="005E0FE0">
      <w:pPr>
        <w:spacing w:before="120"/>
        <w:ind w:left="567" w:hanging="577"/>
        <w:jc w:val="both"/>
      </w:pPr>
      <w:r w:rsidRPr="00943CE5">
        <w:t>5.</w:t>
      </w:r>
      <w:r w:rsidRPr="00943CE5">
        <w:tab/>
        <w:t>Wykonawca na żądanie Zamawiającego w terminie 7 dni od dnia doręczenia oświadczenia, o którym mowa w ust. 3. niniejszego paragrafu, udostępni Zamawiającem</w:t>
      </w:r>
      <w:r w:rsidR="00E25F45" w:rsidRPr="00943CE5">
        <w:t>u źródłowe dokumenty księgowe w </w:t>
      </w:r>
      <w:r w:rsidRPr="00943CE5">
        <w:t>zakresie niezbędnym do weryfikacji zasadności i wysokości wprowadzenia zmiany wynagrodzenia.</w:t>
      </w:r>
    </w:p>
    <w:p w:rsidR="005E0FE0" w:rsidRPr="00943CE5" w:rsidRDefault="005E0FE0" w:rsidP="005E0FE0">
      <w:pPr>
        <w:spacing w:before="120"/>
        <w:ind w:left="567" w:hanging="577"/>
        <w:jc w:val="both"/>
      </w:pPr>
      <w:r w:rsidRPr="00943CE5">
        <w:t>6.</w:t>
      </w:r>
      <w:r w:rsidRPr="00943CE5">
        <w:tab/>
        <w:t>Zmiana Umowy w zakresie zmiany wynagrodzenia z przyczyn określonych w ust. 1 niniejszego paragrafu obejmować będzie jedynie płatności za świadczenia, których w dniu zmiany jeszcze nie wykonano.</w:t>
      </w:r>
    </w:p>
    <w:p w:rsidR="005E0FE0" w:rsidRPr="00943CE5" w:rsidRDefault="005E0FE0" w:rsidP="005E0FE0">
      <w:pPr>
        <w:spacing w:before="120"/>
        <w:ind w:left="567" w:hanging="567"/>
        <w:jc w:val="both"/>
      </w:pPr>
      <w:r w:rsidRPr="00943CE5">
        <w:t>7.</w:t>
      </w:r>
      <w:r w:rsidRPr="00943CE5">
        <w:tab/>
        <w:t xml:space="preserve">Strony postanawiają, iż w sytuacji gdy okres realizacji Umowy będzie dłuższy niż 12 miesięcy, dokonają zmiany wynagrodzenia, o którym mowa w </w:t>
      </w:r>
      <w:r w:rsidRPr="00943CE5">
        <w:rPr>
          <w:rFonts w:cstheme="minorHAnsi"/>
        </w:rPr>
        <w:t>§</w:t>
      </w:r>
      <w:r w:rsidRPr="00943CE5">
        <w:t> 7 ust. 1, na zasadach opisanych w ust. 8 – 12 niniejszego paragrafu, w wypadku zmiany cen materiałów lub kosztów związanych z realizacją zamówienia</w:t>
      </w:r>
      <w:r w:rsidR="00C9262B" w:rsidRPr="00943CE5">
        <w:t xml:space="preserve"> o więcej niż 3%</w:t>
      </w:r>
      <w:r w:rsidRPr="00943CE5">
        <w:t>.</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Fonts w:cstheme="minorHAnsi"/>
        </w:rPr>
        <w:t>8.</w:t>
      </w:r>
      <w:r w:rsidRPr="00943CE5">
        <w:rPr>
          <w:rFonts w:cstheme="minorHAnsi"/>
        </w:rPr>
        <w:tab/>
      </w:r>
      <w:r w:rsidRPr="00943CE5">
        <w:rPr>
          <w:rStyle w:val="FontStyle203"/>
          <w:rFonts w:asciiTheme="minorHAnsi" w:hAnsiTheme="minorHAnsi" w:cstheme="minorHAnsi"/>
          <w:color w:val="auto"/>
          <w:sz w:val="22"/>
          <w:szCs w:val="22"/>
        </w:rPr>
        <w:t>Korekty wynagrodzenia będą obliczane na podstawie</w:t>
      </w:r>
      <w:r w:rsidRPr="00943CE5">
        <w:rPr>
          <w:rFonts w:cstheme="minorHAnsi"/>
        </w:rPr>
        <w:t xml:space="preserve"> informacji zawartych w </w:t>
      </w:r>
      <w:r w:rsidRPr="00943CE5">
        <w:rPr>
          <w:rStyle w:val="FontStyle203"/>
          <w:rFonts w:asciiTheme="minorHAnsi" w:hAnsiTheme="minorHAnsi" w:cstheme="minorHAnsi"/>
          <w:color w:val="auto"/>
          <w:sz w:val="22"/>
          <w:szCs w:val="22"/>
        </w:rPr>
        <w:t xml:space="preserve">biuletynie publikowanym przez Główny Urząd Statystyczny pn. „Ceny robót budowlano-montażowych i obiektów budowlanych” - Wskaźniki cen wybranych robót budowlano-montażowych </w:t>
      </w:r>
      <w:r w:rsidR="00C9262B" w:rsidRPr="00943CE5">
        <w:rPr>
          <w:rStyle w:val="FontStyle203"/>
          <w:rFonts w:asciiTheme="minorHAnsi" w:hAnsiTheme="minorHAnsi" w:cstheme="minorHAnsi"/>
          <w:color w:val="auto"/>
          <w:sz w:val="22"/>
          <w:szCs w:val="22"/>
        </w:rPr>
        <w:t xml:space="preserve">–Ulica dojazdowa – droga klasy D </w:t>
      </w:r>
      <w:r w:rsidRPr="00943CE5">
        <w:rPr>
          <w:rStyle w:val="FontStyle203"/>
          <w:rFonts w:asciiTheme="minorHAnsi" w:hAnsiTheme="minorHAnsi" w:cstheme="minorHAnsi"/>
          <w:color w:val="auto"/>
          <w:sz w:val="22"/>
          <w:szCs w:val="22"/>
        </w:rPr>
        <w:t xml:space="preserve">- PKOB </w:t>
      </w:r>
      <w:r w:rsidR="00C9262B" w:rsidRPr="00943CE5">
        <w:rPr>
          <w:rStyle w:val="FontStyle203"/>
          <w:rFonts w:asciiTheme="minorHAnsi" w:hAnsiTheme="minorHAnsi" w:cstheme="minorHAnsi"/>
          <w:color w:val="auto"/>
          <w:sz w:val="22"/>
          <w:szCs w:val="22"/>
        </w:rPr>
        <w:t>2</w:t>
      </w:r>
      <w:r w:rsidRPr="00943CE5">
        <w:rPr>
          <w:rStyle w:val="FontStyle203"/>
          <w:rFonts w:asciiTheme="minorHAnsi" w:hAnsiTheme="minorHAnsi" w:cstheme="minorHAnsi"/>
          <w:color w:val="auto"/>
          <w:sz w:val="22"/>
          <w:szCs w:val="22"/>
        </w:rPr>
        <w:t>1</w:t>
      </w:r>
      <w:r w:rsidR="00C9262B" w:rsidRPr="00943CE5">
        <w:rPr>
          <w:rStyle w:val="FontStyle203"/>
          <w:rFonts w:asciiTheme="minorHAnsi" w:hAnsiTheme="minorHAnsi" w:cstheme="minorHAnsi"/>
          <w:color w:val="auto"/>
          <w:sz w:val="22"/>
          <w:szCs w:val="22"/>
        </w:rPr>
        <w:t>1</w:t>
      </w:r>
      <w:r w:rsidRPr="00943CE5">
        <w:rPr>
          <w:rStyle w:val="FontStyle203"/>
          <w:rFonts w:asciiTheme="minorHAnsi" w:hAnsiTheme="minorHAnsi" w:cstheme="minorHAnsi"/>
          <w:color w:val="auto"/>
          <w:sz w:val="22"/>
          <w:szCs w:val="22"/>
        </w:rPr>
        <w:t>2 - wskaźnik składany przy zastosowaniu wskaźników odnoszących się do poprzedniego miesiąca.</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9.</w:t>
      </w:r>
      <w:r w:rsidRPr="00943CE5">
        <w:rPr>
          <w:rStyle w:val="FontStyle203"/>
          <w:rFonts w:asciiTheme="minorHAnsi" w:hAnsiTheme="minorHAnsi" w:cstheme="minorHAnsi"/>
          <w:color w:val="auto"/>
          <w:sz w:val="22"/>
          <w:szCs w:val="22"/>
        </w:rPr>
        <w:tab/>
        <w:t>Roboty budowlane wykonywane z przyczyn leżących po stronie Wy</w:t>
      </w:r>
      <w:r w:rsidR="00C9262B" w:rsidRPr="00943CE5">
        <w:rPr>
          <w:rStyle w:val="FontStyle203"/>
          <w:rFonts w:asciiTheme="minorHAnsi" w:hAnsiTheme="minorHAnsi" w:cstheme="minorHAnsi"/>
          <w:color w:val="auto"/>
          <w:sz w:val="22"/>
          <w:szCs w:val="22"/>
        </w:rPr>
        <w:t>konawcy po upływie ustalonego w </w:t>
      </w:r>
      <w:r w:rsidRPr="00943CE5">
        <w:rPr>
          <w:rFonts w:cstheme="minorHAnsi"/>
        </w:rPr>
        <w:t>szczegółowym harmonogramie rzeczowo-finansowym</w:t>
      </w:r>
      <w:r w:rsidRPr="00943CE5">
        <w:rPr>
          <w:rStyle w:val="FontStyle203"/>
          <w:rFonts w:asciiTheme="minorHAnsi" w:hAnsiTheme="minorHAnsi" w:cstheme="minorHAnsi"/>
          <w:color w:val="auto"/>
          <w:sz w:val="22"/>
          <w:szCs w:val="22"/>
        </w:rPr>
        <w:t xml:space="preserve"> terminu, podlegają waloryzacji na zasadach jak gdyby były wykonywane zgodnie z powyższym harmonogramem, z tym zastrzeżeniem, że waloryzacja zostanie dokonana jedynie w przypadku wykonania przedmiotu zamówienia w term</w:t>
      </w:r>
      <w:r w:rsidR="00C9262B" w:rsidRPr="00943CE5">
        <w:rPr>
          <w:rStyle w:val="FontStyle203"/>
          <w:rFonts w:asciiTheme="minorHAnsi" w:hAnsiTheme="minorHAnsi" w:cstheme="minorHAnsi"/>
          <w:color w:val="auto"/>
          <w:sz w:val="22"/>
          <w:szCs w:val="22"/>
        </w:rPr>
        <w:t>inie określonym w </w:t>
      </w:r>
      <w:r w:rsidRPr="00943CE5">
        <w:rPr>
          <w:rStyle w:val="FontStyle203"/>
          <w:rFonts w:asciiTheme="minorHAnsi" w:hAnsiTheme="minorHAnsi" w:cstheme="minorHAnsi"/>
          <w:color w:val="auto"/>
          <w:sz w:val="22"/>
          <w:szCs w:val="22"/>
        </w:rPr>
        <w:t>Umowie.</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10.</w:t>
      </w:r>
      <w:r w:rsidRPr="00943CE5">
        <w:rPr>
          <w:rStyle w:val="FontStyle203"/>
          <w:rFonts w:asciiTheme="minorHAnsi" w:hAnsiTheme="minorHAnsi" w:cstheme="minorHAnsi"/>
          <w:color w:val="auto"/>
          <w:sz w:val="22"/>
          <w:szCs w:val="22"/>
        </w:rPr>
        <w:tab/>
        <w:t xml:space="preserve">Waloryzacji będą podlegały roboty budowlane wykonywane po upływie 12 miesięcy od dnia podpisania Umowy. Waloryzacja będzie dokonywana w okresach kwartalnych na koniec danego </w:t>
      </w:r>
      <w:r w:rsidRPr="00943CE5">
        <w:rPr>
          <w:rStyle w:val="FontStyle203"/>
          <w:rFonts w:asciiTheme="minorHAnsi" w:hAnsiTheme="minorHAnsi" w:cstheme="minorHAnsi"/>
          <w:color w:val="auto"/>
          <w:sz w:val="22"/>
          <w:szCs w:val="22"/>
        </w:rPr>
        <w:lastRenderedPageBreak/>
        <w:t>kwartału i będzie dotyczyła robót wykonanych w tym kwartale, przy zastosowaniu wskaźników, o których mowa w ust. 8.</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11.</w:t>
      </w:r>
      <w:r w:rsidRPr="00943CE5">
        <w:rPr>
          <w:rStyle w:val="FontStyle203"/>
          <w:rFonts w:asciiTheme="minorHAnsi" w:hAnsiTheme="minorHAnsi" w:cstheme="minorHAnsi"/>
          <w:color w:val="auto"/>
          <w:sz w:val="22"/>
          <w:szCs w:val="22"/>
        </w:rPr>
        <w:tab/>
        <w:t>Kwota wynikająca z dokonanej waloryzacji zostanie naliczona po zakończeniu realizacji przedmiotu Umowy. Wykonawca przedstawi Zamawiającemu do sprawdzenia przeliczone w ramach waloryzacji wartości robót nie później niż 7 dni od daty zakończenia realizacji Umowy, a po akceptacji będą one stanowiły podstawę do podpisania aneksu zmieniającego wysokość wynagrodzenia za wykonanie przedmiotu Umowy.</w:t>
      </w:r>
    </w:p>
    <w:p w:rsidR="005E0FE0" w:rsidRPr="00943CE5" w:rsidRDefault="005E0FE0" w:rsidP="005E0FE0">
      <w:pPr>
        <w:spacing w:before="120"/>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12.</w:t>
      </w:r>
      <w:r w:rsidRPr="00943CE5">
        <w:rPr>
          <w:rStyle w:val="FontStyle203"/>
          <w:rFonts w:asciiTheme="minorHAnsi" w:hAnsiTheme="minorHAnsi" w:cstheme="minorHAnsi"/>
          <w:color w:val="auto"/>
          <w:sz w:val="22"/>
          <w:szCs w:val="22"/>
        </w:rPr>
        <w:tab/>
        <w:t>Kwota wynikająca z dokonanej waloryzacji zostanie wypłacona na podstawie faktury wystawionej przez Wykonawcę po dokonaniu odbioru końcowego przedmiotu Umowy.</w:t>
      </w:r>
    </w:p>
    <w:p w:rsidR="005E0FE0" w:rsidRPr="00943CE5" w:rsidRDefault="005E0FE0" w:rsidP="005E0FE0">
      <w:pPr>
        <w:pStyle w:val="Akapitzlist"/>
        <w:spacing w:before="120" w:line="250" w:lineRule="exact"/>
        <w:ind w:left="567" w:hanging="567"/>
        <w:jc w:val="both"/>
        <w:rPr>
          <w:rStyle w:val="FontStyle203"/>
          <w:rFonts w:asciiTheme="minorHAnsi" w:hAnsiTheme="minorHAnsi" w:cstheme="minorHAnsi"/>
          <w:color w:val="auto"/>
          <w:sz w:val="22"/>
          <w:szCs w:val="22"/>
        </w:rPr>
      </w:pPr>
      <w:r w:rsidRPr="00943CE5">
        <w:rPr>
          <w:rStyle w:val="FontStyle203"/>
          <w:rFonts w:asciiTheme="minorHAnsi" w:hAnsiTheme="minorHAnsi" w:cstheme="minorHAnsi"/>
          <w:color w:val="auto"/>
          <w:sz w:val="22"/>
          <w:szCs w:val="22"/>
        </w:rPr>
        <w:t>13.</w:t>
      </w:r>
      <w:r w:rsidRPr="00943CE5">
        <w:rPr>
          <w:rStyle w:val="FontStyle203"/>
          <w:rFonts w:asciiTheme="minorHAnsi" w:hAnsiTheme="minorHAnsi" w:cstheme="minorHAnsi"/>
          <w:color w:val="auto"/>
          <w:sz w:val="22"/>
          <w:szCs w:val="22"/>
        </w:rPr>
        <w:tab/>
        <w:t>Waloryzacja określona w ust. 7 - 12 nie może przekroczyć wysokości 5% wynagrodzenia za wykonanie robót budowlanych.</w:t>
      </w: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w:t>
      </w:r>
      <w:r w:rsidR="009B242C" w:rsidRPr="00EB2FAB">
        <w:rPr>
          <w:rFonts w:ascii="Calibri" w:hAnsi="Calibri" w:cs="Arial"/>
          <w:snapToGrid w:val="0"/>
        </w:rPr>
        <w:t xml:space="preserve">Inspektora Nadzoru Inwestorskiego </w:t>
      </w:r>
      <w:r w:rsidRPr="00EB2FAB">
        <w:rPr>
          <w:rFonts w:ascii="Calibri" w:hAnsi="Calibri" w:cs="Arial"/>
          <w:snapToGrid w:val="0"/>
        </w:rPr>
        <w:t xml:space="preserve">oraz Przedstawiciela Wykonawcy.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lastRenderedPageBreak/>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4E0975">
        <w:rPr>
          <w:rFonts w:ascii="Calibri" w:hAnsi="Calibri" w:cs="Arial"/>
        </w:rPr>
        <w:t>………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lastRenderedPageBreak/>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4" w:name="_Toc61833320"/>
      <w:r w:rsidRPr="00F12201">
        <w:rPr>
          <w:rFonts w:asciiTheme="minorHAnsi" w:hAnsiTheme="minorHAnsi"/>
          <w:color w:val="auto"/>
          <w:sz w:val="22"/>
        </w:rPr>
        <w:t>§ 11a</w:t>
      </w:r>
      <w:bookmarkEnd w:id="4"/>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5" w:name="_Toc61833321"/>
      <w:r w:rsidRPr="00F12201">
        <w:rPr>
          <w:rFonts w:asciiTheme="minorHAnsi" w:hAnsiTheme="minorHAnsi"/>
          <w:color w:val="auto"/>
          <w:sz w:val="22"/>
        </w:rPr>
        <w:t>Umowne prawo odstąpienia od Umowy</w:t>
      </w:r>
      <w:bookmarkEnd w:id="5"/>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Pzp,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jeżeli Wykonawca w chwili zawarcia umowy podlegał wykluczeniu na podstawie art. 108 ustawy Pzp;</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w:t>
      </w:r>
      <w:r w:rsidRPr="000B633A">
        <w:rPr>
          <w:rFonts w:ascii="Calibri" w:hAnsi="Calibri" w:cs="Arial"/>
        </w:rPr>
        <w:lastRenderedPageBreak/>
        <w:t xml:space="preserve">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lastRenderedPageBreak/>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lastRenderedPageBreak/>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AC" w:rsidRDefault="00F854AC" w:rsidP="009F1A56">
      <w:pPr>
        <w:spacing w:after="0" w:line="240" w:lineRule="auto"/>
      </w:pPr>
      <w:r>
        <w:separator/>
      </w:r>
    </w:p>
  </w:endnote>
  <w:endnote w:type="continuationSeparator" w:id="1">
    <w:p w:rsidR="00F854AC" w:rsidRDefault="00F854AC" w:rsidP="009F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28043"/>
      <w:docPartObj>
        <w:docPartGallery w:val="Page Numbers (Bottom of Page)"/>
        <w:docPartUnique/>
      </w:docPartObj>
    </w:sdtPr>
    <w:sdtContent>
      <w:p w:rsidR="004E0975" w:rsidRDefault="001B4547">
        <w:pPr>
          <w:pStyle w:val="Stopka"/>
          <w:jc w:val="right"/>
        </w:pPr>
        <w:fldSimple w:instr="PAGE   \* MERGEFORMAT">
          <w:r w:rsidR="002C622A">
            <w:rPr>
              <w:noProof/>
            </w:rPr>
            <w:t>10</w:t>
          </w:r>
        </w:fldSimple>
      </w:p>
    </w:sdtContent>
  </w:sdt>
  <w:p w:rsidR="004E0975" w:rsidRDefault="004E09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AC" w:rsidRDefault="00F854AC" w:rsidP="009F1A56">
      <w:pPr>
        <w:spacing w:after="0" w:line="240" w:lineRule="auto"/>
      </w:pPr>
      <w:r>
        <w:separator/>
      </w:r>
    </w:p>
  </w:footnote>
  <w:footnote w:type="continuationSeparator" w:id="1">
    <w:p w:rsidR="00F854AC" w:rsidRDefault="00F854AC" w:rsidP="009F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4C16B8"/>
    <w:rsid w:val="00004EEE"/>
    <w:rsid w:val="00006097"/>
    <w:rsid w:val="000374F6"/>
    <w:rsid w:val="00041BF8"/>
    <w:rsid w:val="00050AAD"/>
    <w:rsid w:val="00053BB5"/>
    <w:rsid w:val="00067CC9"/>
    <w:rsid w:val="0008728E"/>
    <w:rsid w:val="00096B39"/>
    <w:rsid w:val="000A1DCB"/>
    <w:rsid w:val="000A4E31"/>
    <w:rsid w:val="000B10B5"/>
    <w:rsid w:val="000B259A"/>
    <w:rsid w:val="000B633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FF1"/>
    <w:rsid w:val="003E7E12"/>
    <w:rsid w:val="003F5C43"/>
    <w:rsid w:val="0041074C"/>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6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FED2-868A-48C7-85A0-19D6F2BD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17</Pages>
  <Words>6859</Words>
  <Characters>41155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tomasz.jarkiewicz</cp:lastModifiedBy>
  <cp:revision>29</cp:revision>
  <cp:lastPrinted>2021-08-09T10:30:00Z</cp:lastPrinted>
  <dcterms:created xsi:type="dcterms:W3CDTF">2021-02-21T02:36:00Z</dcterms:created>
  <dcterms:modified xsi:type="dcterms:W3CDTF">2021-08-09T10:53:00Z</dcterms:modified>
</cp:coreProperties>
</file>