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53AF7305" w:rsidR="00BD129A" w:rsidRPr="001322D1" w:rsidRDefault="00C74B5D" w:rsidP="001322D1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173C03">
        <w:rPr>
          <w:rFonts w:asciiTheme="minorHAnsi" w:hAnsiTheme="minorHAnsi" w:cstheme="minorHAnsi"/>
          <w:b/>
          <w:bCs/>
        </w:rPr>
        <w:t>Z</w:t>
      </w:r>
      <w:r w:rsidR="00F1774C" w:rsidRPr="00F1774C">
        <w:rPr>
          <w:rFonts w:asciiTheme="minorHAnsi" w:hAnsiTheme="minorHAnsi" w:cstheme="minorHAnsi"/>
          <w:b/>
          <w:bCs/>
        </w:rPr>
        <w:t>akup ekranu wielkoformatowego LED wraz z usługą montażu w siedzibie Urzędu Marszałkowskiego Województwa Kujawsko-Pomorskiego w Toruniu przy ul. Plac Teatralny 2, 87-100 Toruń (Sprawa nr: ZW-I.272.113.2023)</w:t>
      </w:r>
      <w:r w:rsidR="0015760B" w:rsidRPr="00CE0101">
        <w:rPr>
          <w:rFonts w:asciiTheme="minorHAnsi" w:hAnsiTheme="minorHAnsi" w:cstheme="minorHAnsi"/>
        </w:rPr>
        <w:t>,</w:t>
      </w:r>
      <w:r w:rsidRPr="00CE0101">
        <w:rPr>
          <w:rFonts w:asciiTheme="minorHAnsi" w:hAnsiTheme="minorHAnsi" w:cstheme="minorHAnsi"/>
        </w:rPr>
        <w:t xml:space="preserve"> 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3CBAB753" w14:textId="7660214E" w:rsidR="00CE0101" w:rsidRDefault="00A84624" w:rsidP="00CE0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 realizację zamówienia: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</w:p>
    <w:p w14:paraId="4B56605B" w14:textId="2FEEECD0" w:rsidR="00C80FC5" w:rsidRPr="00C80FC5" w:rsidRDefault="00C80FC5" w:rsidP="00C80FC5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80FC5">
        <w:rPr>
          <w:sz w:val="24"/>
          <w:szCs w:val="24"/>
        </w:rPr>
        <w:t xml:space="preserve"> </w:t>
      </w:r>
      <w:r w:rsidRPr="00C80FC5">
        <w:rPr>
          <w:b/>
          <w:bCs/>
          <w:sz w:val="24"/>
          <w:szCs w:val="24"/>
        </w:rPr>
        <w:t>Łączne wynagrodzenie brutto</w:t>
      </w:r>
    </w:p>
    <w:p w14:paraId="58DB72F5" w14:textId="77777777" w:rsidR="00C80FC5" w:rsidRPr="00C80FC5" w:rsidRDefault="00C80FC5" w:rsidP="00C80FC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52F262F" w14:textId="5935AD0E" w:rsidR="00C80FC5" w:rsidRDefault="001322D1" w:rsidP="00C80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0FC5">
        <w:rPr>
          <w:sz w:val="24"/>
          <w:szCs w:val="24"/>
        </w:rPr>
        <w:t>……………………………………………………………………………………………</w:t>
      </w:r>
      <w:r w:rsidR="00F1774C">
        <w:rPr>
          <w:sz w:val="24"/>
          <w:szCs w:val="24"/>
        </w:rPr>
        <w:t>…………….</w:t>
      </w:r>
    </w:p>
    <w:p w14:paraId="60B92827" w14:textId="77777777" w:rsidR="00C80FC5" w:rsidRDefault="00C80FC5" w:rsidP="00C80FC5">
      <w:pPr>
        <w:spacing w:after="0" w:line="240" w:lineRule="auto"/>
        <w:jc w:val="both"/>
        <w:rPr>
          <w:sz w:val="24"/>
          <w:szCs w:val="24"/>
        </w:rPr>
      </w:pPr>
    </w:p>
    <w:p w14:paraId="2A669288" w14:textId="0AF8D900" w:rsidR="00C80FC5" w:rsidRPr="00C80FC5" w:rsidRDefault="001322D1" w:rsidP="00C80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0FC5" w:rsidRPr="00C80FC5">
        <w:rPr>
          <w:sz w:val="24"/>
          <w:szCs w:val="24"/>
        </w:rPr>
        <w:t>(słownie: ………………………</w:t>
      </w:r>
      <w:r w:rsidR="00C80FC5">
        <w:rPr>
          <w:sz w:val="24"/>
          <w:szCs w:val="24"/>
        </w:rPr>
        <w:t>………………………….</w:t>
      </w:r>
      <w:r w:rsidR="00C80FC5" w:rsidRPr="00C80FC5">
        <w:rPr>
          <w:sz w:val="24"/>
          <w:szCs w:val="24"/>
        </w:rPr>
        <w:t>………………………………….……).</w:t>
      </w:r>
    </w:p>
    <w:bookmarkEnd w:id="0"/>
    <w:p w14:paraId="61AB1D61" w14:textId="77777777" w:rsidR="001322D1" w:rsidRPr="00F1774C" w:rsidRDefault="001322D1" w:rsidP="00F1774C">
      <w:pPr>
        <w:spacing w:after="0" w:line="240" w:lineRule="auto"/>
        <w:jc w:val="both"/>
        <w:rPr>
          <w:sz w:val="24"/>
          <w:szCs w:val="24"/>
        </w:rPr>
      </w:pPr>
    </w:p>
    <w:p w14:paraId="3A7FE8BA" w14:textId="77777777" w:rsidR="00F1774C" w:rsidRPr="00F1774C" w:rsidRDefault="00F1774C" w:rsidP="00F1774C">
      <w:pPr>
        <w:pStyle w:val="Akapitzlist"/>
        <w:ind w:left="644"/>
        <w:rPr>
          <w:sz w:val="24"/>
          <w:szCs w:val="24"/>
        </w:rPr>
      </w:pPr>
      <w:r w:rsidRPr="00F1774C">
        <w:rPr>
          <w:b/>
          <w:bCs/>
          <w:sz w:val="24"/>
          <w:szCs w:val="24"/>
        </w:rPr>
        <w:t xml:space="preserve">Oświadczamy, że okres gwarancji wyniesie: </w:t>
      </w:r>
      <w:bookmarkStart w:id="1" w:name="_Hlk131514158"/>
      <w:r w:rsidRPr="00F1774C">
        <w:rPr>
          <w:b/>
          <w:bCs/>
          <w:sz w:val="24"/>
          <w:szCs w:val="24"/>
          <w:vertAlign w:val="superscript"/>
        </w:rPr>
        <w:footnoteReference w:id="1"/>
      </w:r>
      <w:bookmarkEnd w:id="1"/>
      <w:r w:rsidRPr="00F1774C">
        <w:rPr>
          <w:b/>
          <w:bCs/>
          <w:sz w:val="24"/>
          <w:szCs w:val="24"/>
        </w:rPr>
        <w:t xml:space="preserve"> </w:t>
      </w:r>
    </w:p>
    <w:p w14:paraId="78BF8E90" w14:textId="461485BD" w:rsidR="00F1774C" w:rsidRPr="00F1774C" w:rsidRDefault="00F1774C" w:rsidP="00F1774C">
      <w:pPr>
        <w:pStyle w:val="Akapitzlist"/>
        <w:ind w:left="1080"/>
        <w:rPr>
          <w:sz w:val="24"/>
          <w:szCs w:val="24"/>
        </w:rPr>
      </w:pPr>
      <w:bookmarkStart w:id="2" w:name="_Hlk144216826"/>
      <w:r w:rsidRPr="00F1774C">
        <w:rPr>
          <w:sz w:val="24"/>
          <w:szCs w:val="24"/>
        </w:rPr>
        <w:sym w:font="Symbol" w:char="F07F"/>
      </w:r>
      <w:r w:rsidRPr="00F1774C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F1774C">
        <w:rPr>
          <w:sz w:val="24"/>
          <w:szCs w:val="24"/>
        </w:rPr>
        <w:t xml:space="preserve"> miesięcy – 20 pkt</w:t>
      </w:r>
    </w:p>
    <w:p w14:paraId="67CD2E7C" w14:textId="5F004043" w:rsidR="00F1774C" w:rsidRPr="00F1774C" w:rsidRDefault="00F1774C" w:rsidP="00F1774C">
      <w:pPr>
        <w:pStyle w:val="Akapitzlist"/>
        <w:ind w:left="1080"/>
        <w:rPr>
          <w:sz w:val="24"/>
          <w:szCs w:val="24"/>
        </w:rPr>
      </w:pPr>
      <w:r w:rsidRPr="00F1774C">
        <w:rPr>
          <w:sz w:val="24"/>
          <w:szCs w:val="24"/>
        </w:rPr>
        <w:sym w:font="Symbol" w:char="F07F"/>
      </w:r>
      <w:r w:rsidRPr="00F177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F1774C">
        <w:rPr>
          <w:sz w:val="24"/>
          <w:szCs w:val="24"/>
        </w:rPr>
        <w:t xml:space="preserve">miesięcy – 0 pkt </w:t>
      </w:r>
    </w:p>
    <w:bookmarkEnd w:id="2"/>
    <w:p w14:paraId="2E0F8F11" w14:textId="77777777" w:rsid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6B2701BB" w14:textId="2208EA5B" w:rsidR="00F1774C" w:rsidRPr="003D0C91" w:rsidRDefault="00971FD8" w:rsidP="003D0C9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324584">
        <w:rPr>
          <w:b/>
          <w:bCs/>
          <w:sz w:val="24"/>
          <w:szCs w:val="24"/>
        </w:rPr>
        <w:t xml:space="preserve">Deklarujemy </w:t>
      </w:r>
      <w:r w:rsidR="00F1774C" w:rsidRPr="00971FD8">
        <w:rPr>
          <w:b/>
          <w:bCs/>
          <w:sz w:val="24"/>
          <w:szCs w:val="24"/>
        </w:rPr>
        <w:t>Funkcjonalność Screen Sharing:</w:t>
      </w:r>
      <w:r w:rsidR="005E0A4A">
        <w:rPr>
          <w:rStyle w:val="Odwoanieprzypisudolnego"/>
          <w:b/>
          <w:bCs/>
          <w:sz w:val="24"/>
          <w:szCs w:val="24"/>
        </w:rPr>
        <w:footnoteReference w:id="2"/>
      </w:r>
    </w:p>
    <w:p w14:paraId="1A71E8CD" w14:textId="77777777" w:rsidR="003D0C91" w:rsidRDefault="00971FD8" w:rsidP="003D0C91">
      <w:pPr>
        <w:ind w:left="1080"/>
        <w:contextualSpacing/>
        <w:rPr>
          <w:sz w:val="24"/>
          <w:szCs w:val="24"/>
        </w:rPr>
      </w:pPr>
      <w:r w:rsidRPr="00971FD8"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TAK</w:t>
      </w:r>
      <w:r w:rsidRPr="00971FD8">
        <w:rPr>
          <w:sz w:val="24"/>
          <w:szCs w:val="24"/>
        </w:rPr>
        <w:t>– 20 pkt</w:t>
      </w:r>
    </w:p>
    <w:p w14:paraId="744B9C30" w14:textId="1EFCC868" w:rsidR="001322D1" w:rsidRDefault="00971FD8" w:rsidP="003D0C91">
      <w:pPr>
        <w:ind w:left="1080"/>
        <w:contextualSpacing/>
        <w:rPr>
          <w:sz w:val="24"/>
          <w:szCs w:val="24"/>
        </w:rPr>
      </w:pPr>
      <w:r w:rsidRPr="00971FD8">
        <w:rPr>
          <w:sz w:val="24"/>
          <w:szCs w:val="24"/>
        </w:rPr>
        <w:sym w:font="Symbol" w:char="F07F"/>
      </w:r>
      <w:r w:rsidRPr="00971FD8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 w:rsidRPr="00971FD8">
        <w:rPr>
          <w:sz w:val="24"/>
          <w:szCs w:val="24"/>
        </w:rPr>
        <w:t xml:space="preserve"> – 0 pkt </w:t>
      </w:r>
    </w:p>
    <w:p w14:paraId="5BFDA4FB" w14:textId="77777777" w:rsidR="00C803B6" w:rsidRPr="00972D61" w:rsidRDefault="00C803B6" w:rsidP="00F14A87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lastRenderedPageBreak/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4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 xml:space="preserve">Oświadczamy, że zostaliśmy poinformowani, że możemy wydzielić z oferty informacje stanowiące tajemnicę przedsiębiorstwa w rozumieniu przepisów o zwalczaniu </w:t>
      </w:r>
      <w:r w:rsidRPr="00972D61">
        <w:rPr>
          <w:sz w:val="24"/>
          <w:szCs w:val="24"/>
        </w:rPr>
        <w:lastRenderedPageBreak/>
        <w:t>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5"/>
      </w:r>
    </w:p>
    <w:p w14:paraId="1EA9315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5BB4CEBC" w:rsidR="00B736E5" w:rsidRPr="00173C03" w:rsidRDefault="00B736E5" w:rsidP="00173C03">
      <w:pPr>
        <w:pStyle w:val="Akapitzlist"/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Oświadczenie o niepodleganiu wykluczeniu oraz spełnianiu warunków udziału aktualne na dzień składania ofert stanowiące wstępne potwierdzenie spełniania warunków udziału w postępowaniu oraz brak podstaw wykluczenia (załącznik nr 1 do Swz);</w:t>
      </w:r>
    </w:p>
    <w:p w14:paraId="62D2C8FB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Oświadczenie dotyczące podwykonawstwa (załącznik nr 3 do Swz);</w:t>
      </w:r>
    </w:p>
    <w:p w14:paraId="6A55F6C4" w14:textId="2B81545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Swz) oraz oświadczenie podmiotu udostępniającego zasoby składane na podstawie art. 125 ust. 5 ustawy Pzp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Swz) – jeśli dotyczy;</w:t>
      </w:r>
    </w:p>
    <w:p w14:paraId="7EE8BE14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oświadczenie Wykonawców wspólnie ubiegających się o zamówienie (o którym mowa w dziale V pkt 5 Swz) – jeżeli dotyczy;</w:t>
      </w:r>
    </w:p>
    <w:p w14:paraId="1B2BFBF7" w14:textId="3DD32E56" w:rsidR="00C74335" w:rsidRDefault="00C74335" w:rsidP="00173C03">
      <w:p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173C03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971FD8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upoważnionej/yc</w:t>
      </w:r>
      <w:bookmarkStart w:id="3" w:name="_Hlk41299788"/>
      <w:bookmarkEnd w:id="3"/>
    </w:p>
    <w:sectPr w:rsidR="00C74B5D" w:rsidRPr="00C80FC5" w:rsidSect="005E0A4A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74FA" w14:textId="77777777" w:rsidR="007461E4" w:rsidRDefault="007461E4" w:rsidP="000A02B2">
      <w:pPr>
        <w:spacing w:after="0" w:line="240" w:lineRule="auto"/>
      </w:pPr>
      <w:r>
        <w:separator/>
      </w:r>
    </w:p>
  </w:endnote>
  <w:endnote w:type="continuationSeparator" w:id="0">
    <w:p w14:paraId="3A1B398C" w14:textId="77777777" w:rsidR="007461E4" w:rsidRDefault="007461E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4123" w14:textId="77777777" w:rsidR="007461E4" w:rsidRDefault="007461E4" w:rsidP="000A02B2">
      <w:pPr>
        <w:spacing w:after="0" w:line="240" w:lineRule="auto"/>
      </w:pPr>
      <w:r>
        <w:separator/>
      </w:r>
    </w:p>
  </w:footnote>
  <w:footnote w:type="continuationSeparator" w:id="0">
    <w:p w14:paraId="621C8760" w14:textId="77777777" w:rsidR="007461E4" w:rsidRDefault="007461E4" w:rsidP="000A02B2">
      <w:pPr>
        <w:spacing w:after="0" w:line="240" w:lineRule="auto"/>
      </w:pPr>
      <w:r>
        <w:continuationSeparator/>
      </w:r>
    </w:p>
  </w:footnote>
  <w:footnote w:id="1">
    <w:p w14:paraId="1C051288" w14:textId="799D45DF" w:rsidR="00F64DC6" w:rsidRDefault="00F1774C" w:rsidP="00F177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2E11">
        <w:t>Brak złożenia oświadczenia w tym zakresie oznacza, że wykonawca oferuje minimalny okres gwarancji i  oznacza przyznanie 0 pkt.</w:t>
      </w:r>
    </w:p>
  </w:footnote>
  <w:footnote w:id="2">
    <w:p w14:paraId="4B135E9A" w14:textId="7626B6E9" w:rsidR="005E0A4A" w:rsidRDefault="005E0A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0A4A">
        <w:t>Brak złożenia oświadczenia w tym zakresie oznacza, że Wykonawca nie oferuje Funkcjonalności Screen Sharing i oznacza przyznanie 0 pkt.</w:t>
      </w:r>
    </w:p>
  </w:footnote>
  <w:footnote w:id="3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4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5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4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1"/>
  </w:num>
  <w:num w:numId="13" w16cid:durableId="1660695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3"/>
  </w:num>
  <w:num w:numId="16" w16cid:durableId="1705669632">
    <w:abstractNumId w:val="16"/>
  </w:num>
  <w:num w:numId="17" w16cid:durableId="2082438161">
    <w:abstractNumId w:val="17"/>
  </w:num>
  <w:num w:numId="18" w16cid:durableId="2017998759">
    <w:abstractNumId w:val="15"/>
  </w:num>
  <w:num w:numId="19" w16cid:durableId="403456252">
    <w:abstractNumId w:val="9"/>
  </w:num>
  <w:num w:numId="20" w16cid:durableId="16467342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322D1"/>
    <w:rsid w:val="00142635"/>
    <w:rsid w:val="00142791"/>
    <w:rsid w:val="0015760B"/>
    <w:rsid w:val="0016429E"/>
    <w:rsid w:val="00173C03"/>
    <w:rsid w:val="0018236C"/>
    <w:rsid w:val="00184EB3"/>
    <w:rsid w:val="0019642D"/>
    <w:rsid w:val="001A5DDA"/>
    <w:rsid w:val="001B19C3"/>
    <w:rsid w:val="001D4793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321374"/>
    <w:rsid w:val="00324584"/>
    <w:rsid w:val="00343659"/>
    <w:rsid w:val="003563A4"/>
    <w:rsid w:val="0036287E"/>
    <w:rsid w:val="00364C59"/>
    <w:rsid w:val="003D0C91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0A4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461E4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1FD8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14A87"/>
    <w:rsid w:val="00F1774C"/>
    <w:rsid w:val="00F26ACB"/>
    <w:rsid w:val="00F27412"/>
    <w:rsid w:val="00F445B7"/>
    <w:rsid w:val="00F53B00"/>
    <w:rsid w:val="00F64183"/>
    <w:rsid w:val="00F64DC6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36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6</cp:revision>
  <cp:lastPrinted>2018-11-14T09:49:00Z</cp:lastPrinted>
  <dcterms:created xsi:type="dcterms:W3CDTF">2023-08-29T09:41:00Z</dcterms:created>
  <dcterms:modified xsi:type="dcterms:W3CDTF">2023-08-30T09:40:00Z</dcterms:modified>
</cp:coreProperties>
</file>