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106D6982" w:rsidR="00B84D5A" w:rsidRDefault="000F32FF" w:rsidP="000F32FF">
      <w:pPr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 w:cs="Arial"/>
          <w:sz w:val="22"/>
          <w:szCs w:val="22"/>
        </w:rPr>
        <w:t>Kruklanki,   26.10.2022 r.</w:t>
      </w:r>
    </w:p>
    <w:p w14:paraId="50756349" w14:textId="62CBF639" w:rsidR="000F32FF" w:rsidRDefault="000F32FF" w:rsidP="000F32FF">
      <w:pPr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SA.270.76.2022</w:t>
      </w:r>
    </w:p>
    <w:p w14:paraId="53D9A5DF" w14:textId="5FBD31CE" w:rsidR="000F32FF" w:rsidRDefault="000F32FF" w:rsidP="000F32FF">
      <w:pPr>
        <w:spacing w:before="120"/>
        <w:rPr>
          <w:rFonts w:ascii="Cambria" w:hAnsi="Cambria" w:cs="Arial"/>
          <w:sz w:val="22"/>
          <w:szCs w:val="22"/>
        </w:rPr>
      </w:pPr>
    </w:p>
    <w:p w14:paraId="782C84D9" w14:textId="4BAD5402" w:rsidR="000F32FF" w:rsidRPr="000F32FF" w:rsidRDefault="000F32FF" w:rsidP="000F32FF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Uzupełnienie do Załączników do Specyfikacji Warunków Zamówienia</w:t>
      </w:r>
    </w:p>
    <w:p w14:paraId="63D57DB9" w14:textId="6D90C945" w:rsidR="000F32FF" w:rsidRPr="000F32FF" w:rsidRDefault="000F32FF" w:rsidP="000F32FF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załączników nr 12 i 12a – wzory umów - dodaje się paragraf 16a o brzmieniu – jak niżej.</w:t>
      </w:r>
    </w:p>
    <w:p w14:paraId="7E86B2CC" w14:textId="77777777" w:rsidR="000F32FF" w:rsidRPr="000F32FF" w:rsidRDefault="000F32FF" w:rsidP="000F32FF">
      <w:pPr>
        <w:keepNext/>
        <w:suppressAutoHyphens w:val="0"/>
        <w:spacing w:before="240" w:after="240"/>
        <w:jc w:val="center"/>
        <w:outlineLvl w:val="0"/>
        <w:rPr>
          <w:rFonts w:ascii="Cambria" w:eastAsia="SimSun" w:hAnsi="Cambria" w:cs="Arial"/>
          <w:bCs/>
          <w:kern w:val="32"/>
          <w:sz w:val="22"/>
          <w:szCs w:val="22"/>
          <w:lang w:eastAsia="pl-PL"/>
        </w:rPr>
      </w:pPr>
      <w:r w:rsidRPr="000F32FF">
        <w:rPr>
          <w:rFonts w:ascii="Cambria" w:eastAsia="SimSun" w:hAnsi="Cambria" w:cs="Arial"/>
          <w:b/>
          <w:bCs/>
          <w:kern w:val="32"/>
          <w:sz w:val="22"/>
          <w:szCs w:val="22"/>
          <w:lang w:eastAsia="pl-PL"/>
        </w:rPr>
        <w:t>§ 16a</w:t>
      </w:r>
      <w:r w:rsidRPr="000F32FF">
        <w:rPr>
          <w:rFonts w:ascii="Cambria" w:eastAsia="SimSun" w:hAnsi="Cambria" w:cs="Arial"/>
          <w:b/>
          <w:kern w:val="32"/>
          <w:sz w:val="22"/>
          <w:szCs w:val="22"/>
          <w:lang w:eastAsia="pl-PL"/>
        </w:rPr>
        <w:br/>
        <w:t>Waloryzacja</w:t>
      </w:r>
    </w:p>
    <w:p w14:paraId="1086423C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SimSun" w:hAnsi="Cambria" w:cs="Arial"/>
          <w:sz w:val="22"/>
          <w:szCs w:val="22"/>
          <w:lang w:eastAsia="pl-PL"/>
        </w:rPr>
      </w:pPr>
      <w:r w:rsidRPr="000F32FF">
        <w:rPr>
          <w:rFonts w:ascii="Cambria" w:eastAsia="SimSun" w:hAnsi="Cambria" w:cs="Arial"/>
          <w:sz w:val="22"/>
          <w:szCs w:val="22"/>
          <w:lang w:eastAsia="pl-PL"/>
        </w:rPr>
        <w:t>1.</w:t>
      </w:r>
      <w:r w:rsidRPr="000F32FF">
        <w:rPr>
          <w:rFonts w:ascii="Cambria" w:eastAsia="SimSun" w:hAnsi="Cambria" w:cs="Arial"/>
          <w:sz w:val="22"/>
          <w:szCs w:val="22"/>
          <w:lang w:eastAsia="pl-PL"/>
        </w:rPr>
        <w:tab/>
        <w:t>Na zasadach opisanych w niniejszym paragrafie</w:t>
      </w:r>
      <w:r w:rsidRPr="000F32FF" w:rsidDel="00292242">
        <w:rPr>
          <w:rFonts w:ascii="Cambria" w:eastAsia="SimSun" w:hAnsi="Cambria" w:cs="Arial"/>
          <w:sz w:val="22"/>
          <w:szCs w:val="22"/>
          <w:lang w:eastAsia="pl-PL"/>
        </w:rPr>
        <w:t xml:space="preserve"> </w:t>
      </w:r>
      <w:r w:rsidRPr="000F32FF">
        <w:rPr>
          <w:rFonts w:ascii="Cambria" w:eastAsia="SimSun" w:hAnsi="Cambria" w:cs="Arial"/>
          <w:sz w:val="22"/>
          <w:szCs w:val="22"/>
          <w:lang w:eastAsia="pl-PL"/>
        </w:rPr>
        <w:t xml:space="preserve">Strony będą waloryzowały koszty realizacji czynności wchodzących w skład Przedmiotu Umowy („Waloryzacja”). Waloryzacja będzie polegała na podwyższeniu albo obniżeniu każdej z cen jednostkowych podanych w Kosztorysie Ofertowym zawartym w Ofercie. </w:t>
      </w:r>
    </w:p>
    <w:p w14:paraId="09A7B0AC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SimSun" w:hAnsi="Cambria" w:cs="Arial"/>
          <w:sz w:val="22"/>
          <w:szCs w:val="22"/>
          <w:lang w:eastAsia="pl-PL"/>
        </w:rPr>
        <w:t>2.</w:t>
      </w:r>
      <w:r w:rsidRPr="000F32FF">
        <w:rPr>
          <w:rFonts w:ascii="Cambria" w:eastAsia="SimSun" w:hAnsi="Cambria" w:cs="Arial"/>
          <w:sz w:val="22"/>
          <w:szCs w:val="22"/>
          <w:lang w:eastAsia="pl-PL"/>
        </w:rPr>
        <w:tab/>
        <w:t xml:space="preserve">Waloryzacja zostanie dokonana w oparciu o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(tekst jedn.: Dz. U. z 2022 r. poz. 504 z 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późn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. zm.). Do obliczenia Waloryzacji zostanie przyjęty: </w:t>
      </w:r>
    </w:p>
    <w:p w14:paraId="013164CB" w14:textId="77777777" w:rsidR="000F32FF" w:rsidRPr="000F32FF" w:rsidRDefault="000F32FF" w:rsidP="000F32FF">
      <w:pPr>
        <w:suppressAutoHyphens w:val="0"/>
        <w:spacing w:before="240" w:after="240"/>
        <w:ind w:left="1134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1)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Wskaźnik GUS za pierwszy kwartał roku 2023, z zastrzeżeniem, że jeżeli Umowa została zawarta po </w:t>
      </w:r>
      <w:bookmarkStart w:id="0" w:name="_Hlk116975612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ogłoszeniu komunikatu Prezesa Głównego Urzędu Statystycznego podającego Wskaźnik GUS za </w:t>
      </w:r>
      <w:bookmarkEnd w:id="0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pierwszy kwartał roku 2023, to wówczas do obliczenia Waloryzacji zostanie przyjęty Wskaźnik GUS wynikający z pierwszego (licząc od początkowego dnia realizacji Umowy, o którym mowa w § 3 ust. 1) komunikatu </w:t>
      </w:r>
      <w:bookmarkStart w:id="1" w:name="_Hlk116975564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Prezesa Głównego Urzędu Statystycznego podającego Wskaźnik GUS </w:t>
      </w:r>
      <w:bookmarkEnd w:id="1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(„I Wskaźnik GUS”);</w:t>
      </w:r>
    </w:p>
    <w:p w14:paraId="5EF47CF6" w14:textId="77777777" w:rsidR="000F32FF" w:rsidRPr="000F32FF" w:rsidRDefault="000F32FF" w:rsidP="000F32FF">
      <w:pPr>
        <w:suppressAutoHyphens w:val="0"/>
        <w:spacing w:before="240" w:after="240"/>
        <w:ind w:left="1134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2)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Wskaźnik GUS za drugi kwartał roku 2023 z zastrzeżeniem, że jeżeli Umowa została zawarta po ogłoszeniu komunikatu Prezesa Głównego Urzędu Statystycznego podającego Wskaźnik GUS za pierwszy kwartał roku 2023, </w:t>
      </w:r>
      <w:bookmarkStart w:id="2" w:name="_Hlk116914429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to wówczas do obliczenia Waloryzacji zostanie przyjęty Wskaźnik GUS wynikający z drugiego (licząc od początkowego dnia realizacji Umowy, o którym mowa w § 3 ust. 1) komunikatu Prezesa Głównego Urzędu Statystycznego podającego Wskaźnik GUS</w:t>
      </w:r>
      <w:bookmarkEnd w:id="2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(„II Wskaźnik GUS”)</w:t>
      </w:r>
    </w:p>
    <w:p w14:paraId="646AD291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SimSun" w:hAnsi="Cambria" w:cs="Arial"/>
          <w:sz w:val="22"/>
          <w:szCs w:val="22"/>
          <w:lang w:eastAsia="pl-PL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3.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W trakcie okresu realizacji Umowy, o którym mowa w § 3 ust. 1, Waloryzacja zostanie dokonana jednorazowo w dniu opublikowania II Wskaźnika GUS („Dzień Dokonania Waloryzacji”).</w:t>
      </w:r>
    </w:p>
    <w:p w14:paraId="711CEAE0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SimSun" w:hAnsi="Cambria" w:cs="Arial"/>
          <w:sz w:val="22"/>
          <w:szCs w:val="22"/>
          <w:lang w:eastAsia="pl-PL"/>
        </w:rPr>
        <w:t>4.</w:t>
      </w:r>
      <w:r w:rsidRPr="000F32FF">
        <w:rPr>
          <w:rFonts w:ascii="Cambria" w:eastAsia="SimSun" w:hAnsi="Cambria" w:cs="Arial"/>
          <w:sz w:val="22"/>
          <w:szCs w:val="22"/>
          <w:lang w:eastAsia="pl-PL"/>
        </w:rPr>
        <w:tab/>
        <w:t>Waloryzacja nie wymaga zawarcia aneksu do Umowy.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 oraz sposób obliczenia każdej z nich. </w:t>
      </w:r>
    </w:p>
    <w:p w14:paraId="7D6B8A48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5.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 ramach Waloryzacji nowa kwota każdej z cen jednostkowych zostanie ustalona w następujący sposób: </w:t>
      </w:r>
    </w:p>
    <w:p w14:paraId="21A4F68D" w14:textId="77777777" w:rsidR="000F32FF" w:rsidRPr="000F32FF" w:rsidRDefault="000F32FF" w:rsidP="000F32FF">
      <w:pPr>
        <w:suppressAutoHyphens w:val="0"/>
        <w:spacing w:before="240" w:after="240"/>
        <w:ind w:left="567"/>
        <w:jc w:val="both"/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</w:pP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= 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Cp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+(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Cp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x CPI</w:t>
      </w:r>
      <w:r w:rsidRPr="000F32FF"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  <w:t>I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) x 0,5 +(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Cp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x CPI</w:t>
      </w:r>
      <w:r w:rsidRPr="000F32FF"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  <w:t>II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) x 0,5</w:t>
      </w:r>
    </w:p>
    <w:p w14:paraId="50934594" w14:textId="77777777" w:rsidR="000F32FF" w:rsidRPr="000F32FF" w:rsidRDefault="000F32FF" w:rsidP="000F32FF">
      <w:pPr>
        <w:suppressAutoHyphens w:val="0"/>
        <w:spacing w:before="240" w:after="240"/>
        <w:ind w:left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lastRenderedPageBreak/>
        <w:t xml:space="preserve">gdzie: </w:t>
      </w:r>
    </w:p>
    <w:p w14:paraId="3CE12E1C" w14:textId="77777777" w:rsidR="000F32FF" w:rsidRPr="000F32FF" w:rsidRDefault="000F32FF" w:rsidP="000F32FF">
      <w:pPr>
        <w:suppressAutoHyphens w:val="0"/>
        <w:spacing w:before="240" w:after="240"/>
        <w:ind w:left="1418" w:hanging="851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to kwota danej nowej ceny jednostkowej po dokonaniu Waloryzacji (wyrażona w PLN);</w:t>
      </w:r>
    </w:p>
    <w:p w14:paraId="25B2BEDE" w14:textId="77777777" w:rsidR="000F32FF" w:rsidRPr="000F32FF" w:rsidRDefault="000F32FF" w:rsidP="000F32FF">
      <w:pPr>
        <w:suppressAutoHyphens w:val="0"/>
        <w:spacing w:before="240" w:after="240"/>
        <w:ind w:left="1418" w:hanging="851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Cp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to kwota danej ceny jednostkowej pierwotnie podana w kosztorysie zawartym w Ofercie (wyrażona w PLN);</w:t>
      </w:r>
    </w:p>
    <w:p w14:paraId="55510431" w14:textId="77777777" w:rsidR="000F32FF" w:rsidRPr="000F32FF" w:rsidRDefault="000F32FF" w:rsidP="000F32FF">
      <w:pPr>
        <w:suppressAutoHyphens w:val="0"/>
        <w:spacing w:before="240" w:after="240"/>
        <w:ind w:left="1418" w:hanging="851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CPI</w:t>
      </w:r>
      <w:r w:rsidRPr="000F32FF"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  <w:t>I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to procentowa wartość wzrostu cen wynikająca z I Wskaźnika GUS (wyrażona jako %);</w:t>
      </w:r>
    </w:p>
    <w:p w14:paraId="201AB8D3" w14:textId="77777777" w:rsidR="000F32FF" w:rsidRPr="000F32FF" w:rsidRDefault="000F32FF" w:rsidP="000F32FF">
      <w:pPr>
        <w:suppressAutoHyphens w:val="0"/>
        <w:spacing w:before="240" w:after="240"/>
        <w:ind w:left="2268" w:hanging="850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bookmarkStart w:id="3" w:name="_Hlk116648587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Z zastrzeżeniem, że w przypadku, gdy: </w:t>
      </w:r>
    </w:p>
    <w:p w14:paraId="3C313525" w14:textId="77777777" w:rsidR="000F32FF" w:rsidRPr="000F32FF" w:rsidRDefault="000F32FF" w:rsidP="000F32FF">
      <w:pPr>
        <w:suppressAutoHyphens w:val="0"/>
        <w:spacing w:before="240" w:after="240"/>
        <w:ind w:left="2268" w:hanging="850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(i)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wartość wzrostu cen wynikająca z I Wskaźnika GUS będzie mniejsza niż 2% to wówczas do obliczenia 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zostanie przyjęta wartość 0 (zero); </w:t>
      </w:r>
    </w:p>
    <w:p w14:paraId="46D092A6" w14:textId="77777777" w:rsidR="000F32FF" w:rsidRPr="000F32FF" w:rsidRDefault="000F32FF" w:rsidP="000F32FF">
      <w:pPr>
        <w:suppressAutoHyphens w:val="0"/>
        <w:spacing w:before="240" w:after="240"/>
        <w:ind w:left="2268" w:hanging="850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(ii)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wartość spadku cen wynikająca z I Wskaźnika GUS będzie mniejsza niż 2% to wówczas do obliczenia 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zostanie przyjęta wartość 0 (zero); </w:t>
      </w:r>
    </w:p>
    <w:bookmarkEnd w:id="3"/>
    <w:p w14:paraId="4A96CBB6" w14:textId="77777777" w:rsidR="000F32FF" w:rsidRPr="000F32FF" w:rsidRDefault="000F32FF" w:rsidP="000F32FF">
      <w:pPr>
        <w:suppressAutoHyphens w:val="0"/>
        <w:spacing w:before="240" w:after="240"/>
        <w:ind w:left="1418" w:hanging="851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CPI</w:t>
      </w:r>
      <w:r w:rsidRPr="000F32FF"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  <w:t>II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to procentowa wartość wzrostu cen wynikająca w II Wskaźnika GUS (wyrażona jako %);</w:t>
      </w:r>
    </w:p>
    <w:p w14:paraId="1611E40E" w14:textId="77777777" w:rsidR="000F32FF" w:rsidRPr="000F32FF" w:rsidRDefault="000F32FF" w:rsidP="000F32FF">
      <w:pPr>
        <w:suppressAutoHyphens w:val="0"/>
        <w:spacing w:before="240" w:after="240"/>
        <w:ind w:left="2268" w:hanging="850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Z zastrzeżeniem, że w przypadku, gdy: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</w:r>
    </w:p>
    <w:p w14:paraId="4766A5E2" w14:textId="77777777" w:rsidR="000F32FF" w:rsidRPr="000F32FF" w:rsidRDefault="000F32FF" w:rsidP="000F32FF">
      <w:pPr>
        <w:suppressAutoHyphens w:val="0"/>
        <w:spacing w:before="240" w:after="240"/>
        <w:ind w:left="2268" w:hanging="850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(i)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wartość wzrostu cen wynikająca z II Wskaźnika GUS będzie mniejsza niż 2% to wówczas do obliczenia 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zostanie przyjęta wartość 0 (zero); </w:t>
      </w:r>
    </w:p>
    <w:p w14:paraId="47F69CCD" w14:textId="77777777" w:rsidR="000F32FF" w:rsidRPr="000F32FF" w:rsidRDefault="000F32FF" w:rsidP="000F32FF">
      <w:pPr>
        <w:suppressAutoHyphens w:val="0"/>
        <w:spacing w:before="240" w:after="240"/>
        <w:ind w:left="2268" w:hanging="850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(ii)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wartość spadku cen wynikająca z II Wskaźnika GUS będzie mniejsza niż 2% to wówczas do obliczenia </w:t>
      </w:r>
      <w:proofErr w:type="spellStart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Cn</w:t>
      </w:r>
      <w:proofErr w:type="spellEnd"/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zostanie przyjęta wartość 0 (zero); </w:t>
      </w:r>
    </w:p>
    <w:p w14:paraId="5AEA4C2C" w14:textId="77777777" w:rsidR="000F32FF" w:rsidRPr="000F32FF" w:rsidRDefault="000F32FF" w:rsidP="000F32FF">
      <w:pPr>
        <w:suppressAutoHyphens w:val="0"/>
        <w:spacing w:before="240" w:after="240"/>
        <w:ind w:left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W przypadku, gdy wartość CPI</w:t>
      </w:r>
      <w:r w:rsidRPr="000F32FF"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  <w:t>I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wynosić będzie 0 (zero) oraz wartość CPI</w:t>
      </w:r>
      <w:r w:rsidRPr="000F32FF">
        <w:rPr>
          <w:rFonts w:ascii="Cambria" w:eastAsia="Calibri" w:hAnsi="Cambria" w:cs="Calibri Light"/>
          <w:sz w:val="22"/>
          <w:szCs w:val="22"/>
          <w:vertAlign w:val="subscript"/>
          <w:lang w:eastAsia="en-US"/>
        </w:rPr>
        <w:t>II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 wynosić będzie 0 (zero) to wówczas Waloryzacja nie będzie dokonywana. </w:t>
      </w:r>
    </w:p>
    <w:p w14:paraId="69791CCF" w14:textId="77777777" w:rsidR="000F32FF" w:rsidRPr="000F32FF" w:rsidRDefault="000F32FF" w:rsidP="000F32FF">
      <w:pPr>
        <w:suppressAutoHyphens w:val="0"/>
        <w:spacing w:before="240" w:after="240"/>
        <w:ind w:left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Wyniki mnożenia zostaną zaokrąglone do dwóch miejsc po przecinku. </w:t>
      </w:r>
    </w:p>
    <w:p w14:paraId="66530F75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6.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8. </w:t>
      </w:r>
    </w:p>
    <w:p w14:paraId="1B84E8AD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7.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Nowe (zwaloryzowane) ceny jednostkowe będą zastosowane do określenia: </w:t>
      </w:r>
    </w:p>
    <w:p w14:paraId="54DF0146" w14:textId="77777777" w:rsidR="000F32FF" w:rsidRPr="000F32FF" w:rsidRDefault="000F32FF" w:rsidP="000F32FF">
      <w:pPr>
        <w:suppressAutoHyphens w:val="0"/>
        <w:spacing w:before="240" w:after="240"/>
        <w:ind w:left="1134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1)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wartości prac objętych Zleceniem jako podstawy wymiaru kary umownej, o której mowa w § 13 ust. 1 pkt 2 naliczanej w związku z czynnościami zleconymi po Dniu Dokonania Waloryzacji. </w:t>
      </w:r>
    </w:p>
    <w:p w14:paraId="0A40BEC3" w14:textId="77777777" w:rsidR="000F32FF" w:rsidRPr="000F32FF" w:rsidRDefault="000F32FF" w:rsidP="000F32FF">
      <w:pPr>
        <w:suppressAutoHyphens w:val="0"/>
        <w:spacing w:before="240" w:after="240"/>
        <w:ind w:left="1134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2)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Wartości Przedmiotu Umowy jako podstawy wymiaru kary umownej, o której mowa w § 13 ust. 3 naliczanej po Dniu Dokonania Waloryzacji. </w:t>
      </w:r>
    </w:p>
    <w:p w14:paraId="70E2FAA1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8.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 w:rsidRPr="000F32FF">
        <w:rPr>
          <w:rFonts w:ascii="Cambria" w:eastAsia="SimSun" w:hAnsi="Cambria" w:cs="Arial"/>
          <w:sz w:val="22"/>
          <w:szCs w:val="22"/>
          <w:lang w:eastAsia="pl-PL"/>
        </w:rPr>
        <w:t xml:space="preserve"> 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 xml:space="preserve">podanych w Kosztorysie Ofertowym zawartym w Ofercie. </w:t>
      </w:r>
    </w:p>
    <w:p w14:paraId="4EB5F0BE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lastRenderedPageBreak/>
        <w:t>9.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Strony ustalają maksymalną wartość obniżenia albo wzrostu Wartości Przedmiotu Umowy w efekcie zastosowania Waloryzacji na poziomie nie większym niż 15 % Wartości Przedmiotu Umowy.</w:t>
      </w:r>
    </w:p>
    <w:p w14:paraId="34E18569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10.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 xml:space="preserve">W związku z dokonaniem Waloryzacji Zabezpieczenie nie ulegnie zmianie. </w:t>
      </w:r>
    </w:p>
    <w:p w14:paraId="4AC7E58F" w14:textId="77777777" w:rsidR="000F32FF" w:rsidRPr="000F32FF" w:rsidRDefault="000F32FF" w:rsidP="000F32FF">
      <w:pPr>
        <w:suppressAutoHyphens w:val="0"/>
        <w:spacing w:before="240" w:after="240"/>
        <w:ind w:left="567" w:hanging="567"/>
        <w:jc w:val="both"/>
        <w:rPr>
          <w:rFonts w:ascii="Cambria" w:eastAsia="Calibri" w:hAnsi="Cambria" w:cs="Calibri Light"/>
          <w:sz w:val="22"/>
          <w:szCs w:val="22"/>
          <w:lang w:eastAsia="en-US"/>
        </w:rPr>
      </w:pP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>11.</w:t>
      </w:r>
      <w:r w:rsidRPr="000F32FF">
        <w:rPr>
          <w:rFonts w:ascii="Cambria" w:eastAsia="Calibri" w:hAnsi="Cambria" w:cs="Calibri Light"/>
          <w:sz w:val="22"/>
          <w:szCs w:val="22"/>
          <w:lang w:eastAsia="en-US"/>
        </w:rPr>
        <w:tab/>
        <w:t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oraz (ii) okres obowiązywania umowy przekracza 6 miesięcy.</w:t>
      </w:r>
    </w:p>
    <w:p w14:paraId="4394325D" w14:textId="202B412F" w:rsidR="000F32FF" w:rsidRDefault="000F32FF" w:rsidP="000F32FF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6D1ABD2" w14:textId="77777777" w:rsidR="00581B34" w:rsidRDefault="00581B34" w:rsidP="000F32FF">
      <w:pPr>
        <w:spacing w:before="120"/>
        <w:rPr>
          <w:rFonts w:ascii="Arial" w:hAnsi="Arial" w:cs="Arial"/>
          <w:sz w:val="24"/>
          <w:szCs w:val="24"/>
        </w:rPr>
      </w:pPr>
      <w:r w:rsidRPr="00581B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367076C1" w14:textId="403EC105" w:rsidR="00581B34" w:rsidRPr="00581B34" w:rsidRDefault="00581B34" w:rsidP="000F32FF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581B34">
        <w:rPr>
          <w:rFonts w:ascii="Arial" w:hAnsi="Arial" w:cs="Arial"/>
          <w:sz w:val="24"/>
          <w:szCs w:val="24"/>
        </w:rPr>
        <w:t>Nadleśniczy Adam Morko</w:t>
      </w:r>
    </w:p>
    <w:sectPr w:rsidR="00581B34" w:rsidRPr="00581B3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9B9E" w14:textId="77777777" w:rsidR="00A26B20" w:rsidRDefault="00A26B20">
      <w:r>
        <w:separator/>
      </w:r>
    </w:p>
  </w:endnote>
  <w:endnote w:type="continuationSeparator" w:id="0">
    <w:p w14:paraId="1E57186B" w14:textId="77777777" w:rsidR="00A26B20" w:rsidRDefault="00A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2670" w14:textId="77777777" w:rsidR="00A26B20" w:rsidRDefault="00A26B20">
      <w:r>
        <w:separator/>
      </w:r>
    </w:p>
  </w:footnote>
  <w:footnote w:type="continuationSeparator" w:id="0">
    <w:p w14:paraId="1C95EC4F" w14:textId="77777777" w:rsidR="00A26B20" w:rsidRDefault="00A2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32FF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B72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ACB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1B34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36B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6B20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24B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091"/>
    <w:rsid w:val="00C93D58"/>
    <w:rsid w:val="00C943F4"/>
    <w:rsid w:val="00C947C9"/>
    <w:rsid w:val="00C95132"/>
    <w:rsid w:val="00C95287"/>
    <w:rsid w:val="00C97A3C"/>
    <w:rsid w:val="00CA0C66"/>
    <w:rsid w:val="00CA109B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F3C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Marczak</cp:lastModifiedBy>
  <cp:revision>9</cp:revision>
  <cp:lastPrinted>2022-10-26T06:48:00Z</cp:lastPrinted>
  <dcterms:created xsi:type="dcterms:W3CDTF">2022-06-26T12:59:00Z</dcterms:created>
  <dcterms:modified xsi:type="dcterms:W3CDTF">2022-10-26T07:00:00Z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