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3C" w:rsidRPr="00CA2A3C" w:rsidRDefault="00CA2A3C" w:rsidP="00CA2A3C">
      <w:pPr>
        <w:numPr>
          <w:ilvl w:val="1"/>
          <w:numId w:val="0"/>
        </w:numPr>
        <w:tabs>
          <w:tab w:val="left" w:pos="567"/>
          <w:tab w:val="left" w:pos="709"/>
        </w:tabs>
        <w:spacing w:after="0" w:line="276" w:lineRule="auto"/>
        <w:ind w:left="567" w:hanging="567"/>
        <w:jc w:val="right"/>
        <w:outlineLvl w:val="1"/>
        <w:rPr>
          <w:rFonts w:ascii="Cambria" w:eastAsia="Times New Roman" w:hAnsi="Cambria" w:cs="Calibri"/>
          <w:b/>
          <w:bCs/>
          <w:iCs/>
        </w:rPr>
      </w:pPr>
      <w:r w:rsidRPr="00CA2A3C">
        <w:rPr>
          <w:rFonts w:ascii="Cambria" w:eastAsia="Times New Roman" w:hAnsi="Cambria" w:cs="Calibri"/>
          <w:b/>
          <w:bCs/>
          <w:iCs/>
        </w:rPr>
        <w:t>Załącznik nr 1 do SWZ/</w:t>
      </w:r>
    </w:p>
    <w:p w:rsidR="00CA2A3C" w:rsidRPr="00CA2A3C" w:rsidRDefault="00CA2A3C" w:rsidP="00CA2A3C">
      <w:pPr>
        <w:numPr>
          <w:ilvl w:val="1"/>
          <w:numId w:val="0"/>
        </w:numPr>
        <w:tabs>
          <w:tab w:val="left" w:pos="567"/>
          <w:tab w:val="left" w:pos="709"/>
        </w:tabs>
        <w:spacing w:after="0" w:line="276" w:lineRule="auto"/>
        <w:ind w:left="567" w:hanging="567"/>
        <w:jc w:val="right"/>
        <w:outlineLvl w:val="1"/>
        <w:rPr>
          <w:rFonts w:ascii="Cambria" w:eastAsia="Times New Roman" w:hAnsi="Cambria" w:cs="Calibri"/>
          <w:bCs/>
          <w:i/>
          <w:iCs/>
        </w:rPr>
      </w:pPr>
      <w:r w:rsidRPr="00CA2A3C">
        <w:rPr>
          <w:rFonts w:ascii="Cambria" w:eastAsia="Times New Roman" w:hAnsi="Cambria" w:cs="Calibri"/>
          <w:bCs/>
          <w:i/>
          <w:iCs/>
        </w:rPr>
        <w:t>Załącznik nr 1 do projektowanych postanowień umowy</w:t>
      </w:r>
    </w:p>
    <w:p w:rsidR="00CA2A3C" w:rsidRDefault="00CA2A3C" w:rsidP="00CA2A3C">
      <w:pPr>
        <w:numPr>
          <w:ilvl w:val="1"/>
          <w:numId w:val="0"/>
        </w:numPr>
        <w:tabs>
          <w:tab w:val="left" w:pos="567"/>
          <w:tab w:val="left" w:pos="709"/>
        </w:tabs>
        <w:spacing w:after="0" w:line="276" w:lineRule="auto"/>
        <w:ind w:left="567" w:hanging="567"/>
        <w:jc w:val="both"/>
        <w:outlineLvl w:val="1"/>
        <w:rPr>
          <w:rFonts w:ascii="Cambria" w:eastAsia="Times New Roman" w:hAnsi="Cambria" w:cs="Calibri"/>
          <w:b/>
          <w:bCs/>
          <w:iCs/>
        </w:rPr>
      </w:pPr>
    </w:p>
    <w:p w:rsidR="00CA2A3C" w:rsidRPr="00CA2A3C" w:rsidRDefault="00CA2A3C" w:rsidP="00CA2A3C">
      <w:pPr>
        <w:numPr>
          <w:ilvl w:val="1"/>
          <w:numId w:val="0"/>
        </w:numPr>
        <w:tabs>
          <w:tab w:val="left" w:pos="567"/>
          <w:tab w:val="left" w:pos="709"/>
        </w:tabs>
        <w:spacing w:after="0" w:line="276" w:lineRule="auto"/>
        <w:ind w:left="567" w:hanging="567"/>
        <w:jc w:val="both"/>
        <w:outlineLvl w:val="1"/>
        <w:rPr>
          <w:rFonts w:ascii="Cambria" w:eastAsia="Times New Roman" w:hAnsi="Cambria" w:cs="Calibri"/>
          <w:b/>
          <w:bCs/>
          <w:iCs/>
        </w:rPr>
      </w:pPr>
    </w:p>
    <w:p w:rsidR="00CA2A3C" w:rsidRPr="00CA2A3C" w:rsidRDefault="00CA2A3C" w:rsidP="00CA2A3C">
      <w:pPr>
        <w:numPr>
          <w:ilvl w:val="1"/>
          <w:numId w:val="0"/>
        </w:numPr>
        <w:tabs>
          <w:tab w:val="left" w:pos="567"/>
          <w:tab w:val="left" w:pos="709"/>
        </w:tabs>
        <w:spacing w:after="0" w:line="276" w:lineRule="auto"/>
        <w:ind w:left="567" w:hanging="567"/>
        <w:jc w:val="center"/>
        <w:outlineLvl w:val="1"/>
        <w:rPr>
          <w:rFonts w:ascii="Cambria" w:eastAsia="Times New Roman" w:hAnsi="Cambria" w:cs="Calibri"/>
          <w:b/>
          <w:bCs/>
          <w:iCs/>
        </w:rPr>
      </w:pPr>
      <w:r w:rsidRPr="00CA2A3C">
        <w:rPr>
          <w:rFonts w:ascii="Cambria" w:eastAsia="Times New Roman" w:hAnsi="Cambria" w:cs="Calibri"/>
          <w:b/>
          <w:bCs/>
          <w:iCs/>
        </w:rPr>
        <w:t>OPIS PRZEDMIOTU ZAMÓWIENIA</w:t>
      </w:r>
    </w:p>
    <w:p w:rsidR="00CA2A3C" w:rsidRPr="00625DF6" w:rsidRDefault="00CA2A3C" w:rsidP="00CA2A3C">
      <w:pPr>
        <w:numPr>
          <w:ilvl w:val="1"/>
          <w:numId w:val="0"/>
        </w:numPr>
        <w:tabs>
          <w:tab w:val="left" w:pos="567"/>
          <w:tab w:val="left" w:pos="709"/>
        </w:tabs>
        <w:spacing w:after="0" w:line="276" w:lineRule="auto"/>
        <w:ind w:left="567" w:hanging="567"/>
        <w:jc w:val="both"/>
        <w:outlineLvl w:val="1"/>
        <w:rPr>
          <w:rFonts w:ascii="Cambria" w:eastAsia="Times New Roman" w:hAnsi="Cambria" w:cs="Calibri"/>
          <w:bCs/>
          <w:iCs/>
        </w:rPr>
      </w:pPr>
    </w:p>
    <w:p w:rsidR="00CA2A3C" w:rsidRPr="00625DF6" w:rsidRDefault="00CA2A3C" w:rsidP="00CA2A3C">
      <w:pPr>
        <w:numPr>
          <w:ilvl w:val="1"/>
          <w:numId w:val="0"/>
        </w:numPr>
        <w:spacing w:after="0" w:line="276" w:lineRule="auto"/>
        <w:jc w:val="both"/>
        <w:outlineLvl w:val="1"/>
        <w:rPr>
          <w:rFonts w:ascii="Cambria" w:eastAsia="Times New Roman" w:hAnsi="Cambria" w:cs="Calibri"/>
          <w:b/>
          <w:bCs/>
          <w:iCs/>
        </w:rPr>
      </w:pPr>
      <w:r w:rsidRPr="00625DF6">
        <w:rPr>
          <w:rFonts w:ascii="Cambria" w:eastAsia="Times New Roman" w:hAnsi="Cambria" w:cs="Calibri"/>
          <w:bCs/>
          <w:iCs/>
        </w:rPr>
        <w:t xml:space="preserve">Przedmiotem zamówienia jest kompleksowa </w:t>
      </w:r>
      <w:bookmarkStart w:id="0" w:name="_Hlk106016717"/>
      <w:r w:rsidRPr="00625DF6">
        <w:rPr>
          <w:rFonts w:ascii="Cambria" w:eastAsia="Times New Roman" w:hAnsi="Cambria" w:cs="Calibri"/>
          <w:bCs/>
          <w:iCs/>
        </w:rPr>
        <w:t xml:space="preserve">dostawa i świadczenie usługi dystrybucji energii elektrycznej </w:t>
      </w:r>
      <w:bookmarkEnd w:id="0"/>
      <w:r w:rsidRPr="00625DF6">
        <w:rPr>
          <w:rFonts w:ascii="Cambria" w:eastAsia="Times New Roman" w:hAnsi="Cambria" w:cs="Calibri"/>
          <w:bCs/>
          <w:iCs/>
        </w:rPr>
        <w:t>do obiektu Instytutu Łączności – Państwowego Instytutu Badawczego w Warszawie ul. Szachowej 1, Przewodowej 116, 118, 120 i przepompowni ścieków</w:t>
      </w:r>
      <w:r w:rsidRPr="00625DF6">
        <w:rPr>
          <w:rFonts w:ascii="Cambria" w:eastAsia="Times New Roman" w:hAnsi="Cambria" w:cs="Calibri"/>
          <w:b/>
          <w:bCs/>
          <w:iCs/>
        </w:rPr>
        <w:t xml:space="preserve"> </w:t>
      </w:r>
    </w:p>
    <w:p w:rsidR="00CA2A3C" w:rsidRPr="00625DF6" w:rsidRDefault="00CA2A3C" w:rsidP="00A65690">
      <w:pPr>
        <w:tabs>
          <w:tab w:val="left" w:pos="567"/>
        </w:tabs>
        <w:spacing w:after="0" w:line="276" w:lineRule="auto"/>
        <w:jc w:val="both"/>
        <w:outlineLvl w:val="1"/>
        <w:rPr>
          <w:rFonts w:ascii="Cambria" w:eastAsia="Times New Roman" w:hAnsi="Cambria" w:cs="Calibri"/>
          <w:bCs/>
          <w:iCs/>
        </w:rPr>
      </w:pPr>
    </w:p>
    <w:p w:rsidR="00A65690" w:rsidRPr="00625DF6" w:rsidRDefault="00A65690" w:rsidP="00A65690">
      <w:pPr>
        <w:tabs>
          <w:tab w:val="left" w:pos="567"/>
        </w:tabs>
        <w:spacing w:after="0" w:line="276" w:lineRule="auto"/>
        <w:jc w:val="both"/>
        <w:outlineLvl w:val="1"/>
        <w:rPr>
          <w:rFonts w:ascii="Cambria" w:eastAsia="Times New Roman" w:hAnsi="Cambria" w:cs="Calibri"/>
          <w:bCs/>
          <w:iCs/>
        </w:rPr>
      </w:pPr>
      <w:r w:rsidRPr="00625DF6">
        <w:rPr>
          <w:rFonts w:ascii="Cambria" w:eastAsia="Times New Roman" w:hAnsi="Cambria" w:cs="Calibri"/>
          <w:bCs/>
          <w:iCs/>
        </w:rPr>
        <w:t>CPV:</w:t>
      </w:r>
      <w:r w:rsidRPr="00625DF6">
        <w:rPr>
          <w:rFonts w:ascii="Cambria" w:eastAsia="Times New Roman" w:hAnsi="Cambria" w:cs="Calibri"/>
          <w:bCs/>
          <w:iCs/>
        </w:rPr>
        <w:tab/>
      </w:r>
      <w:r w:rsidRPr="00625DF6">
        <w:rPr>
          <w:rFonts w:ascii="Cambria" w:eastAsia="Times New Roman" w:hAnsi="Cambria" w:cs="Calibri"/>
          <w:b/>
          <w:bCs/>
          <w:iCs/>
        </w:rPr>
        <w:t>09300000-2</w:t>
      </w:r>
      <w:r w:rsidRPr="00625DF6">
        <w:rPr>
          <w:rFonts w:ascii="Cambria" w:eastAsia="Times New Roman" w:hAnsi="Cambria" w:cs="Calibri"/>
          <w:bCs/>
          <w:iCs/>
        </w:rPr>
        <w:t xml:space="preserve"> energia elektryczna, cieplna, słoneczna i jądrowa;</w:t>
      </w:r>
    </w:p>
    <w:p w:rsidR="00A65690" w:rsidRPr="00625DF6" w:rsidRDefault="00A65690" w:rsidP="00A65690">
      <w:pPr>
        <w:tabs>
          <w:tab w:val="left" w:pos="567"/>
        </w:tabs>
        <w:spacing w:after="0" w:line="276" w:lineRule="auto"/>
        <w:jc w:val="both"/>
        <w:outlineLvl w:val="1"/>
        <w:rPr>
          <w:rFonts w:ascii="Cambria" w:eastAsia="Times New Roman" w:hAnsi="Cambria" w:cs="Calibri"/>
          <w:bCs/>
          <w:iCs/>
        </w:rPr>
      </w:pPr>
      <w:r w:rsidRPr="00625DF6">
        <w:rPr>
          <w:rFonts w:ascii="Cambria" w:eastAsia="Times New Roman" w:hAnsi="Cambria" w:cs="Calibri"/>
          <w:bCs/>
          <w:iCs/>
        </w:rPr>
        <w:tab/>
      </w:r>
      <w:r w:rsidRPr="00625DF6">
        <w:rPr>
          <w:rFonts w:ascii="Cambria" w:eastAsia="Times New Roman" w:hAnsi="Cambria" w:cs="Calibri"/>
          <w:b/>
          <w:bCs/>
          <w:iCs/>
        </w:rPr>
        <w:t>09310000-5</w:t>
      </w:r>
      <w:r w:rsidRPr="00625DF6">
        <w:rPr>
          <w:rFonts w:ascii="Cambria" w:eastAsia="Times New Roman" w:hAnsi="Cambria" w:cs="Calibri"/>
          <w:bCs/>
          <w:iCs/>
        </w:rPr>
        <w:t xml:space="preserve"> elektryczność.</w:t>
      </w:r>
    </w:p>
    <w:p w:rsidR="00A65690" w:rsidRPr="00625DF6" w:rsidRDefault="00A65690" w:rsidP="00A65690">
      <w:pPr>
        <w:tabs>
          <w:tab w:val="left" w:pos="567"/>
        </w:tabs>
        <w:spacing w:after="0" w:line="276" w:lineRule="auto"/>
        <w:jc w:val="both"/>
        <w:outlineLvl w:val="1"/>
        <w:rPr>
          <w:rFonts w:ascii="Cambria" w:eastAsia="Times New Roman" w:hAnsi="Cambria" w:cs="Calibri"/>
          <w:bCs/>
          <w:iCs/>
        </w:rPr>
      </w:pPr>
    </w:p>
    <w:p w:rsidR="00CA2A3C" w:rsidRPr="00625DF6" w:rsidRDefault="00CA2A3C" w:rsidP="00CA2A3C">
      <w:pPr>
        <w:tabs>
          <w:tab w:val="left" w:pos="567"/>
        </w:tabs>
        <w:spacing w:after="0" w:line="276" w:lineRule="auto"/>
        <w:ind w:left="576" w:hanging="576"/>
        <w:jc w:val="both"/>
        <w:outlineLvl w:val="1"/>
        <w:rPr>
          <w:rFonts w:ascii="Cambria" w:eastAsia="Times New Roman" w:hAnsi="Cambria" w:cs="Calibri"/>
          <w:bCs/>
          <w:iCs/>
          <w:u w:val="single"/>
        </w:rPr>
      </w:pPr>
      <w:r w:rsidRPr="00625DF6">
        <w:rPr>
          <w:rFonts w:ascii="Cambria" w:eastAsia="Times New Roman" w:hAnsi="Cambria" w:cs="Calibri"/>
          <w:bCs/>
          <w:iCs/>
          <w:u w:val="single"/>
        </w:rPr>
        <w:t>Charakterystyka obiektu:</w:t>
      </w:r>
    </w:p>
    <w:p w:rsidR="00CA2A3C" w:rsidRPr="00625DF6" w:rsidRDefault="00CA2A3C" w:rsidP="00CA2A3C">
      <w:pPr>
        <w:tabs>
          <w:tab w:val="left" w:pos="567"/>
        </w:tabs>
        <w:spacing w:after="0" w:line="276" w:lineRule="auto"/>
        <w:ind w:left="567"/>
        <w:jc w:val="both"/>
        <w:outlineLvl w:val="1"/>
        <w:rPr>
          <w:rFonts w:ascii="Cambria" w:eastAsia="Times New Roman" w:hAnsi="Cambria" w:cs="Calibri"/>
          <w:bCs/>
          <w:iCs/>
          <w:u w:val="single"/>
        </w:rPr>
      </w:pP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  <w:b/>
        </w:rPr>
      </w:pPr>
      <w:r w:rsidRPr="00625DF6">
        <w:rPr>
          <w:rFonts w:ascii="Cambria" w:eastAsia="Calibri" w:hAnsi="Cambria" w:cs="Times New Roman"/>
          <w:b/>
        </w:rPr>
        <w:t>Zasilanie I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a) Adres: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Instytut Łączności PIB</w:t>
      </w:r>
    </w:p>
    <w:p w:rsidR="00CA2A3C" w:rsidRPr="00625DF6" w:rsidRDefault="00CA2A3C" w:rsidP="00CA2A3C">
      <w:pPr>
        <w:spacing w:after="0" w:line="276" w:lineRule="auto"/>
        <w:ind w:left="2832" w:firstLine="708"/>
        <w:rPr>
          <w:rFonts w:ascii="Cambria" w:eastAsia="Calibri" w:hAnsi="Cambria" w:cs="Times New Roman"/>
          <w:b/>
        </w:rPr>
      </w:pPr>
      <w:r w:rsidRPr="00625DF6">
        <w:rPr>
          <w:rFonts w:ascii="Cambria" w:eastAsia="Calibri" w:hAnsi="Cambria" w:cs="Times New Roman"/>
          <w:b/>
        </w:rPr>
        <w:t>04-894 Warszawa, ul. Szachowa 1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b) Miejsce dostarczania energii:</w:t>
      </w:r>
      <w:r w:rsidRPr="00625DF6">
        <w:rPr>
          <w:rFonts w:ascii="Cambria" w:eastAsia="Calibri" w:hAnsi="Cambria" w:cs="Times New Roman"/>
        </w:rPr>
        <w:tab/>
        <w:t>Budynek rozdzielni głównej średniego napięcia</w:t>
      </w:r>
    </w:p>
    <w:p w:rsidR="00CA2A3C" w:rsidRPr="00625DF6" w:rsidRDefault="00CA2A3C" w:rsidP="00CA2A3C">
      <w:pPr>
        <w:spacing w:after="0" w:line="276" w:lineRule="auto"/>
        <w:ind w:left="2832" w:firstLine="708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RGSN. TYP POLA IMC 500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c) Układ: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TN-C-S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d) Grupa taryfowa: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B21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e) Moc umowna: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350 kW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  <w:b/>
        </w:rPr>
      </w:pPr>
      <w:r w:rsidRPr="00625DF6">
        <w:rPr>
          <w:rFonts w:ascii="Cambria" w:eastAsia="Calibri" w:hAnsi="Cambria" w:cs="Times New Roman"/>
        </w:rPr>
        <w:t xml:space="preserve">f) Zużycie energii – prognoza: 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1 406 000 kWh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  <w:b/>
        </w:rPr>
      </w:pP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  <w:b/>
        </w:rPr>
      </w:pPr>
      <w:r w:rsidRPr="00625DF6">
        <w:rPr>
          <w:rFonts w:ascii="Cambria" w:eastAsia="Calibri" w:hAnsi="Cambria" w:cs="Times New Roman"/>
          <w:b/>
        </w:rPr>
        <w:t>Zasilanie II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a) Adres: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Instytut Łączności PIB</w:t>
      </w:r>
    </w:p>
    <w:p w:rsidR="00CA2A3C" w:rsidRPr="00625DF6" w:rsidRDefault="00CA2A3C" w:rsidP="00CA2A3C">
      <w:pPr>
        <w:spacing w:after="0" w:line="276" w:lineRule="auto"/>
        <w:ind w:left="2832" w:firstLine="708"/>
        <w:rPr>
          <w:rFonts w:ascii="Cambria" w:eastAsia="Calibri" w:hAnsi="Cambria" w:cs="Times New Roman"/>
          <w:b/>
        </w:rPr>
      </w:pPr>
      <w:r w:rsidRPr="00625DF6">
        <w:rPr>
          <w:rFonts w:ascii="Cambria" w:eastAsia="Calibri" w:hAnsi="Cambria" w:cs="Times New Roman"/>
          <w:b/>
        </w:rPr>
        <w:t>04-894 Warszawa, ul. Szachowa 1</w:t>
      </w:r>
    </w:p>
    <w:p w:rsidR="00CA2A3C" w:rsidRPr="00625DF6" w:rsidRDefault="00CA2A3C" w:rsidP="00CA2A3C">
      <w:pPr>
        <w:spacing w:after="0" w:line="276" w:lineRule="auto"/>
        <w:ind w:left="3540" w:hanging="3540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b) Miejsce dostarczania energii:</w:t>
      </w:r>
      <w:r w:rsidRPr="00625DF6">
        <w:rPr>
          <w:rFonts w:ascii="Cambria" w:eastAsia="Calibri" w:hAnsi="Cambria" w:cs="Times New Roman"/>
        </w:rPr>
        <w:tab/>
        <w:t>Przepompownia ścieków. Złącze w skrzynce licznikowej na słupie.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c) Układ: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TN-C-S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d) Grupa taryfowa: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C11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e) Moc umowna: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6,0 kW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 xml:space="preserve">f) Zużycie energii – prognoza: 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1 100 kWh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  <w:b/>
        </w:rPr>
      </w:pP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  <w:b/>
        </w:rPr>
      </w:pPr>
      <w:r w:rsidRPr="00625DF6">
        <w:rPr>
          <w:rFonts w:ascii="Cambria" w:eastAsia="Calibri" w:hAnsi="Cambria" w:cs="Times New Roman"/>
          <w:b/>
        </w:rPr>
        <w:t>Zasilanie III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a) Adres: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Instytut Łączności PIB</w:t>
      </w:r>
    </w:p>
    <w:p w:rsidR="00CA2A3C" w:rsidRPr="00625DF6" w:rsidRDefault="00CA2A3C" w:rsidP="00CA2A3C">
      <w:pPr>
        <w:spacing w:after="0" w:line="276" w:lineRule="auto"/>
        <w:ind w:left="2832" w:firstLine="708"/>
        <w:rPr>
          <w:rFonts w:ascii="Cambria" w:eastAsia="Calibri" w:hAnsi="Cambria" w:cs="Times New Roman"/>
          <w:b/>
        </w:rPr>
      </w:pPr>
      <w:r w:rsidRPr="00625DF6">
        <w:rPr>
          <w:rFonts w:ascii="Cambria" w:eastAsia="Calibri" w:hAnsi="Cambria" w:cs="Times New Roman"/>
          <w:b/>
        </w:rPr>
        <w:t>04-895 Warszawa, ul. Przewodowa 116</w:t>
      </w:r>
    </w:p>
    <w:p w:rsidR="00CA2A3C" w:rsidRPr="00625DF6" w:rsidRDefault="00CA2A3C" w:rsidP="00CA2A3C">
      <w:pPr>
        <w:spacing w:after="0" w:line="276" w:lineRule="auto"/>
        <w:ind w:left="3540" w:hanging="3540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b) Miejsce dostarczania energii:</w:t>
      </w:r>
      <w:r w:rsidRPr="00625DF6">
        <w:rPr>
          <w:rFonts w:ascii="Cambria" w:eastAsia="Calibri" w:hAnsi="Cambria" w:cs="Times New Roman"/>
        </w:rPr>
        <w:tab/>
        <w:t>Blok mieszkalny. Złącze kablowe w skrzynce rozdzielczej w budynku.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 xml:space="preserve">c) Układ: 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TN-C-S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d) Grupa taryfowa: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G11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e) Zużycie energii – prognoza: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40 kWh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  <w:b/>
        </w:rPr>
      </w:pP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  <w:b/>
        </w:rPr>
      </w:pPr>
      <w:r w:rsidRPr="00625DF6">
        <w:rPr>
          <w:rFonts w:ascii="Cambria" w:eastAsia="Calibri" w:hAnsi="Cambria" w:cs="Times New Roman"/>
          <w:b/>
        </w:rPr>
        <w:t>Zasilanie IV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a) Adres: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Instytut Łączności PIB</w:t>
      </w:r>
    </w:p>
    <w:p w:rsidR="00CA2A3C" w:rsidRPr="00625DF6" w:rsidRDefault="00CA2A3C" w:rsidP="00CA2A3C">
      <w:pPr>
        <w:spacing w:after="0" w:line="276" w:lineRule="auto"/>
        <w:ind w:left="2832" w:firstLine="708"/>
        <w:rPr>
          <w:rFonts w:ascii="Cambria" w:eastAsia="Calibri" w:hAnsi="Cambria" w:cs="Times New Roman"/>
          <w:b/>
        </w:rPr>
      </w:pPr>
      <w:r w:rsidRPr="00625DF6">
        <w:rPr>
          <w:rFonts w:ascii="Cambria" w:eastAsia="Calibri" w:hAnsi="Cambria" w:cs="Times New Roman"/>
          <w:b/>
        </w:rPr>
        <w:t>04-895 Warszawa, ul. Przewodowa 118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lastRenderedPageBreak/>
        <w:t>b) Miejsce dostarczania energii:</w:t>
      </w:r>
      <w:r w:rsidRPr="00625DF6">
        <w:rPr>
          <w:rFonts w:ascii="Cambria" w:eastAsia="Calibri" w:hAnsi="Cambria" w:cs="Times New Roman"/>
        </w:rPr>
        <w:tab/>
        <w:t>Blok mieszkalny. Złącze kablowe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w skrzynce rozdzielczej w budynku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c) Układ: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TN-C-S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d) Grupa taryfowa: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G11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e) Zużycie energii – prognoza: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40 kWh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  <w:b/>
        </w:rPr>
      </w:pP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  <w:b/>
        </w:rPr>
      </w:pPr>
      <w:r w:rsidRPr="00625DF6">
        <w:rPr>
          <w:rFonts w:ascii="Cambria" w:eastAsia="Calibri" w:hAnsi="Cambria" w:cs="Times New Roman"/>
          <w:b/>
        </w:rPr>
        <w:t>Zasilanie V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a) Adres:</w:t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Instytut Łączności PIB</w:t>
      </w:r>
    </w:p>
    <w:p w:rsidR="00CA2A3C" w:rsidRPr="00625DF6" w:rsidRDefault="00CA2A3C" w:rsidP="00CA2A3C">
      <w:pPr>
        <w:spacing w:after="0" w:line="276" w:lineRule="auto"/>
        <w:ind w:left="2832" w:firstLine="708"/>
        <w:rPr>
          <w:rFonts w:ascii="Cambria" w:eastAsia="Calibri" w:hAnsi="Cambria" w:cs="Times New Roman"/>
          <w:b/>
        </w:rPr>
      </w:pPr>
      <w:r w:rsidRPr="00625DF6">
        <w:rPr>
          <w:rFonts w:ascii="Cambria" w:eastAsia="Calibri" w:hAnsi="Cambria" w:cs="Times New Roman"/>
          <w:b/>
        </w:rPr>
        <w:t>04-895 Warszawa, ul. Przewodowa 120</w:t>
      </w:r>
    </w:p>
    <w:p w:rsidR="00A20146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b) Miejsce dostarczania energii:</w:t>
      </w:r>
      <w:r w:rsidRPr="00625DF6">
        <w:rPr>
          <w:rFonts w:ascii="Cambria" w:eastAsia="Calibri" w:hAnsi="Cambria" w:cs="Times New Roman"/>
        </w:rPr>
        <w:tab/>
        <w:t>Blok mieszkalny. Złącze kablowe</w:t>
      </w:r>
      <w:r w:rsidR="00A20146" w:rsidRPr="00625DF6">
        <w:rPr>
          <w:rFonts w:ascii="Cambria" w:eastAsia="Calibri" w:hAnsi="Cambria" w:cs="Times New Roman"/>
        </w:rPr>
        <w:t xml:space="preserve"> </w:t>
      </w:r>
      <w:r w:rsidRPr="00625DF6">
        <w:rPr>
          <w:rFonts w:ascii="Cambria" w:eastAsia="Calibri" w:hAnsi="Cambria" w:cs="Times New Roman"/>
        </w:rPr>
        <w:t>w skrzynce rozdzielczej</w:t>
      </w:r>
    </w:p>
    <w:p w:rsidR="00CA2A3C" w:rsidRPr="00625DF6" w:rsidRDefault="00CA2A3C" w:rsidP="00A20146">
      <w:pPr>
        <w:spacing w:after="0" w:line="276" w:lineRule="auto"/>
        <w:ind w:left="2832" w:firstLine="708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w budynku.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c) Układ:</w:t>
      </w:r>
      <w:r w:rsidR="00A20146" w:rsidRPr="00625DF6">
        <w:rPr>
          <w:rFonts w:ascii="Cambria" w:eastAsia="Calibri" w:hAnsi="Cambria" w:cs="Times New Roman"/>
        </w:rPr>
        <w:tab/>
      </w:r>
      <w:r w:rsidR="00A20146" w:rsidRPr="00625DF6">
        <w:rPr>
          <w:rFonts w:ascii="Cambria" w:eastAsia="Calibri" w:hAnsi="Cambria" w:cs="Times New Roman"/>
        </w:rPr>
        <w:tab/>
      </w:r>
      <w:r w:rsidR="00A20146"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TN-C-S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d) Grupa taryfowa:</w:t>
      </w:r>
      <w:r w:rsidR="00A20146" w:rsidRPr="00625DF6">
        <w:rPr>
          <w:rFonts w:ascii="Cambria" w:eastAsia="Calibri" w:hAnsi="Cambria" w:cs="Times New Roman"/>
        </w:rPr>
        <w:tab/>
      </w:r>
      <w:r w:rsidR="00A20146"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G11</w:t>
      </w:r>
    </w:p>
    <w:p w:rsidR="00CA2A3C" w:rsidRPr="00625DF6" w:rsidRDefault="00CA2A3C" w:rsidP="00CA2A3C">
      <w:pPr>
        <w:spacing w:after="0" w:line="276" w:lineRule="auto"/>
        <w:rPr>
          <w:rFonts w:ascii="Cambria" w:eastAsia="Calibri" w:hAnsi="Cambria" w:cs="Times New Roman"/>
        </w:rPr>
      </w:pPr>
      <w:r w:rsidRPr="00625DF6">
        <w:rPr>
          <w:rFonts w:ascii="Cambria" w:eastAsia="Calibri" w:hAnsi="Cambria" w:cs="Times New Roman"/>
        </w:rPr>
        <w:t>e) Zużycie energii – prognoza:</w:t>
      </w:r>
      <w:r w:rsidR="00A20146" w:rsidRPr="00625DF6">
        <w:rPr>
          <w:rFonts w:ascii="Cambria" w:eastAsia="Calibri" w:hAnsi="Cambria" w:cs="Times New Roman"/>
        </w:rPr>
        <w:tab/>
      </w:r>
      <w:r w:rsidRPr="00625DF6">
        <w:rPr>
          <w:rFonts w:ascii="Cambria" w:eastAsia="Calibri" w:hAnsi="Cambria" w:cs="Times New Roman"/>
        </w:rPr>
        <w:tab/>
        <w:t>40 kW</w:t>
      </w:r>
    </w:p>
    <w:p w:rsidR="00CA2A3C" w:rsidRPr="00625DF6" w:rsidRDefault="00CA2A3C" w:rsidP="00CA2A3C">
      <w:pPr>
        <w:tabs>
          <w:tab w:val="left" w:pos="567"/>
        </w:tabs>
        <w:spacing w:after="0" w:line="276" w:lineRule="auto"/>
        <w:jc w:val="both"/>
        <w:outlineLvl w:val="1"/>
        <w:rPr>
          <w:rFonts w:ascii="Cambria" w:eastAsia="Times New Roman" w:hAnsi="Cambria" w:cs="Calibri"/>
          <w:bCs/>
          <w:iCs/>
          <w:u w:val="single"/>
        </w:rPr>
      </w:pPr>
    </w:p>
    <w:p w:rsidR="00054119" w:rsidRPr="00625DF6" w:rsidRDefault="00CA2A3C" w:rsidP="00054119">
      <w:pPr>
        <w:numPr>
          <w:ilvl w:val="1"/>
          <w:numId w:val="0"/>
        </w:numPr>
        <w:tabs>
          <w:tab w:val="left" w:pos="0"/>
        </w:tabs>
        <w:spacing w:after="0" w:line="276" w:lineRule="auto"/>
        <w:jc w:val="both"/>
        <w:outlineLvl w:val="1"/>
        <w:rPr>
          <w:rFonts w:ascii="Cambria" w:eastAsia="Times New Roman" w:hAnsi="Cambria" w:cs="Times New Roman"/>
          <w:bCs/>
          <w:iCs/>
        </w:rPr>
      </w:pPr>
      <w:r w:rsidRPr="00625DF6">
        <w:rPr>
          <w:rFonts w:ascii="Cambria" w:eastAsia="Times New Roman" w:hAnsi="Cambria" w:cs="Times New Roman"/>
          <w:bCs/>
          <w:iCs/>
        </w:rPr>
        <w:t>Dostawa energii elektrycznej i świadczenie usług dystrybucji musi odbywać się zgodnie z</w:t>
      </w:r>
      <w:r w:rsidR="00A20146" w:rsidRPr="00625DF6">
        <w:rPr>
          <w:rFonts w:ascii="Cambria" w:eastAsia="Times New Roman" w:hAnsi="Cambria" w:cs="Times New Roman"/>
          <w:bCs/>
          <w:iCs/>
        </w:rPr>
        <w:t> </w:t>
      </w:r>
      <w:r w:rsidRPr="00625DF6">
        <w:rPr>
          <w:rFonts w:ascii="Cambria" w:eastAsia="Times New Roman" w:hAnsi="Cambria" w:cs="Times New Roman"/>
          <w:bCs/>
          <w:iCs/>
        </w:rPr>
        <w:t>obowiązującymi przepisami prawa a w szczególności z przepisami ustawy z dnia 10 kwietnia 1997 r. Prawo energetyczne (</w:t>
      </w:r>
      <w:hyperlink r:id="rId5" w:history="1">
        <w:r w:rsidRPr="00625DF6">
          <w:rPr>
            <w:rFonts w:ascii="Cambria" w:eastAsia="Times New Roman" w:hAnsi="Cambria" w:cs="Times New Roman"/>
            <w:bCs/>
            <w:iCs/>
          </w:rPr>
          <w:t>Dz.U. z 2021 r. poz. 716</w:t>
        </w:r>
      </w:hyperlink>
      <w:r w:rsidRPr="00625DF6">
        <w:rPr>
          <w:rFonts w:ascii="Cambria" w:eastAsia="Times New Roman" w:hAnsi="Cambria" w:cs="Times New Roman"/>
          <w:bCs/>
          <w:iCs/>
        </w:rPr>
        <w:t xml:space="preserve">, z </w:t>
      </w:r>
      <w:proofErr w:type="spellStart"/>
      <w:r w:rsidRPr="00625DF6">
        <w:rPr>
          <w:rFonts w:ascii="Cambria" w:eastAsia="Times New Roman" w:hAnsi="Cambria" w:cs="Times New Roman"/>
          <w:bCs/>
          <w:iCs/>
        </w:rPr>
        <w:t>późn</w:t>
      </w:r>
      <w:proofErr w:type="spellEnd"/>
      <w:r w:rsidRPr="00625DF6">
        <w:rPr>
          <w:rFonts w:ascii="Cambria" w:eastAsia="Times New Roman" w:hAnsi="Cambria" w:cs="Times New Roman"/>
          <w:bCs/>
          <w:iCs/>
        </w:rPr>
        <w:t>. zm.), przepisami wykonawczymi do tej ustawy, taryfą dla energii elektrycznej sprzedawcy, taryfą dla usług dystrybucji energii elektrycznej właściwego operatora systemu dystrybucyjnego (Taryfą OSD), instrukcją Ruchu i</w:t>
      </w:r>
      <w:r w:rsidR="00A20146" w:rsidRPr="00625DF6">
        <w:rPr>
          <w:rFonts w:ascii="Cambria" w:eastAsia="Times New Roman" w:hAnsi="Cambria" w:cs="Times New Roman"/>
          <w:bCs/>
          <w:iCs/>
        </w:rPr>
        <w:t> </w:t>
      </w:r>
      <w:r w:rsidRPr="00625DF6">
        <w:rPr>
          <w:rFonts w:ascii="Cambria" w:eastAsia="Times New Roman" w:hAnsi="Cambria" w:cs="Times New Roman"/>
          <w:bCs/>
          <w:iCs/>
        </w:rPr>
        <w:t>Eksploatacji Sieci Dystrybucyjnej (</w:t>
      </w:r>
      <w:proofErr w:type="spellStart"/>
      <w:r w:rsidRPr="00625DF6">
        <w:rPr>
          <w:rFonts w:ascii="Cambria" w:eastAsia="Times New Roman" w:hAnsi="Cambria" w:cs="Times New Roman"/>
          <w:bCs/>
          <w:iCs/>
        </w:rPr>
        <w:t>IRiESD</w:t>
      </w:r>
      <w:proofErr w:type="spellEnd"/>
      <w:r w:rsidRPr="00625DF6">
        <w:rPr>
          <w:rFonts w:ascii="Cambria" w:eastAsia="Times New Roman" w:hAnsi="Cambria" w:cs="Times New Roman"/>
          <w:bCs/>
          <w:iCs/>
        </w:rPr>
        <w:t>) oraz pozostałymi przepisami prawnymi</w:t>
      </w:r>
      <w:r w:rsidR="00054119" w:rsidRPr="00625DF6">
        <w:rPr>
          <w:rFonts w:ascii="Cambria" w:eastAsia="Times New Roman" w:hAnsi="Cambria" w:cs="Times New Roman"/>
          <w:bCs/>
          <w:iCs/>
        </w:rPr>
        <w:t>.</w:t>
      </w:r>
    </w:p>
    <w:p w:rsidR="00054119" w:rsidRPr="00625DF6" w:rsidRDefault="00054119" w:rsidP="00054119">
      <w:pPr>
        <w:numPr>
          <w:ilvl w:val="1"/>
          <w:numId w:val="0"/>
        </w:numPr>
        <w:tabs>
          <w:tab w:val="left" w:pos="0"/>
        </w:tabs>
        <w:spacing w:after="0" w:line="276" w:lineRule="auto"/>
        <w:jc w:val="both"/>
        <w:outlineLvl w:val="1"/>
        <w:rPr>
          <w:rFonts w:ascii="Cambria" w:eastAsia="Times New Roman" w:hAnsi="Cambria" w:cs="Times New Roman"/>
          <w:bCs/>
          <w:iCs/>
        </w:rPr>
      </w:pPr>
    </w:p>
    <w:p w:rsidR="00CA2A3C" w:rsidRPr="00625DF6" w:rsidRDefault="00CA2A3C" w:rsidP="00054119">
      <w:pPr>
        <w:numPr>
          <w:ilvl w:val="1"/>
          <w:numId w:val="0"/>
        </w:numPr>
        <w:tabs>
          <w:tab w:val="left" w:pos="0"/>
        </w:tabs>
        <w:spacing w:after="0" w:line="276" w:lineRule="auto"/>
        <w:jc w:val="both"/>
        <w:outlineLvl w:val="1"/>
        <w:rPr>
          <w:rFonts w:ascii="Cambria" w:eastAsia="Times New Roman" w:hAnsi="Cambria" w:cs="Times New Roman"/>
          <w:bCs/>
          <w:iCs/>
        </w:rPr>
      </w:pPr>
      <w:r w:rsidRPr="00625DF6">
        <w:rPr>
          <w:rFonts w:ascii="Cambria" w:eastAsia="Times New Roman" w:hAnsi="Cambria" w:cs="Times New Roman"/>
          <w:bCs/>
          <w:iCs/>
        </w:rPr>
        <w:t>Podane prognozowane zużycie ilości energii elektrycznej w okresie 12 miesięcy jest ilością szacunkową, przedstawioną w celu określenia zakresu i wartości zamówienia, co nie</w:t>
      </w:r>
      <w:r w:rsidR="00A20146" w:rsidRPr="00625DF6">
        <w:rPr>
          <w:rFonts w:ascii="Cambria" w:eastAsia="Times New Roman" w:hAnsi="Cambria" w:cs="Times New Roman"/>
          <w:bCs/>
          <w:iCs/>
        </w:rPr>
        <w:t> </w:t>
      </w:r>
      <w:r w:rsidRPr="00625DF6">
        <w:rPr>
          <w:rFonts w:ascii="Cambria" w:eastAsia="Times New Roman" w:hAnsi="Cambria" w:cs="Times New Roman"/>
          <w:bCs/>
          <w:iCs/>
        </w:rPr>
        <w:t>odzwierciedla rzeczywistego zużycia energii elektrycznej w czasie trwania umowy i w żadnym razie nie może być podstawą do jakichkolwiek roszczeń ze strony Wykonawcy, w szczególności w</w:t>
      </w:r>
      <w:r w:rsidR="00A20146" w:rsidRPr="00625DF6">
        <w:rPr>
          <w:rFonts w:ascii="Cambria" w:eastAsia="Times New Roman" w:hAnsi="Cambria" w:cs="Times New Roman"/>
          <w:bCs/>
          <w:iCs/>
        </w:rPr>
        <w:t> </w:t>
      </w:r>
      <w:r w:rsidRPr="00625DF6">
        <w:rPr>
          <w:rFonts w:ascii="Cambria" w:eastAsia="Times New Roman" w:hAnsi="Cambria" w:cs="Times New Roman"/>
          <w:bCs/>
          <w:iCs/>
        </w:rPr>
        <w:t>przypadku zakupu i zużycia mniejszej ilości energii.</w:t>
      </w:r>
    </w:p>
    <w:p w:rsidR="009F0B3D" w:rsidRPr="00625DF6" w:rsidRDefault="009F0B3D" w:rsidP="00A20146">
      <w:pPr>
        <w:numPr>
          <w:ilvl w:val="1"/>
          <w:numId w:val="0"/>
        </w:numPr>
        <w:tabs>
          <w:tab w:val="left" w:pos="0"/>
          <w:tab w:val="left" w:pos="709"/>
        </w:tabs>
        <w:spacing w:after="0" w:line="276" w:lineRule="auto"/>
        <w:jc w:val="both"/>
        <w:outlineLvl w:val="1"/>
        <w:rPr>
          <w:rFonts w:ascii="Cambria" w:eastAsia="Times New Roman" w:hAnsi="Cambria" w:cs="Times New Roman"/>
          <w:bCs/>
          <w:iCs/>
        </w:rPr>
      </w:pPr>
    </w:p>
    <w:p w:rsidR="00CA2A3C" w:rsidRPr="00625DF6" w:rsidRDefault="00CA2A3C" w:rsidP="00A20146">
      <w:pPr>
        <w:numPr>
          <w:ilvl w:val="1"/>
          <w:numId w:val="0"/>
        </w:numPr>
        <w:tabs>
          <w:tab w:val="left" w:pos="0"/>
          <w:tab w:val="left" w:pos="709"/>
        </w:tabs>
        <w:spacing w:after="0" w:line="276" w:lineRule="auto"/>
        <w:jc w:val="both"/>
        <w:outlineLvl w:val="1"/>
        <w:rPr>
          <w:rFonts w:ascii="Cambria" w:eastAsia="Times New Roman" w:hAnsi="Cambria" w:cs="Times New Roman"/>
          <w:bCs/>
          <w:iCs/>
        </w:rPr>
      </w:pPr>
      <w:r w:rsidRPr="00625DF6">
        <w:rPr>
          <w:rFonts w:ascii="Cambria" w:eastAsia="Times New Roman" w:hAnsi="Cambria" w:cs="Times New Roman"/>
          <w:bCs/>
          <w:iCs/>
        </w:rPr>
        <w:t>Rozliczenia za sprzedaż energii elektrycznej wraz z usługą dystrybucji dokonywane będą w</w:t>
      </w:r>
      <w:r w:rsidR="00A20146" w:rsidRPr="00625DF6">
        <w:rPr>
          <w:rFonts w:ascii="Cambria" w:eastAsia="Times New Roman" w:hAnsi="Cambria" w:cs="Times New Roman"/>
          <w:bCs/>
          <w:iCs/>
        </w:rPr>
        <w:t> </w:t>
      </w:r>
      <w:r w:rsidRPr="00625DF6">
        <w:rPr>
          <w:rFonts w:ascii="Cambria" w:eastAsia="Times New Roman" w:hAnsi="Cambria" w:cs="Times New Roman"/>
          <w:bCs/>
          <w:iCs/>
        </w:rPr>
        <w:t>miesięcznych okresach rozliczeniowych według cen</w:t>
      </w:r>
      <w:r w:rsidR="00A20146" w:rsidRPr="00625DF6">
        <w:rPr>
          <w:rFonts w:ascii="Cambria" w:eastAsia="Times New Roman" w:hAnsi="Cambria" w:cs="Times New Roman"/>
          <w:bCs/>
          <w:iCs/>
        </w:rPr>
        <w:t xml:space="preserve"> jedno</w:t>
      </w:r>
      <w:r w:rsidR="001B45A9" w:rsidRPr="00625DF6">
        <w:rPr>
          <w:rFonts w:ascii="Cambria" w:eastAsia="Times New Roman" w:hAnsi="Cambria" w:cs="Times New Roman"/>
          <w:bCs/>
          <w:iCs/>
        </w:rPr>
        <w:t>stkowych</w:t>
      </w:r>
      <w:r w:rsidRPr="00625DF6">
        <w:rPr>
          <w:rFonts w:ascii="Cambria" w:eastAsia="Times New Roman" w:hAnsi="Cambria" w:cs="Times New Roman"/>
          <w:bCs/>
          <w:iCs/>
        </w:rPr>
        <w:t xml:space="preserve"> i stawek opłat określonych w </w:t>
      </w:r>
      <w:r w:rsidR="001B45A9" w:rsidRPr="00625DF6">
        <w:rPr>
          <w:rFonts w:ascii="Cambria" w:eastAsia="Times New Roman" w:hAnsi="Cambria" w:cs="Times New Roman"/>
          <w:bCs/>
          <w:iCs/>
        </w:rPr>
        <w:t>ofercie</w:t>
      </w:r>
      <w:r w:rsidRPr="00625DF6">
        <w:rPr>
          <w:rFonts w:ascii="Cambria" w:eastAsia="Times New Roman" w:hAnsi="Cambria" w:cs="Times New Roman"/>
          <w:bCs/>
          <w:iCs/>
        </w:rPr>
        <w:t xml:space="preserve"> Wykonawcy z uwzględnieniem postanowień zawartych w </w:t>
      </w:r>
      <w:r w:rsidR="00A65690" w:rsidRPr="00625DF6">
        <w:rPr>
          <w:rFonts w:ascii="Cambria" w:eastAsia="Times New Roman" w:hAnsi="Cambria" w:cs="Times New Roman"/>
          <w:bCs/>
          <w:iCs/>
        </w:rPr>
        <w:t>p</w:t>
      </w:r>
      <w:r w:rsidRPr="00625DF6">
        <w:rPr>
          <w:rFonts w:ascii="Cambria" w:eastAsia="Times New Roman" w:hAnsi="Cambria" w:cs="Times New Roman"/>
          <w:bCs/>
          <w:iCs/>
        </w:rPr>
        <w:t>rojektowanych postanowieniach umowy.</w:t>
      </w:r>
      <w:r w:rsidR="009F0B3D" w:rsidRPr="00625DF6">
        <w:rPr>
          <w:rFonts w:ascii="Cambria" w:eastAsia="Times New Roman" w:hAnsi="Cambria" w:cs="Times New Roman"/>
          <w:bCs/>
          <w:iCs/>
        </w:rPr>
        <w:t xml:space="preserve"> </w:t>
      </w:r>
      <w:r w:rsidRPr="00625DF6">
        <w:rPr>
          <w:rFonts w:ascii="Cambria" w:eastAsia="Times New Roman" w:hAnsi="Cambria" w:cs="Times New Roman"/>
          <w:bCs/>
          <w:iCs/>
        </w:rPr>
        <w:t>Rozliczenie z Wykonawcą nastąpi na podstawie rzeczywistego zużycia energii elektrycznej w</w:t>
      </w:r>
      <w:r w:rsidR="00A65690" w:rsidRPr="00625DF6">
        <w:rPr>
          <w:rFonts w:ascii="Cambria" w:eastAsia="Times New Roman" w:hAnsi="Cambria" w:cs="Times New Roman"/>
          <w:bCs/>
          <w:iCs/>
        </w:rPr>
        <w:t> </w:t>
      </w:r>
      <w:r w:rsidRPr="00625DF6">
        <w:rPr>
          <w:rFonts w:ascii="Cambria" w:eastAsia="Times New Roman" w:hAnsi="Cambria" w:cs="Times New Roman"/>
          <w:bCs/>
          <w:iCs/>
        </w:rPr>
        <w:t>danym okresie rozliczeniowym.</w:t>
      </w:r>
    </w:p>
    <w:p w:rsidR="00CA2A3C" w:rsidRPr="00625DF6" w:rsidRDefault="00CA2A3C" w:rsidP="00A20146">
      <w:pPr>
        <w:numPr>
          <w:ilvl w:val="1"/>
          <w:numId w:val="0"/>
        </w:numPr>
        <w:tabs>
          <w:tab w:val="left" w:pos="0"/>
          <w:tab w:val="left" w:pos="709"/>
        </w:tabs>
        <w:spacing w:after="0" w:line="276" w:lineRule="auto"/>
        <w:jc w:val="both"/>
        <w:outlineLvl w:val="1"/>
        <w:rPr>
          <w:rFonts w:ascii="Cambria" w:eastAsia="Times New Roman" w:hAnsi="Cambria" w:cs="Times New Roman"/>
          <w:bCs/>
          <w:iCs/>
        </w:rPr>
      </w:pPr>
      <w:r w:rsidRPr="00625DF6">
        <w:rPr>
          <w:rFonts w:ascii="Cambria" w:eastAsia="Times New Roman" w:hAnsi="Cambria" w:cs="Times New Roman"/>
          <w:bCs/>
          <w:iCs/>
        </w:rPr>
        <w:t>Należność Wykonawcy za zużytą energię elektryczną w okresach rozliczeniowych obliczana będzie indywidualnie dla każdego punktu poboru.</w:t>
      </w:r>
    </w:p>
    <w:p w:rsidR="009F0B3D" w:rsidRPr="00625DF6" w:rsidRDefault="009F0B3D" w:rsidP="00A20146">
      <w:pPr>
        <w:numPr>
          <w:ilvl w:val="1"/>
          <w:numId w:val="0"/>
        </w:numPr>
        <w:tabs>
          <w:tab w:val="left" w:pos="0"/>
          <w:tab w:val="left" w:pos="709"/>
        </w:tabs>
        <w:spacing w:after="0" w:line="276" w:lineRule="auto"/>
        <w:jc w:val="both"/>
        <w:outlineLvl w:val="1"/>
        <w:rPr>
          <w:rFonts w:ascii="Cambria" w:eastAsia="Times New Roman" w:hAnsi="Cambria" w:cs="Times New Roman"/>
          <w:bCs/>
          <w:iCs/>
        </w:rPr>
      </w:pPr>
    </w:p>
    <w:p w:rsidR="00CA2A3C" w:rsidRPr="00625DF6" w:rsidRDefault="00CA2A3C" w:rsidP="00A20146">
      <w:pPr>
        <w:numPr>
          <w:ilvl w:val="1"/>
          <w:numId w:val="0"/>
        </w:numPr>
        <w:tabs>
          <w:tab w:val="left" w:pos="0"/>
          <w:tab w:val="left" w:pos="709"/>
        </w:tabs>
        <w:spacing w:after="0" w:line="276" w:lineRule="auto"/>
        <w:jc w:val="both"/>
        <w:outlineLvl w:val="1"/>
        <w:rPr>
          <w:rFonts w:ascii="Cambria" w:eastAsia="Times New Roman" w:hAnsi="Cambria" w:cs="Times New Roman"/>
          <w:i/>
          <w:iCs/>
        </w:rPr>
      </w:pPr>
      <w:r w:rsidRPr="00625DF6">
        <w:rPr>
          <w:rFonts w:ascii="Cambria" w:eastAsia="Times New Roman" w:hAnsi="Cambria" w:cs="Times New Roman"/>
          <w:bCs/>
          <w:iCs/>
        </w:rPr>
        <w:t xml:space="preserve">Zamawiający zobowiązuję się do ponoszenia opłaty </w:t>
      </w:r>
      <w:r w:rsidR="00562674">
        <w:rPr>
          <w:rFonts w:ascii="Cambria" w:eastAsia="Times New Roman" w:hAnsi="Cambria" w:cs="Times New Roman"/>
          <w:bCs/>
          <w:iCs/>
        </w:rPr>
        <w:t>za usługi dystrybucji</w:t>
      </w:r>
      <w:r w:rsidRPr="00625DF6">
        <w:rPr>
          <w:rFonts w:ascii="Cambria" w:eastAsia="Times New Roman" w:hAnsi="Cambria" w:cs="Times New Roman"/>
          <w:bCs/>
          <w:iCs/>
        </w:rPr>
        <w:t>, zgodnie z aktualnie obowiązującymi taryfami OSD zatwierdzonymi przez Prezesa Urzędu Regulacji Energetyki. Wartość usługi dystrybucji zostanie</w:t>
      </w:r>
      <w:r w:rsidRPr="00625DF6">
        <w:rPr>
          <w:rFonts w:ascii="Cambria" w:eastAsia="Times New Roman" w:hAnsi="Cambria" w:cs="Times New Roman"/>
          <w:bCs/>
          <w:iCs/>
          <w:color w:val="FF0000"/>
        </w:rPr>
        <w:t xml:space="preserve"> </w:t>
      </w:r>
      <w:r w:rsidRPr="00625DF6">
        <w:rPr>
          <w:rFonts w:ascii="Cambria" w:eastAsia="Times New Roman" w:hAnsi="Cambria" w:cs="Times New Roman"/>
          <w:bCs/>
          <w:iCs/>
        </w:rPr>
        <w:t>wyliczona na podstawie cen i stawek opłat zgodnych z</w:t>
      </w:r>
      <w:r w:rsidR="00A65690" w:rsidRPr="00625DF6">
        <w:rPr>
          <w:rFonts w:ascii="Cambria" w:eastAsia="Times New Roman" w:hAnsi="Cambria" w:cs="Times New Roman"/>
          <w:bCs/>
          <w:iCs/>
        </w:rPr>
        <w:t> </w:t>
      </w:r>
      <w:r w:rsidRPr="00625DF6">
        <w:rPr>
          <w:rFonts w:ascii="Cambria" w:eastAsia="Times New Roman" w:hAnsi="Cambria" w:cs="Times New Roman"/>
          <w:bCs/>
          <w:iCs/>
        </w:rPr>
        <w:t>obowiązującą taryfą OSD zatwierdzoną przez Prezesa Urzędu.</w:t>
      </w:r>
    </w:p>
    <w:p w:rsidR="009F0B3D" w:rsidRPr="00625DF6" w:rsidRDefault="009F0B3D" w:rsidP="00A20146">
      <w:pPr>
        <w:numPr>
          <w:ilvl w:val="1"/>
          <w:numId w:val="0"/>
        </w:numPr>
        <w:tabs>
          <w:tab w:val="left" w:pos="0"/>
          <w:tab w:val="left" w:pos="709"/>
        </w:tabs>
        <w:spacing w:after="0" w:line="276" w:lineRule="auto"/>
        <w:jc w:val="both"/>
        <w:outlineLvl w:val="1"/>
        <w:rPr>
          <w:rFonts w:ascii="Cambria" w:eastAsia="Times New Roman" w:hAnsi="Cambria" w:cs="Times New Roman"/>
          <w:bCs/>
          <w:iCs/>
        </w:rPr>
      </w:pPr>
    </w:p>
    <w:p w:rsidR="00CA2A3C" w:rsidRPr="00625DF6" w:rsidRDefault="00CA2A3C" w:rsidP="00A20146">
      <w:pPr>
        <w:numPr>
          <w:ilvl w:val="1"/>
          <w:numId w:val="0"/>
        </w:numPr>
        <w:tabs>
          <w:tab w:val="left" w:pos="0"/>
          <w:tab w:val="left" w:pos="709"/>
        </w:tabs>
        <w:spacing w:after="0" w:line="276" w:lineRule="auto"/>
        <w:jc w:val="both"/>
        <w:outlineLvl w:val="1"/>
        <w:rPr>
          <w:rFonts w:ascii="Cambria" w:eastAsia="Times New Roman" w:hAnsi="Cambria" w:cs="Times New Roman"/>
          <w:i/>
          <w:iCs/>
        </w:rPr>
      </w:pPr>
      <w:bookmarkStart w:id="1" w:name="_Hlk106021359"/>
      <w:r w:rsidRPr="00625DF6">
        <w:rPr>
          <w:rFonts w:ascii="Cambria" w:eastAsia="Times New Roman" w:hAnsi="Cambria" w:cs="Times New Roman"/>
          <w:bCs/>
          <w:iCs/>
        </w:rPr>
        <w:t>Wykonawca musi zapewnić w formie oświadczenia składanego na formularzu oferty, ż</w:t>
      </w:r>
      <w:r w:rsidR="009F0B3D" w:rsidRPr="00625DF6">
        <w:rPr>
          <w:rFonts w:ascii="Cambria" w:eastAsia="Times New Roman" w:hAnsi="Cambria" w:cs="Times New Roman"/>
          <w:bCs/>
          <w:iCs/>
        </w:rPr>
        <w:t>e</w:t>
      </w:r>
      <w:r w:rsidRPr="00625DF6">
        <w:rPr>
          <w:rFonts w:ascii="Cambria" w:eastAsia="Times New Roman" w:hAnsi="Cambria" w:cs="Times New Roman"/>
          <w:bCs/>
          <w:iCs/>
        </w:rPr>
        <w:t xml:space="preserve"> ma zawartą umowę lub ma promesę zawarcia odpowiedniej umowy na świadczenie usług dystrybucji energii elektrycznej </w:t>
      </w:r>
      <w:r w:rsidR="009A10DB" w:rsidRPr="009A10DB">
        <w:rPr>
          <w:rFonts w:ascii="Cambria" w:eastAsia="Times New Roman" w:hAnsi="Cambria" w:cs="Times New Roman"/>
          <w:bCs/>
          <w:iCs/>
        </w:rPr>
        <w:t>z Operatorem Systemu Dystrybucyjnego (OSD) w ramach której OSD zapewni Wykonawcy świadczenie usług dystrybucji energii elektrycznej na rzecz Zamawiającego (do jego punktów poboru)</w:t>
      </w:r>
      <w:r w:rsidRPr="00625DF6">
        <w:rPr>
          <w:rFonts w:ascii="Cambria" w:eastAsia="Times New Roman" w:hAnsi="Cambria" w:cs="Times New Roman"/>
          <w:bCs/>
          <w:iCs/>
        </w:rPr>
        <w:t>.</w:t>
      </w:r>
      <w:bookmarkEnd w:id="1"/>
    </w:p>
    <w:p w:rsidR="00054119" w:rsidRPr="00625DF6" w:rsidRDefault="00054119" w:rsidP="00A65690">
      <w:pPr>
        <w:numPr>
          <w:ilvl w:val="1"/>
          <w:numId w:val="0"/>
        </w:numPr>
        <w:tabs>
          <w:tab w:val="left" w:pos="0"/>
          <w:tab w:val="left" w:pos="709"/>
        </w:tabs>
        <w:spacing w:after="0" w:line="276" w:lineRule="auto"/>
        <w:jc w:val="both"/>
        <w:outlineLvl w:val="1"/>
        <w:rPr>
          <w:rFonts w:ascii="Cambria" w:eastAsia="Times New Roman" w:hAnsi="Cambria" w:cs="Times New Roman"/>
          <w:iCs/>
        </w:rPr>
      </w:pPr>
    </w:p>
    <w:p w:rsidR="00054119" w:rsidRPr="00625DF6" w:rsidRDefault="00054119" w:rsidP="00A65690">
      <w:pPr>
        <w:numPr>
          <w:ilvl w:val="1"/>
          <w:numId w:val="0"/>
        </w:numPr>
        <w:tabs>
          <w:tab w:val="left" w:pos="0"/>
          <w:tab w:val="left" w:pos="709"/>
        </w:tabs>
        <w:spacing w:after="0" w:line="276" w:lineRule="auto"/>
        <w:jc w:val="both"/>
        <w:outlineLvl w:val="1"/>
        <w:rPr>
          <w:rFonts w:ascii="Cambria" w:eastAsia="Times New Roman" w:hAnsi="Cambria" w:cs="Calibri"/>
          <w:bCs/>
          <w:iCs/>
        </w:rPr>
      </w:pPr>
      <w:r w:rsidRPr="00625DF6">
        <w:rPr>
          <w:rFonts w:ascii="Cambria" w:eastAsia="Times New Roman" w:hAnsi="Cambria" w:cs="Times New Roman"/>
          <w:iCs/>
        </w:rPr>
        <w:lastRenderedPageBreak/>
        <w:t>Termin</w:t>
      </w:r>
      <w:r w:rsidRPr="00625DF6">
        <w:rPr>
          <w:rFonts w:ascii="Cambria" w:eastAsia="Times New Roman" w:hAnsi="Cambria" w:cs="Calibri"/>
          <w:bCs/>
          <w:iCs/>
        </w:rPr>
        <w:t xml:space="preserve"> wykonywania zamówienia: 12 miesięcy, w tym:</w:t>
      </w:r>
    </w:p>
    <w:p w:rsidR="00054119" w:rsidRPr="00625DF6" w:rsidRDefault="00054119" w:rsidP="00054119">
      <w:pPr>
        <w:pStyle w:val="Akapitzlist"/>
        <w:numPr>
          <w:ilvl w:val="0"/>
          <w:numId w:val="2"/>
        </w:numPr>
        <w:tabs>
          <w:tab w:val="left" w:pos="0"/>
          <w:tab w:val="left" w:pos="709"/>
        </w:tabs>
        <w:spacing w:after="0" w:line="276" w:lineRule="auto"/>
        <w:jc w:val="both"/>
        <w:outlineLvl w:val="1"/>
        <w:rPr>
          <w:rFonts w:ascii="Cambria" w:eastAsia="Times New Roman" w:hAnsi="Cambria" w:cs="Times New Roman"/>
          <w:b/>
          <w:iCs/>
        </w:rPr>
      </w:pPr>
      <w:r w:rsidRPr="00625DF6">
        <w:rPr>
          <w:rFonts w:ascii="Cambria" w:eastAsia="Times New Roman" w:hAnsi="Cambria" w:cs="Calibri"/>
          <w:bCs/>
          <w:iCs/>
        </w:rPr>
        <w:t xml:space="preserve">rozpoczęcie dostawy i świadczenia usługi dystrybucji energii elektrycznej: </w:t>
      </w:r>
      <w:bookmarkStart w:id="2" w:name="_GoBack"/>
      <w:r w:rsidR="00A47B16" w:rsidRPr="00A47B16">
        <w:rPr>
          <w:rFonts w:ascii="Cambria" w:eastAsia="Times New Roman" w:hAnsi="Cambria" w:cs="Times New Roman"/>
          <w:b/>
          <w:iCs/>
          <w:color w:val="FF0000"/>
        </w:rPr>
        <w:t>1.10</w:t>
      </w:r>
      <w:r w:rsidRPr="00A47B16">
        <w:rPr>
          <w:rFonts w:ascii="Cambria" w:eastAsia="Times New Roman" w:hAnsi="Cambria" w:cs="Times New Roman"/>
          <w:b/>
          <w:iCs/>
          <w:color w:val="FF0000"/>
        </w:rPr>
        <w:t>.2022 r.</w:t>
      </w:r>
      <w:bookmarkEnd w:id="2"/>
    </w:p>
    <w:p w:rsidR="00054119" w:rsidRPr="00054119" w:rsidRDefault="00054119" w:rsidP="00054119">
      <w:pPr>
        <w:pStyle w:val="Akapitzlist"/>
        <w:numPr>
          <w:ilvl w:val="0"/>
          <w:numId w:val="2"/>
        </w:numPr>
        <w:tabs>
          <w:tab w:val="left" w:pos="0"/>
          <w:tab w:val="left" w:pos="709"/>
        </w:tabs>
        <w:spacing w:after="0" w:line="276" w:lineRule="auto"/>
        <w:jc w:val="both"/>
        <w:outlineLvl w:val="1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bCs/>
          <w:iCs/>
        </w:rPr>
        <w:t>z</w:t>
      </w:r>
      <w:r w:rsidRPr="00054119">
        <w:rPr>
          <w:rFonts w:ascii="Cambria" w:eastAsia="Times New Roman" w:hAnsi="Cambria" w:cs="Times New Roman"/>
          <w:iCs/>
        </w:rPr>
        <w:t>akończenie</w:t>
      </w:r>
      <w:r w:rsidRPr="00054119">
        <w:rPr>
          <w:rFonts w:ascii="Cambria" w:eastAsia="Times New Roman" w:hAnsi="Cambria" w:cs="Calibri"/>
          <w:bCs/>
          <w:iCs/>
        </w:rPr>
        <w:t xml:space="preserve"> </w:t>
      </w:r>
      <w:r w:rsidRPr="00054119">
        <w:rPr>
          <w:rFonts w:ascii="Cambria" w:eastAsia="Times New Roman" w:hAnsi="Cambria" w:cs="Times New Roman"/>
          <w:bCs/>
          <w:iCs/>
        </w:rPr>
        <w:t>dostawy i świadczenia usługi dystrybucji energii elektrycznej:</w:t>
      </w:r>
      <w:r>
        <w:rPr>
          <w:rFonts w:ascii="Cambria" w:eastAsia="Times New Roman" w:hAnsi="Cambria" w:cs="Times New Roman"/>
          <w:bCs/>
          <w:iCs/>
        </w:rPr>
        <w:t xml:space="preserve"> </w:t>
      </w:r>
      <w:r w:rsidRPr="00054119">
        <w:rPr>
          <w:rFonts w:ascii="Cambria" w:eastAsia="Times New Roman" w:hAnsi="Cambria" w:cs="Times New Roman"/>
          <w:b/>
          <w:iCs/>
        </w:rPr>
        <w:t>31.08.2023 r.</w:t>
      </w:r>
    </w:p>
    <w:sectPr w:rsidR="00054119" w:rsidRPr="0005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632B1"/>
    <w:multiLevelType w:val="hybridMultilevel"/>
    <w:tmpl w:val="DF963F7A"/>
    <w:lvl w:ilvl="0" w:tplc="A69883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9128F"/>
    <w:multiLevelType w:val="multilevel"/>
    <w:tmpl w:val="19448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3C"/>
    <w:rsid w:val="00054119"/>
    <w:rsid w:val="001B45A9"/>
    <w:rsid w:val="00562674"/>
    <w:rsid w:val="00625DF6"/>
    <w:rsid w:val="006F504C"/>
    <w:rsid w:val="00905088"/>
    <w:rsid w:val="009A10DB"/>
    <w:rsid w:val="009F0B3D"/>
    <w:rsid w:val="00A20146"/>
    <w:rsid w:val="00A47B16"/>
    <w:rsid w:val="00A65690"/>
    <w:rsid w:val="00B56E73"/>
    <w:rsid w:val="00CA2A3C"/>
    <w:rsid w:val="00C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866BA-57CF-4419-9F13-1317065A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210000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Paszta</dc:creator>
  <cp:keywords/>
  <dc:description/>
  <cp:lastModifiedBy>Kęsik Karolina</cp:lastModifiedBy>
  <cp:revision>3</cp:revision>
  <dcterms:created xsi:type="dcterms:W3CDTF">2022-08-16T05:45:00Z</dcterms:created>
  <dcterms:modified xsi:type="dcterms:W3CDTF">2022-08-16T05:45:00Z</dcterms:modified>
</cp:coreProperties>
</file>