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5D6" w:rsidRDefault="000060F0">
      <w:pPr>
        <w:spacing w:after="0" w:line="259" w:lineRule="auto"/>
        <w:ind w:left="12" w:firstLine="0"/>
        <w:jc w:val="center"/>
      </w:pPr>
      <w:r>
        <w:rPr>
          <w:b/>
          <w:sz w:val="26"/>
        </w:rPr>
        <w:t>ST -00</w:t>
      </w:r>
    </w:p>
    <w:p w:rsidR="00E505D6" w:rsidRDefault="000060F0">
      <w:pPr>
        <w:spacing w:after="0" w:line="259" w:lineRule="auto"/>
        <w:ind w:left="19"/>
        <w:jc w:val="center"/>
      </w:pPr>
      <w:r>
        <w:rPr>
          <w:b/>
          <w:sz w:val="21"/>
        </w:rPr>
        <w:t>SPECYFIKACJA TECHNICZNA  OGÓLNA</w:t>
      </w:r>
    </w:p>
    <w:p w:rsidR="00E505D6" w:rsidRDefault="000060F0">
      <w:pPr>
        <w:spacing w:after="0" w:line="259" w:lineRule="auto"/>
        <w:ind w:left="19" w:right="2"/>
        <w:jc w:val="center"/>
      </w:pPr>
      <w:r>
        <w:rPr>
          <w:b/>
          <w:sz w:val="21"/>
        </w:rPr>
        <w:t xml:space="preserve">WYKONANIA I ODBIORU ROBÓT BUDOWLANYCH – PODSTAWOWYCH  </w:t>
      </w:r>
    </w:p>
    <w:p w:rsidR="00E505D6" w:rsidRDefault="000060F0">
      <w:pPr>
        <w:spacing w:after="0" w:line="259" w:lineRule="auto"/>
        <w:ind w:left="22" w:right="1"/>
        <w:jc w:val="center"/>
      </w:pPr>
      <w:r>
        <w:t>Kod  CPV  45262800-9  Rozbudowa budynków</w:t>
      </w:r>
    </w:p>
    <w:p w:rsidR="00E505D6" w:rsidRDefault="000060F0">
      <w:pPr>
        <w:spacing w:after="0" w:line="259" w:lineRule="auto"/>
        <w:ind w:left="22" w:right="1"/>
        <w:jc w:val="center"/>
      </w:pPr>
      <w:r>
        <w:t>45453000-7  Roboty remontowe i renowacyjne</w:t>
      </w:r>
    </w:p>
    <w:p w:rsidR="00E505D6" w:rsidRDefault="000060F0">
      <w:pPr>
        <w:spacing w:after="258" w:line="259" w:lineRule="auto"/>
        <w:ind w:left="22"/>
        <w:jc w:val="center"/>
      </w:pPr>
      <w:r>
        <w:t xml:space="preserve">    45215000-7  Rob bud. w zakresie budowy obiektów użyteczności publicznej</w:t>
      </w:r>
    </w:p>
    <w:p w:rsidR="00E505D6" w:rsidRDefault="000060F0">
      <w:pPr>
        <w:ind w:left="23"/>
        <w:jc w:val="left"/>
      </w:pPr>
      <w:r>
        <w:rPr>
          <w:b/>
        </w:rPr>
        <w:t>I.CZĘŚĆ OGÓLNA</w:t>
      </w:r>
    </w:p>
    <w:p w:rsidR="00E505D6" w:rsidRDefault="000060F0">
      <w:pPr>
        <w:spacing w:after="68"/>
        <w:ind w:left="23"/>
        <w:jc w:val="left"/>
      </w:pPr>
      <w:r>
        <w:rPr>
          <w:b/>
        </w:rPr>
        <w:t>1.1. Nazwa zamówienia</w:t>
      </w:r>
      <w:r>
        <w:t>:</w:t>
      </w:r>
    </w:p>
    <w:p w:rsidR="000060F0" w:rsidRDefault="000060F0" w:rsidP="000060F0">
      <w:pPr>
        <w:pStyle w:val="Nagwek2"/>
        <w:ind w:left="284"/>
        <w:rPr>
          <w:b/>
          <w:color w:val="000000" w:themeColor="text1"/>
          <w:sz w:val="22"/>
        </w:rPr>
      </w:pPr>
      <w:r w:rsidRPr="0008325A">
        <w:rPr>
          <w:b/>
          <w:color w:val="000000" w:themeColor="text1"/>
          <w:sz w:val="22"/>
        </w:rPr>
        <w:t xml:space="preserve">Dzienny Dom Pomocy w Gminie Wiśniowa </w:t>
      </w:r>
    </w:p>
    <w:p w:rsidR="00E505D6" w:rsidRDefault="000060F0">
      <w:pPr>
        <w:spacing w:after="261"/>
        <w:ind w:left="23"/>
        <w:jc w:val="left"/>
      </w:pPr>
      <w:bookmarkStart w:id="0" w:name="_GoBack"/>
      <w:bookmarkEnd w:id="0"/>
      <w:r>
        <w:rPr>
          <w:b/>
        </w:rPr>
        <w:t>1.2. Inwestor :</w:t>
      </w:r>
    </w:p>
    <w:p w:rsidR="00E505D6" w:rsidRDefault="000060F0">
      <w:pPr>
        <w:ind w:left="8"/>
        <w:jc w:val="left"/>
      </w:pPr>
      <w:r>
        <w:rPr>
          <w:b/>
          <w:sz w:val="22"/>
        </w:rPr>
        <w:t>GMINA WIŚNIOWA</w:t>
      </w:r>
    </w:p>
    <w:p w:rsidR="00E505D6" w:rsidRDefault="000060F0">
      <w:pPr>
        <w:ind w:left="8"/>
        <w:jc w:val="left"/>
      </w:pPr>
      <w:r>
        <w:rPr>
          <w:b/>
          <w:sz w:val="22"/>
        </w:rPr>
        <w:t>WIŚNIOWA 150</w:t>
      </w:r>
    </w:p>
    <w:p w:rsidR="00E505D6" w:rsidRDefault="000060F0">
      <w:pPr>
        <w:spacing w:after="201"/>
        <w:ind w:left="8"/>
        <w:jc w:val="left"/>
      </w:pPr>
      <w:r>
        <w:rPr>
          <w:b/>
          <w:sz w:val="22"/>
        </w:rPr>
        <w:t>38-124 WIŚNIOWA</w:t>
      </w:r>
    </w:p>
    <w:p w:rsidR="00E505D6" w:rsidRDefault="000060F0">
      <w:pPr>
        <w:ind w:left="23"/>
        <w:jc w:val="left"/>
      </w:pPr>
      <w:r>
        <w:rPr>
          <w:b/>
        </w:rPr>
        <w:t xml:space="preserve">    2.Przedmiot i zakres robót budowlanych</w:t>
      </w:r>
      <w:r>
        <w:t>:</w:t>
      </w:r>
    </w:p>
    <w:p w:rsidR="00E505D6" w:rsidRDefault="000060F0">
      <w:pPr>
        <w:ind w:left="290"/>
      </w:pPr>
      <w:r>
        <w:t xml:space="preserve">       Przedmiotem robót budowlanych jest </w:t>
      </w:r>
      <w:r>
        <w:t>przebudowa budynku szkoły podstawowej w celu zmiany sposobu użytkowania  parteru budynku na potrzeby środowiskowego domu samopomocy, projektowane schody zewnętrzne i podjazd dla niepełnosprawnych oraz miejsca postojowe.</w:t>
      </w:r>
    </w:p>
    <w:p w:rsidR="00E505D6" w:rsidRDefault="000060F0">
      <w:pPr>
        <w:spacing w:after="0" w:line="259" w:lineRule="auto"/>
        <w:ind w:left="0" w:firstLine="0"/>
        <w:jc w:val="left"/>
      </w:pPr>
      <w:r>
        <w:t xml:space="preserve">       </w:t>
      </w:r>
    </w:p>
    <w:p w:rsidR="00E505D6" w:rsidRDefault="000060F0">
      <w:pPr>
        <w:pStyle w:val="Nagwek1"/>
        <w:spacing w:after="248"/>
        <w:ind w:left="280"/>
      </w:pPr>
      <w:r>
        <w:t>2.1. Przebudowa</w:t>
      </w:r>
    </w:p>
    <w:p w:rsidR="00E505D6" w:rsidRDefault="000060F0">
      <w:pPr>
        <w:spacing w:after="276" w:line="240" w:lineRule="auto"/>
        <w:ind w:left="13" w:firstLine="720"/>
        <w:jc w:val="left"/>
      </w:pPr>
      <w:r>
        <w:t>Przedmiotowa</w:t>
      </w:r>
      <w:r>
        <w:t xml:space="preserve"> inwestycja będzie pełnić funkcję domu samopomocy. W budynku zlokalizowano hall, szatnie, korytarz, biuro, kotłownie, zmywalnie, kuchnie, pom. gospodarcze, </w:t>
      </w:r>
      <w:proofErr w:type="spellStart"/>
      <w:r>
        <w:t>wc</w:t>
      </w:r>
      <w:proofErr w:type="spellEnd"/>
      <w:r>
        <w:t>, pom. socjalne, sale integracyjną, sale rehabilitacyjną, sale terapii indywidualnej, pom. odpoczy</w:t>
      </w:r>
      <w:r>
        <w:t xml:space="preserve">nku, </w:t>
      </w:r>
      <w:proofErr w:type="spellStart"/>
      <w:r>
        <w:t>Sanitariaty.M</w:t>
      </w:r>
      <w:proofErr w:type="spellEnd"/>
      <w:r>
        <w:t xml:space="preserve">, </w:t>
      </w:r>
      <w:proofErr w:type="spellStart"/>
      <w:r>
        <w:t>Sanitariaty.D</w:t>
      </w:r>
      <w:proofErr w:type="spellEnd"/>
      <w:r>
        <w:t>, Sanitariat dla niepełnosprawnych.</w:t>
      </w:r>
    </w:p>
    <w:p w:rsidR="00E505D6" w:rsidRDefault="000060F0">
      <w:pPr>
        <w:spacing w:after="277"/>
        <w:ind w:left="23"/>
      </w:pPr>
      <w:r>
        <w:t>Dla projektowanego budynku zaprojektowano niezbędne uzbrojenie zewnętrzne i wewnętrzne instalacje tj. wodociągową, kanalizacji sanitarnej, C.O. i elektryczną.</w:t>
      </w:r>
    </w:p>
    <w:p w:rsidR="00E505D6" w:rsidRDefault="000060F0">
      <w:pPr>
        <w:spacing w:after="281" w:line="259" w:lineRule="auto"/>
        <w:ind w:left="280" w:firstLine="0"/>
        <w:jc w:val="left"/>
      </w:pPr>
      <w:r>
        <w:rPr>
          <w:b/>
          <w:i/>
          <w:sz w:val="21"/>
        </w:rPr>
        <w:t>2.2. Zagospodarowanie terenu</w:t>
      </w:r>
    </w:p>
    <w:p w:rsidR="00E505D6" w:rsidRDefault="000060F0">
      <w:pPr>
        <w:numPr>
          <w:ilvl w:val="0"/>
          <w:numId w:val="1"/>
        </w:numPr>
        <w:ind w:hanging="360"/>
      </w:pPr>
      <w:r>
        <w:t xml:space="preserve">Projektowany układ komunikacyjny połączony z projektowanym zjazdem zwykłym według odrębnego opracowania </w:t>
      </w:r>
    </w:p>
    <w:p w:rsidR="00E505D6" w:rsidRDefault="000060F0">
      <w:pPr>
        <w:numPr>
          <w:ilvl w:val="0"/>
          <w:numId w:val="1"/>
        </w:numPr>
        <w:spacing w:after="235"/>
        <w:ind w:hanging="360"/>
      </w:pPr>
      <w:r>
        <w:t xml:space="preserve">Projektuje się 15 miejsc postojowych, w tym dwa dla osób niepełnosprawnych. </w:t>
      </w:r>
    </w:p>
    <w:p w:rsidR="00E505D6" w:rsidRDefault="000060F0">
      <w:pPr>
        <w:ind w:left="743"/>
      </w:pPr>
      <w:r>
        <w:t xml:space="preserve">    Nawierzchnia układu komunikacyjnego utwardzona z kostki betonowej na </w:t>
      </w:r>
      <w:r>
        <w:t>podsypce piaskowo-cementowej i podbudowie z kruszywa łamanego.</w:t>
      </w:r>
    </w:p>
    <w:p w:rsidR="00E505D6" w:rsidRDefault="000060F0">
      <w:pPr>
        <w:spacing w:after="0" w:line="259" w:lineRule="auto"/>
        <w:ind w:left="280" w:firstLine="0"/>
        <w:jc w:val="left"/>
      </w:pPr>
      <w:r>
        <w:rPr>
          <w:color w:val="FF0000"/>
        </w:rPr>
        <w:t xml:space="preserve">   </w:t>
      </w:r>
    </w:p>
    <w:p w:rsidR="00E505D6" w:rsidRDefault="000060F0">
      <w:pPr>
        <w:ind w:left="290"/>
        <w:jc w:val="left"/>
      </w:pPr>
      <w:r>
        <w:t xml:space="preserve"> </w:t>
      </w:r>
      <w:r>
        <w:rPr>
          <w:b/>
        </w:rPr>
        <w:t xml:space="preserve">3. </w:t>
      </w:r>
      <w:r>
        <w:t xml:space="preserve"> </w:t>
      </w:r>
      <w:r>
        <w:rPr>
          <w:b/>
        </w:rPr>
        <w:t>Wyszczególnienie i opis prac towarzyszących i robót tymczasowych:</w:t>
      </w:r>
    </w:p>
    <w:p w:rsidR="00E505D6" w:rsidRDefault="000060F0">
      <w:pPr>
        <w:numPr>
          <w:ilvl w:val="0"/>
          <w:numId w:val="2"/>
        </w:numPr>
        <w:ind w:right="6004" w:hanging="813"/>
        <w:jc w:val="left"/>
      </w:pPr>
      <w:r>
        <w:rPr>
          <w:b/>
        </w:rPr>
        <w:t>prace towarzyszące:</w:t>
      </w:r>
    </w:p>
    <w:p w:rsidR="00E505D6" w:rsidRDefault="000060F0">
      <w:pPr>
        <w:tabs>
          <w:tab w:val="center" w:pos="766"/>
          <w:tab w:val="center" w:pos="356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t>geodezyjne wytyczanie i inwentaryzacja powykonawcza</w:t>
      </w:r>
    </w:p>
    <w:p w:rsidR="00E505D6" w:rsidRDefault="000060F0">
      <w:pPr>
        <w:numPr>
          <w:ilvl w:val="0"/>
          <w:numId w:val="2"/>
        </w:numPr>
        <w:spacing w:after="228"/>
        <w:ind w:right="6004" w:hanging="813"/>
        <w:jc w:val="left"/>
      </w:pPr>
      <w:r>
        <w:rPr>
          <w:b/>
        </w:rPr>
        <w:t xml:space="preserve">roboty tymczasowe: 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t>nie przewiduje się.</w:t>
      </w:r>
    </w:p>
    <w:p w:rsidR="00E505D6" w:rsidRDefault="000060F0">
      <w:pPr>
        <w:tabs>
          <w:tab w:val="center" w:pos="363"/>
          <w:tab w:val="center" w:pos="313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4.</w:t>
      </w:r>
      <w:r>
        <w:rPr>
          <w:b/>
        </w:rPr>
        <w:tab/>
        <w:t>Informacja o terenie budowy z punktu widzenia:</w:t>
      </w:r>
    </w:p>
    <w:p w:rsidR="00E505D6" w:rsidRDefault="000060F0">
      <w:pPr>
        <w:numPr>
          <w:ilvl w:val="0"/>
          <w:numId w:val="3"/>
        </w:numPr>
        <w:ind w:hanging="813"/>
        <w:jc w:val="left"/>
      </w:pPr>
      <w:r>
        <w:rPr>
          <w:b/>
        </w:rPr>
        <w:t>organizacji robót budowlanych</w:t>
      </w:r>
    </w:p>
    <w:p w:rsidR="00E505D6" w:rsidRDefault="000060F0">
      <w:pPr>
        <w:tabs>
          <w:tab w:val="center" w:pos="766"/>
          <w:tab w:val="center" w:pos="322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t>teren budowy znajduje się  na terenie dz. nr 525</w:t>
      </w:r>
    </w:p>
    <w:p w:rsidR="00E505D6" w:rsidRDefault="000060F0">
      <w:pPr>
        <w:numPr>
          <w:ilvl w:val="0"/>
          <w:numId w:val="3"/>
        </w:numPr>
        <w:ind w:hanging="813"/>
        <w:jc w:val="left"/>
      </w:pPr>
      <w:r>
        <w:rPr>
          <w:b/>
        </w:rPr>
        <w:t>zabezpieczenia interesów osób trzecich</w:t>
      </w:r>
    </w:p>
    <w:p w:rsidR="00E505D6" w:rsidRDefault="000060F0">
      <w:pPr>
        <w:ind w:left="1093" w:hanging="360"/>
      </w:pPr>
      <w:r>
        <w:rPr>
          <w:rFonts w:ascii="Times New Roman" w:eastAsia="Times New Roman" w:hAnsi="Times New Roman" w:cs="Times New Roman"/>
        </w:rPr>
        <w:t xml:space="preserve">- </w:t>
      </w:r>
      <w:r>
        <w:t>praca na wydłużonym dniu pracy oraz w dni ustawowo wolne od pracy muszą być każdora</w:t>
      </w:r>
      <w:r>
        <w:t>zowo uzgadniane z inwestorem</w:t>
      </w:r>
    </w:p>
    <w:p w:rsidR="00E505D6" w:rsidRDefault="000060F0">
      <w:pPr>
        <w:numPr>
          <w:ilvl w:val="0"/>
          <w:numId w:val="3"/>
        </w:numPr>
        <w:ind w:hanging="813"/>
        <w:jc w:val="left"/>
      </w:pPr>
      <w:r>
        <w:rPr>
          <w:b/>
        </w:rPr>
        <w:t>ochrony środowiska</w:t>
      </w:r>
    </w:p>
    <w:p w:rsidR="00E505D6" w:rsidRDefault="000060F0">
      <w:pPr>
        <w:tabs>
          <w:tab w:val="center" w:pos="766"/>
          <w:tab w:val="center" w:pos="492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t>zakres prac  nie zagraża środowisku naturalnemu i nie wymaga specjalnych zezwoleń.</w:t>
      </w:r>
    </w:p>
    <w:p w:rsidR="00E505D6" w:rsidRDefault="000060F0">
      <w:pPr>
        <w:numPr>
          <w:ilvl w:val="0"/>
          <w:numId w:val="3"/>
        </w:numPr>
        <w:ind w:hanging="813"/>
        <w:jc w:val="left"/>
      </w:pPr>
      <w:r>
        <w:rPr>
          <w:b/>
        </w:rPr>
        <w:t>warunków bezpieczeństwa pracy</w:t>
      </w:r>
    </w:p>
    <w:p w:rsidR="00E505D6" w:rsidRDefault="000060F0">
      <w:pPr>
        <w:ind w:left="1093" w:hanging="360"/>
      </w:pPr>
      <w:r>
        <w:rPr>
          <w:rFonts w:ascii="Times New Roman" w:eastAsia="Times New Roman" w:hAnsi="Times New Roman" w:cs="Times New Roman"/>
        </w:rPr>
        <w:t xml:space="preserve">- </w:t>
      </w:r>
      <w:r>
        <w:t xml:space="preserve">przy pracach  w okolicy dróg i dojść oraz robotach w okolicy istniejących obiektów należy </w:t>
      </w:r>
      <w:r>
        <w:t>zwrócić szczególną uwagę na osoby tam  przebywające, w związku z powyższym zabezpieczyć zgodnie z przepisami teren i ciągi komunikacyjne przy budynku,</w:t>
      </w:r>
    </w:p>
    <w:p w:rsidR="00E505D6" w:rsidRDefault="000060F0">
      <w:pPr>
        <w:numPr>
          <w:ilvl w:val="0"/>
          <w:numId w:val="3"/>
        </w:numPr>
        <w:ind w:hanging="813"/>
        <w:jc w:val="left"/>
      </w:pPr>
      <w:r>
        <w:rPr>
          <w:b/>
        </w:rPr>
        <w:lastRenderedPageBreak/>
        <w:t>zaplecza dla potrzeb wykonawcy</w:t>
      </w:r>
    </w:p>
    <w:p w:rsidR="00E505D6" w:rsidRDefault="000060F0">
      <w:pPr>
        <w:tabs>
          <w:tab w:val="center" w:pos="766"/>
          <w:tab w:val="center" w:pos="433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t xml:space="preserve">na terenie posesji istnieje możliwość zlokalizowania zaplecza socjalnego. </w:t>
      </w:r>
    </w:p>
    <w:p w:rsidR="00E505D6" w:rsidRDefault="000060F0">
      <w:pPr>
        <w:numPr>
          <w:ilvl w:val="0"/>
          <w:numId w:val="3"/>
        </w:numPr>
        <w:ind w:hanging="813"/>
        <w:jc w:val="left"/>
      </w:pPr>
      <w:r>
        <w:rPr>
          <w:b/>
        </w:rPr>
        <w:t>warunków dotyczących organizacji ruchu</w:t>
      </w:r>
    </w:p>
    <w:p w:rsidR="00E505D6" w:rsidRDefault="000060F0">
      <w:pPr>
        <w:tabs>
          <w:tab w:val="center" w:pos="766"/>
          <w:tab w:val="center" w:pos="4331"/>
        </w:tabs>
        <w:spacing w:after="22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r>
        <w:t>dostęp do miejsc pracy oraz transportu materiałów nie stwarza utrudnień.</w:t>
      </w:r>
    </w:p>
    <w:p w:rsidR="00E505D6" w:rsidRDefault="000060F0">
      <w:pPr>
        <w:ind w:left="296" w:right="712" w:hanging="283"/>
        <w:jc w:val="left"/>
      </w:pPr>
      <w:r>
        <w:rPr>
          <w:b/>
        </w:rPr>
        <w:t>5.W zależności od zakresu robót budowlanych objętych przedmiotem z</w:t>
      </w:r>
      <w:r>
        <w:rPr>
          <w:b/>
        </w:rPr>
        <w:t xml:space="preserve">amówienia </w:t>
      </w:r>
      <w:r>
        <w:rPr>
          <w:b/>
          <w:u w:val="single" w:color="000000"/>
        </w:rPr>
        <w:t>nazwy i kody</w:t>
      </w:r>
      <w:r>
        <w:rPr>
          <w:b/>
        </w:rPr>
        <w:t xml:space="preserve">: 45000000-7 Roboty budowlane / </w:t>
      </w:r>
    </w:p>
    <w:p w:rsidR="00E505D6" w:rsidRDefault="000060F0">
      <w:pPr>
        <w:ind w:left="23"/>
        <w:jc w:val="left"/>
      </w:pPr>
      <w:r>
        <w:rPr>
          <w:b/>
        </w:rPr>
        <w:t>Dział I - Roboty budowlane w zakresie przygotowania terenu pod budowę; 45100000-8</w:t>
      </w:r>
    </w:p>
    <w:tbl>
      <w:tblPr>
        <w:tblStyle w:val="TableGrid"/>
        <w:tblW w:w="9088" w:type="dxa"/>
        <w:tblInd w:w="12" w:type="dxa"/>
        <w:tblCellMar>
          <w:top w:w="8" w:type="dxa"/>
          <w:left w:w="7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44"/>
        <w:gridCol w:w="7344"/>
      </w:tblGrid>
      <w:tr w:rsidR="00E505D6">
        <w:trPr>
          <w:trHeight w:val="232"/>
        </w:trPr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Kod CPV</w:t>
            </w:r>
          </w:p>
        </w:tc>
        <w:tc>
          <w:tcPr>
            <w:tcW w:w="7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49" w:firstLine="0"/>
              <w:jc w:val="center"/>
            </w:pPr>
            <w:r>
              <w:t>Opis</w:t>
            </w:r>
          </w:p>
        </w:tc>
      </w:tr>
      <w:tr w:rsidR="00E505D6">
        <w:trPr>
          <w:trHeight w:val="692"/>
        </w:trPr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45111200-0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45111291-4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45111220-6</w:t>
            </w:r>
          </w:p>
        </w:tc>
        <w:tc>
          <w:tcPr>
            <w:tcW w:w="7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Roboty  ziemne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 xml:space="preserve">Roboty w zakresie zagospodarowania terenu 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Roboty w zakresie usuwania gruzu</w:t>
            </w:r>
          </w:p>
        </w:tc>
      </w:tr>
    </w:tbl>
    <w:p w:rsidR="00E505D6" w:rsidRDefault="000060F0">
      <w:pPr>
        <w:ind w:left="23"/>
        <w:jc w:val="left"/>
      </w:pPr>
      <w:r>
        <w:rPr>
          <w:b/>
        </w:rPr>
        <w:t>Dział III</w:t>
      </w:r>
      <w:r>
        <w:t xml:space="preserve"> - </w:t>
      </w:r>
      <w:r>
        <w:rPr>
          <w:b/>
        </w:rPr>
        <w:t>Roboty wykończeniowe w zakresie obiektów budowlanych; 45400000-1</w:t>
      </w:r>
    </w:p>
    <w:tbl>
      <w:tblPr>
        <w:tblStyle w:val="TableGrid"/>
        <w:tblW w:w="9040" w:type="dxa"/>
        <w:tblInd w:w="76" w:type="dxa"/>
        <w:tblCellMar>
          <w:top w:w="7" w:type="dxa"/>
          <w:left w:w="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94"/>
        <w:gridCol w:w="7346"/>
      </w:tblGrid>
      <w:tr w:rsidR="00E505D6">
        <w:trPr>
          <w:trHeight w:val="286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Kod CPV</w:t>
            </w:r>
          </w:p>
        </w:tc>
        <w:tc>
          <w:tcPr>
            <w:tcW w:w="7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117" w:firstLine="0"/>
              <w:jc w:val="center"/>
            </w:pPr>
            <w:r>
              <w:t>Opis</w:t>
            </w:r>
          </w:p>
        </w:tc>
      </w:tr>
      <w:tr w:rsidR="00E505D6">
        <w:trPr>
          <w:trHeight w:val="1694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45320000-6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45321000-3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45323000-7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45442100-8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45324000-4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45421125-6</w:t>
            </w:r>
          </w:p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45421124-9</w:t>
            </w:r>
          </w:p>
        </w:tc>
        <w:tc>
          <w:tcPr>
            <w:tcW w:w="7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Roboty izolacyjne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Izolacja cieplna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Izolacja dźwiękoszczelna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Roboty malarskie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Tynkowanie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Instalowanie okien z tworzyw sztucznych</w:t>
            </w:r>
          </w:p>
          <w:p w:rsidR="00E505D6" w:rsidRDefault="000060F0">
            <w:pPr>
              <w:spacing w:after="0" w:line="259" w:lineRule="auto"/>
              <w:ind w:left="1" w:firstLine="0"/>
              <w:jc w:val="left"/>
            </w:pPr>
            <w:r>
              <w:t>Instalowanie drzwi z tworzyw sztucznych</w:t>
            </w:r>
          </w:p>
        </w:tc>
      </w:tr>
    </w:tbl>
    <w:p w:rsidR="00E505D6" w:rsidRDefault="000060F0">
      <w:pPr>
        <w:ind w:left="23"/>
        <w:jc w:val="left"/>
      </w:pPr>
      <w:r>
        <w:rPr>
          <w:b/>
        </w:rPr>
        <w:t>Dział IV</w:t>
      </w:r>
      <w:r>
        <w:t xml:space="preserve"> - </w:t>
      </w:r>
      <w:r>
        <w:rPr>
          <w:b/>
        </w:rPr>
        <w:t>Roboty w zakresie instalacji budowlanych; 45300000-0</w:t>
      </w:r>
    </w:p>
    <w:tbl>
      <w:tblPr>
        <w:tblStyle w:val="TableGrid"/>
        <w:tblW w:w="9142" w:type="dxa"/>
        <w:tblInd w:w="-18" w:type="dxa"/>
        <w:tblCellMar>
          <w:top w:w="8" w:type="dxa"/>
          <w:left w:w="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82"/>
        <w:gridCol w:w="7360"/>
      </w:tblGrid>
      <w:tr w:rsidR="00E505D6">
        <w:trPr>
          <w:trHeight w:val="23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Kod CPV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117" w:firstLine="0"/>
              <w:jc w:val="center"/>
            </w:pPr>
            <w:r>
              <w:t>Opis</w:t>
            </w:r>
          </w:p>
        </w:tc>
      </w:tr>
      <w:tr w:rsidR="00E505D6">
        <w:trPr>
          <w:trHeight w:val="23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45310000-3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Roboty w zakresie instalacji elektrycznych</w:t>
            </w:r>
          </w:p>
        </w:tc>
      </w:tr>
      <w:tr w:rsidR="00E505D6">
        <w:trPr>
          <w:trHeight w:val="23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45311000-0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Roboty w zakresie przewodów instalacji elektrycznych oraz opraw elektrycznych</w:t>
            </w:r>
          </w:p>
        </w:tc>
      </w:tr>
      <w:tr w:rsidR="00E505D6">
        <w:trPr>
          <w:trHeight w:val="23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45312311-0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Instalowanie oświetlenia</w:t>
            </w:r>
          </w:p>
        </w:tc>
      </w:tr>
      <w:tr w:rsidR="00E505D6">
        <w:trPr>
          <w:trHeight w:val="23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45314300-4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Kładzenie kabli</w:t>
            </w:r>
          </w:p>
        </w:tc>
      </w:tr>
      <w:tr w:rsidR="00E505D6">
        <w:trPr>
          <w:trHeight w:val="25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45331210-1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Instalowanie wentylacji</w:t>
            </w:r>
          </w:p>
        </w:tc>
      </w:tr>
      <w:tr w:rsidR="00E505D6">
        <w:trPr>
          <w:trHeight w:val="232"/>
        </w:trPr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45332400-7</w:t>
            </w:r>
          </w:p>
        </w:tc>
        <w:tc>
          <w:tcPr>
            <w:tcW w:w="7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5D6" w:rsidRDefault="000060F0">
            <w:pPr>
              <w:spacing w:after="0" w:line="259" w:lineRule="auto"/>
              <w:ind w:left="0" w:firstLine="0"/>
              <w:jc w:val="left"/>
            </w:pPr>
            <w:r>
              <w:t>Roboty instalacyjne w zakresie sprzętu sanitarnego</w:t>
            </w:r>
          </w:p>
        </w:tc>
      </w:tr>
    </w:tbl>
    <w:p w:rsidR="00E505D6" w:rsidRDefault="000060F0">
      <w:pPr>
        <w:spacing w:after="222"/>
        <w:ind w:left="408"/>
        <w:jc w:val="left"/>
      </w:pPr>
      <w:r>
        <w:rPr>
          <w:b/>
        </w:rPr>
        <w:t>II. Wymagania dotyczące właściwości wyrobów budowlanych oraz niezbędne wymagania związane z ich przechowywaniem, transportem, warunkami dostawy, składowaniem i kontrolą jakości - poszczególne wymagania od</w:t>
      </w:r>
      <w:r>
        <w:rPr>
          <w:b/>
        </w:rPr>
        <w:t>nosi się do postanowień norm;</w:t>
      </w:r>
    </w:p>
    <w:p w:rsidR="00E505D6" w:rsidRDefault="000060F0">
      <w:pPr>
        <w:numPr>
          <w:ilvl w:val="0"/>
          <w:numId w:val="4"/>
        </w:numPr>
        <w:spacing w:after="0" w:line="259" w:lineRule="auto"/>
        <w:ind w:hanging="222"/>
        <w:jc w:val="left"/>
      </w:pPr>
      <w:r>
        <w:rPr>
          <w:u w:val="single" w:color="000000"/>
        </w:rPr>
        <w:t>Źródła uzyskania materiałów do elementów konstrukcyjnych</w:t>
      </w:r>
    </w:p>
    <w:p w:rsidR="00E505D6" w:rsidRDefault="000060F0">
      <w:pPr>
        <w:ind w:left="408"/>
      </w:pPr>
      <w:r>
        <w:t>Wykonawca przedstawi Inspektorowi nadzoru szczegółowe informacje dotyczące, zamawiania lub wydobywania materiałów i odpowiednie aprobaty techniczne lub świadectwa badań laboratoryjnych oraz próbki do zatwierdzenia przez Inspektora nadzoru.</w:t>
      </w:r>
    </w:p>
    <w:p w:rsidR="00E505D6" w:rsidRDefault="000060F0">
      <w:pPr>
        <w:ind w:left="408"/>
      </w:pPr>
      <w:r>
        <w:t>Wykonawca zobowi</w:t>
      </w:r>
      <w:r>
        <w:t>ązany jest do prowadzenia ciągłych badań określonych w SST w celu udokumentowania, że materiały uzyskane z dopuszczalnego źródła spełniają wymagania SST w czasie postępu robót.</w:t>
      </w:r>
    </w:p>
    <w:p w:rsidR="00E505D6" w:rsidRDefault="000060F0">
      <w:pPr>
        <w:spacing w:after="222"/>
        <w:ind w:left="408"/>
      </w:pPr>
      <w:r>
        <w:t>Pozostałe materiały budowlane powinny spełniać wymagania jakościowe określone P</w:t>
      </w:r>
      <w:r>
        <w:t>olskimi Normami, aprobatami technicznymi, o których mowa w Szczegółowych Specyfikacjach Technicznych (SST).</w:t>
      </w:r>
    </w:p>
    <w:p w:rsidR="00E505D6" w:rsidRDefault="000060F0">
      <w:pPr>
        <w:numPr>
          <w:ilvl w:val="0"/>
          <w:numId w:val="4"/>
        </w:numPr>
        <w:spacing w:after="0" w:line="259" w:lineRule="auto"/>
        <w:ind w:hanging="222"/>
        <w:jc w:val="left"/>
      </w:pPr>
      <w:r>
        <w:rPr>
          <w:u w:val="single" w:color="000000"/>
        </w:rPr>
        <w:t>Pozyskiwanie masowych materiałów pochodzenia miejscowego</w:t>
      </w:r>
    </w:p>
    <w:p w:rsidR="00E505D6" w:rsidRDefault="000060F0">
      <w:pPr>
        <w:ind w:left="408"/>
      </w:pPr>
      <w:r>
        <w:t>Wykonawca odpowiada za uzyskanie pozwoleń od właścicieli i odnośnych władz na pozyskanie ma</w:t>
      </w:r>
      <w:r>
        <w:t>teriałów z jakichkolwiek złóż miejscowych, włączając w to źródła wskazane przez Zamawiającego i jest zobowiązany dostarczyć Inspektorowi nadzoru wymagane dokumenty przed rozpoczęciem eksploatacji złoża.</w:t>
      </w:r>
    </w:p>
    <w:p w:rsidR="00E505D6" w:rsidRDefault="000060F0">
      <w:pPr>
        <w:ind w:left="408"/>
      </w:pPr>
      <w:r>
        <w:t>Wykonawca przedstawi dokumentację zawierającą raporty</w:t>
      </w:r>
      <w:r>
        <w:t xml:space="preserve"> z badań terenowych i laboratoryjnych oraz proponowaną przez siebie metodę wydobycia i selekcji do zatwierdzenia Inspektorowi nadzoru.</w:t>
      </w:r>
    </w:p>
    <w:p w:rsidR="00E505D6" w:rsidRDefault="000060F0">
      <w:pPr>
        <w:ind w:left="408"/>
      </w:pPr>
      <w:r>
        <w:t xml:space="preserve">Wykonawca ponosi odpowiedzialność za spełnienie wymagań ilościowych i jakościowych materiałów z jakiegokolwiek złoża. </w:t>
      </w:r>
    </w:p>
    <w:p w:rsidR="00E505D6" w:rsidRDefault="000060F0">
      <w:pPr>
        <w:ind w:left="408"/>
      </w:pPr>
      <w:r>
        <w:t>Wy</w:t>
      </w:r>
      <w:r>
        <w:t>konawca poniesie wszystkie koszty, a w tym: opłaty, wynagrodzenia i jakiekolwiek inne koszty związane z dostarczeniem materiałów do robót, chyba że postanowienia ogólne lub szczegółowe warunków umowy stanowią inaczej.</w:t>
      </w:r>
    </w:p>
    <w:p w:rsidR="00E505D6" w:rsidRDefault="000060F0">
      <w:pPr>
        <w:ind w:left="408"/>
      </w:pPr>
      <w:r>
        <w:t>Humus i nadkład czasowo zdjęte z teren</w:t>
      </w:r>
      <w:r>
        <w:t>u wykopów, ukopów i miejsc pozyskania piasku i żwiru będą formowane w hałdy i wykorzystywane przy zasypce i rekultywacji terenu po ukończeniu robót.</w:t>
      </w:r>
    </w:p>
    <w:p w:rsidR="00E505D6" w:rsidRDefault="000060F0">
      <w:pPr>
        <w:ind w:left="408"/>
      </w:pPr>
      <w:r>
        <w:lastRenderedPageBreak/>
        <w:t>Wszystkie odpowiednie materiały pozyskane z wykopów na terenie budowy lub z innych miejsc wskazanych w doku</w:t>
      </w:r>
      <w:r>
        <w:t>mentach umowy będą wykorzystane do robót lub odwiezione na odkład odpowiednio do wymagań umowy lub wskazań Inspektora nadzoru. Eksploatacja źródeł materiałów będzie zgodna z wszelkimi regulacjami prawnymi obowiązującymi na danym obszarze.</w:t>
      </w:r>
    </w:p>
    <w:p w:rsidR="00E505D6" w:rsidRDefault="000060F0">
      <w:pPr>
        <w:numPr>
          <w:ilvl w:val="0"/>
          <w:numId w:val="5"/>
        </w:numPr>
        <w:spacing w:after="0" w:line="259" w:lineRule="auto"/>
        <w:ind w:hanging="277"/>
        <w:jc w:val="left"/>
      </w:pPr>
      <w:r>
        <w:rPr>
          <w:u w:val="single" w:color="000000"/>
        </w:rPr>
        <w:t>Materiały nie odp</w:t>
      </w:r>
      <w:r>
        <w:rPr>
          <w:u w:val="single" w:color="000000"/>
        </w:rPr>
        <w:t>owiadające wymaganiom jakościowym</w:t>
      </w:r>
    </w:p>
    <w:p w:rsidR="00E505D6" w:rsidRDefault="000060F0">
      <w:pPr>
        <w:ind w:left="408"/>
      </w:pPr>
      <w:r>
        <w:t xml:space="preserve">Materiały nie odpowiadające wymaganiom jakościowym zostaną przez Wykonawcę wywiezione z terenu budowy, bądź złożone w miejscu wskazanym przez Inspektora nadzoru. Każdy rodzaj robót, w którym znajdują się nie zbadane i nie </w:t>
      </w:r>
      <w:r>
        <w:t>zaakceptowane materiały, Wykonawca wykonuje na własne ryzyko, licząc się z jego nie przyjęciem i  niezapłaceniem.</w:t>
      </w:r>
    </w:p>
    <w:p w:rsidR="00E505D6" w:rsidRDefault="000060F0">
      <w:pPr>
        <w:numPr>
          <w:ilvl w:val="0"/>
          <w:numId w:val="5"/>
        </w:numPr>
        <w:spacing w:after="0" w:line="259" w:lineRule="auto"/>
        <w:ind w:hanging="277"/>
        <w:jc w:val="left"/>
      </w:pPr>
      <w:r>
        <w:rPr>
          <w:u w:val="single" w:color="000000"/>
        </w:rPr>
        <w:t>Przechowywanie i składowanie materiałów</w:t>
      </w:r>
    </w:p>
    <w:p w:rsidR="00E505D6" w:rsidRDefault="000060F0">
      <w:pPr>
        <w:ind w:left="408"/>
      </w:pPr>
      <w:r>
        <w:t>Wykonawca zapewni, aby tymczasowo składowane materiały, do czasu gdy będą one potrzebne do robót, były</w:t>
      </w:r>
      <w:r>
        <w:t xml:space="preserve"> zabezpieczone przed zanieczyszczeniem, zachowały swoją jakość i właściwość do robót i były dostępne do kontroli przez Inspektora nadzoru.</w:t>
      </w:r>
    </w:p>
    <w:p w:rsidR="00E505D6" w:rsidRDefault="000060F0">
      <w:pPr>
        <w:ind w:left="408"/>
      </w:pPr>
      <w:r>
        <w:t>Miejsca czasowego  składowania  materiałów będą zlokalizowane w obrębie terenu budowy w miejscach uzgodnionych z Insp</w:t>
      </w:r>
      <w:r>
        <w:t>ektorem nadzoru.</w:t>
      </w:r>
    </w:p>
    <w:p w:rsidR="00E505D6" w:rsidRDefault="000060F0">
      <w:pPr>
        <w:numPr>
          <w:ilvl w:val="0"/>
          <w:numId w:val="5"/>
        </w:numPr>
        <w:spacing w:after="0" w:line="259" w:lineRule="auto"/>
        <w:ind w:hanging="277"/>
        <w:jc w:val="left"/>
      </w:pPr>
      <w:r>
        <w:rPr>
          <w:u w:val="single" w:color="000000"/>
        </w:rPr>
        <w:t>Wariantowe stosowanie materiałów</w:t>
      </w:r>
    </w:p>
    <w:p w:rsidR="00E505D6" w:rsidRDefault="000060F0">
      <w:pPr>
        <w:spacing w:after="222"/>
        <w:ind w:left="408"/>
      </w:pPr>
      <w:r>
        <w:t>Jeśli dokumentacja projektowa lub SST przewidują możliwość zastosowania różnych rodzajów materiałów do wykonywania poszczególnych elementów robót Wykonawca powiadomi Inspektora nadzoru o zamiarze zastosowan</w:t>
      </w:r>
      <w:r>
        <w:t>ia konkretnego rodzaju materiału. Wybrany i zaakceptowany rodzaj materiału nie może być później zamieniany bez zgody Inspektora nadzoru.</w:t>
      </w:r>
    </w:p>
    <w:p w:rsidR="00E505D6" w:rsidRDefault="000060F0">
      <w:pPr>
        <w:spacing w:after="222"/>
        <w:ind w:left="408"/>
        <w:jc w:val="left"/>
      </w:pPr>
      <w:r>
        <w:rPr>
          <w:b/>
        </w:rPr>
        <w:t>III. Wymagania dotyczące sprzętu lub maszyn niezbędnych lub zalecanych do wykonania robót budowlanych zgodnie z założon</w:t>
      </w:r>
      <w:r>
        <w:rPr>
          <w:b/>
        </w:rPr>
        <w:t>ą jakością;</w:t>
      </w:r>
    </w:p>
    <w:p w:rsidR="00E505D6" w:rsidRDefault="000060F0">
      <w:pPr>
        <w:ind w:left="408"/>
      </w:pPr>
      <w:r>
        <w:t>Wymagany sprzęt ogólnodostępny, sprawny i odpowiedni do rodzaju robót.</w:t>
      </w:r>
    </w:p>
    <w:p w:rsidR="00E505D6" w:rsidRDefault="000060F0">
      <w:pPr>
        <w:ind w:left="408"/>
      </w:pPr>
      <w:r>
        <w:t xml:space="preserve">Wykonawca jest zobowiązany do używania jedynie takiego sprzętu, który nie spowoduje niekorzystnego wpływu na jakość wykonywanych robót. Sprzęt używany do robót powinien być </w:t>
      </w:r>
      <w:r>
        <w:t>zgodny z ofertą Wykonawcy i powinien odpowiadać pod względem typów i ilości wskazaniom zawartym w SST, programie zapewnienia jakości lub projekcie organizacji robót, zaakceptowanym przez Inspektora nadzoru.</w:t>
      </w:r>
    </w:p>
    <w:p w:rsidR="00E505D6" w:rsidRDefault="000060F0">
      <w:pPr>
        <w:ind w:left="408"/>
      </w:pPr>
      <w:r>
        <w:t>Liczba i wydajność sprzętu będzie gwarantować prz</w:t>
      </w:r>
      <w:r>
        <w:t>eprowadzenie robót, zgodnie z zasadami określonymi w dokumentacji projektowej, SST i wskazaniach Inspektora nadzoru w terminie przewidzianym umową.</w:t>
      </w:r>
    </w:p>
    <w:p w:rsidR="00E505D6" w:rsidRDefault="000060F0">
      <w:pPr>
        <w:ind w:left="408"/>
      </w:pPr>
      <w:r>
        <w:t>Sprzęt będący własnością Wykonawcy lub wynajęty do wykonania robót ma być utrzymywany w dobrym stanie i gotowości do pracy. Będzie spełniał normy ochrony środowiska i przepisy dotyczące jego użytkowania.</w:t>
      </w:r>
    </w:p>
    <w:p w:rsidR="00E505D6" w:rsidRDefault="000060F0">
      <w:pPr>
        <w:ind w:left="408"/>
      </w:pPr>
      <w:r>
        <w:t>Wykonawca dostarczy Inspektorowi nadzoru kopie dokum</w:t>
      </w:r>
      <w:r>
        <w:t>entów potwierdzających dopuszczenie sprzętu do użytkowania, tam gdzie jest to wymagane przepisami.</w:t>
      </w:r>
    </w:p>
    <w:p w:rsidR="00E505D6" w:rsidRDefault="000060F0">
      <w:pPr>
        <w:spacing w:after="222"/>
        <w:ind w:left="408"/>
      </w:pPr>
      <w:r>
        <w:t xml:space="preserve">Jeżeli dokumentacja projektowa lub SST przewidują możliwość wariantowego użycia sprzętu przy wykonywanych robotach, wykonawca powiadomi Inspektora nadzoru o </w:t>
      </w:r>
      <w:r>
        <w:t>swoim zamiarze wyboru i uzyska jego akceptację przed użyciem sprzętu. Wybrany sprzęt, po akceptacji Inspektora nadzoru, nie może być później zmieniany bez jego zgody.</w:t>
      </w:r>
    </w:p>
    <w:p w:rsidR="00E505D6" w:rsidRDefault="000060F0">
      <w:pPr>
        <w:ind w:left="408"/>
        <w:jc w:val="left"/>
      </w:pPr>
      <w:r>
        <w:rPr>
          <w:b/>
        </w:rPr>
        <w:t>IV. Wymagania dotyczące środków transportu;</w:t>
      </w:r>
    </w:p>
    <w:p w:rsidR="00E505D6" w:rsidRDefault="000060F0">
      <w:pPr>
        <w:spacing w:after="0" w:line="259" w:lineRule="auto"/>
        <w:ind w:left="408"/>
        <w:jc w:val="left"/>
      </w:pPr>
      <w:r>
        <w:rPr>
          <w:u w:val="single" w:color="000000"/>
        </w:rPr>
        <w:t xml:space="preserve">   1.  Ogólne wymagania dotyczące transportu </w:t>
      </w:r>
    </w:p>
    <w:p w:rsidR="00E505D6" w:rsidRDefault="000060F0">
      <w:pPr>
        <w:ind w:left="408"/>
      </w:pPr>
      <w:r>
        <w:t xml:space="preserve">Wykonawca jest zobowiązany do stosowania jedynie takich środków transportu, które nie wpłyną niekorzystnie na jakość wykonywanych robót i właściwości przewożonych materiałów. Liczba środków transportu będzie zapewniać prowadzenie robót zgodnie </w:t>
      </w:r>
    </w:p>
    <w:p w:rsidR="00E505D6" w:rsidRDefault="000060F0">
      <w:pPr>
        <w:ind w:left="408" w:right="277"/>
      </w:pPr>
      <w:r>
        <w:t>z zasadami</w:t>
      </w:r>
      <w:r>
        <w:t xml:space="preserve"> określonymi w dokumentacji projektowej, SST i wskazaniach Inspektora nadzoru w terminie przewidzianym w umowie.</w:t>
      </w:r>
    </w:p>
    <w:p w:rsidR="00E505D6" w:rsidRDefault="000060F0">
      <w:pPr>
        <w:spacing w:after="0" w:line="259" w:lineRule="auto"/>
        <w:ind w:left="408"/>
        <w:jc w:val="left"/>
      </w:pPr>
      <w:r>
        <w:rPr>
          <w:u w:val="single" w:color="000000"/>
        </w:rPr>
        <w:t>2.  Wymagania dotyczące przewozu po drogach publicznych</w:t>
      </w:r>
    </w:p>
    <w:p w:rsidR="00E505D6" w:rsidRDefault="000060F0">
      <w:pPr>
        <w:ind w:left="408"/>
      </w:pPr>
      <w:r>
        <w:t>Przy ruchu na drogach publicznych pojazdy będą spełniać wymagania dotyczące przepisów r</w:t>
      </w:r>
      <w:r>
        <w:t>uchu drogowego w odniesieniu do dopuszczalnych obciążeń na osie i innych parametrów technicznych. Środki transportu nie odpowiadające warunkom dopuszczalnych obciążeń na osie mogą być dopuszczone przez właściwy zarząd drogi pod warunkiem przywrócenia stanu</w:t>
      </w:r>
      <w:r>
        <w:t xml:space="preserve"> pierwotnego użytkowanych odcinków dróg na koszt Wykonawcy.</w:t>
      </w:r>
    </w:p>
    <w:p w:rsidR="00E505D6" w:rsidRDefault="000060F0">
      <w:pPr>
        <w:spacing w:after="222"/>
        <w:ind w:left="408"/>
      </w:pPr>
      <w:r>
        <w:t>Wykonawca będzie usuwać na bieżąco, na własny koszt, wszelkie zanieczyszczenia spowodowane jego pojazdami na drogach publicznych oraz dojazdach do terenu budowy.</w:t>
      </w:r>
    </w:p>
    <w:p w:rsidR="00E505D6" w:rsidRDefault="000060F0">
      <w:pPr>
        <w:spacing w:after="222"/>
        <w:ind w:left="408"/>
        <w:jc w:val="left"/>
      </w:pPr>
      <w:r>
        <w:rPr>
          <w:b/>
        </w:rPr>
        <w:lastRenderedPageBreak/>
        <w:t>V. Wymagania dotyczące wykonania r</w:t>
      </w:r>
      <w:r>
        <w:rPr>
          <w:b/>
        </w:rPr>
        <w:t>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:rsidR="00E505D6" w:rsidRDefault="000060F0">
      <w:pPr>
        <w:ind w:left="408"/>
      </w:pPr>
      <w:r>
        <w:t>1.  Przed rozpoc</w:t>
      </w:r>
      <w:r>
        <w:t>zęciem robót wykonawca opracuje:</w:t>
      </w:r>
    </w:p>
    <w:p w:rsidR="00E505D6" w:rsidRDefault="000060F0">
      <w:pPr>
        <w:numPr>
          <w:ilvl w:val="0"/>
          <w:numId w:val="6"/>
        </w:numPr>
        <w:ind w:hanging="360"/>
      </w:pPr>
      <w:r>
        <w:t>projekt zagospodarowania placu budowy, który powinien składać się z części opisowej i graficznej,</w:t>
      </w:r>
    </w:p>
    <w:p w:rsidR="00E505D6" w:rsidRDefault="000060F0">
      <w:pPr>
        <w:numPr>
          <w:ilvl w:val="0"/>
          <w:numId w:val="6"/>
        </w:numPr>
        <w:ind w:hanging="360"/>
      </w:pPr>
      <w:r>
        <w:t>plan bezpieczeństwa i ochrony zdrowia (plan bioz),</w:t>
      </w:r>
    </w:p>
    <w:p w:rsidR="00E505D6" w:rsidRDefault="000060F0">
      <w:pPr>
        <w:numPr>
          <w:ilvl w:val="0"/>
          <w:numId w:val="6"/>
        </w:numPr>
        <w:ind w:hanging="360"/>
      </w:pPr>
      <w:r>
        <w:t>projekt organizacji budowy,</w:t>
      </w:r>
    </w:p>
    <w:p w:rsidR="00E505D6" w:rsidRDefault="000060F0">
      <w:pPr>
        <w:numPr>
          <w:ilvl w:val="0"/>
          <w:numId w:val="6"/>
        </w:numPr>
        <w:spacing w:after="268"/>
        <w:ind w:hanging="360"/>
      </w:pPr>
      <w:r>
        <w:t>projekt technologii i organizacji montażu (dla</w:t>
      </w:r>
      <w:r>
        <w:t xml:space="preserve"> obiektów prefabrykowanych lub elementów konstrukcyjnych o większych gabarytach lub masie).</w:t>
      </w:r>
    </w:p>
    <w:p w:rsidR="00E505D6" w:rsidRDefault="000060F0">
      <w:pPr>
        <w:numPr>
          <w:ilvl w:val="0"/>
          <w:numId w:val="7"/>
        </w:numPr>
      </w:pPr>
      <w:r>
        <w:t xml:space="preserve">Wykonawca jest odpowiedzialny za prowadzenie robót zgodnie z umową lub kontraktem </w:t>
      </w:r>
      <w:proofErr w:type="spellStart"/>
      <w:r>
        <w:t>orazza</w:t>
      </w:r>
      <w:proofErr w:type="spellEnd"/>
      <w:r>
        <w:t xml:space="preserve"> jakość zastosowanych materiałów i wykonywanych robót, za ich zgodność z dok</w:t>
      </w:r>
      <w:r>
        <w:t>umentacją projektową, wymaganiami SST, PZJ, projektem organizacji robót oraz poleceniami Inspektora nadzoru.</w:t>
      </w:r>
    </w:p>
    <w:p w:rsidR="00E505D6" w:rsidRDefault="000060F0">
      <w:pPr>
        <w:numPr>
          <w:ilvl w:val="1"/>
          <w:numId w:val="7"/>
        </w:numPr>
      </w:pPr>
      <w:r>
        <w:t xml:space="preserve">Wykonawca ponosi odpowiedzialność za pełną obsługę geodezyjną przy wykonywanych </w:t>
      </w:r>
      <w:proofErr w:type="spellStart"/>
      <w:r>
        <w:t>napiśmie</w:t>
      </w:r>
      <w:proofErr w:type="spellEnd"/>
      <w:r>
        <w:t xml:space="preserve"> przez Inspektora nadzoru.</w:t>
      </w:r>
    </w:p>
    <w:p w:rsidR="00E505D6" w:rsidRDefault="000060F0">
      <w:pPr>
        <w:numPr>
          <w:ilvl w:val="1"/>
          <w:numId w:val="7"/>
        </w:numPr>
      </w:pPr>
      <w:r>
        <w:t xml:space="preserve">Następstwa jakiegokolwiek błędu </w:t>
      </w:r>
      <w:r>
        <w:t>spowodowanego przez Wykonawcę w wytyczeniu i wykonywaniu robót zostaną, jeśli wymagać tego będzie Inspektor nadzoru, poprawione przez Wykonawcę na własny koszt.</w:t>
      </w:r>
    </w:p>
    <w:p w:rsidR="00E505D6" w:rsidRDefault="000060F0">
      <w:pPr>
        <w:numPr>
          <w:ilvl w:val="1"/>
          <w:numId w:val="7"/>
        </w:numPr>
      </w:pPr>
      <w:r>
        <w:t>Decyzje Inspektora nadzoru dotyczące akceptacji lub odrzucenia materiałów i elementów robót będą oparte na wymaganiach sformułowanych w dokumentach umowy, dokumentacji projektowej i w SST, a także w normach i wytycznych.</w:t>
      </w:r>
    </w:p>
    <w:p w:rsidR="00E505D6" w:rsidRDefault="000060F0">
      <w:pPr>
        <w:numPr>
          <w:ilvl w:val="1"/>
          <w:numId w:val="7"/>
        </w:numPr>
        <w:spacing w:after="230" w:line="240" w:lineRule="auto"/>
      </w:pPr>
      <w:r>
        <w:t>Polecenia Inspektora nadzoru dotycz</w:t>
      </w:r>
      <w:r>
        <w:t xml:space="preserve">ące realizacji robót będą wykonywane </w:t>
      </w:r>
      <w:proofErr w:type="spellStart"/>
      <w:r>
        <w:t>przezWykonawcę</w:t>
      </w:r>
      <w:proofErr w:type="spellEnd"/>
      <w:r>
        <w:t xml:space="preserve"> nie później niż w czasie przez niego wyznaczonym, pod groźbą wstrzymania robót. Skutki finansowe z tytułu wstrzymania robót w takiej sytuacji ponosi Wykonawca.</w:t>
      </w:r>
    </w:p>
    <w:p w:rsidR="00E505D6" w:rsidRDefault="000060F0">
      <w:pPr>
        <w:ind w:left="408"/>
        <w:jc w:val="left"/>
      </w:pPr>
      <w:r>
        <w:rPr>
          <w:b/>
        </w:rPr>
        <w:t>VI.</w:t>
      </w:r>
      <w:r>
        <w:t xml:space="preserve"> </w:t>
      </w:r>
      <w:r>
        <w:rPr>
          <w:b/>
        </w:rPr>
        <w:t>Opis sposobu odbioru robót budowlanych;</w:t>
      </w:r>
    </w:p>
    <w:p w:rsidR="00E505D6" w:rsidRDefault="000060F0">
      <w:pPr>
        <w:numPr>
          <w:ilvl w:val="0"/>
          <w:numId w:val="8"/>
        </w:numPr>
      </w:pPr>
      <w:r>
        <w:t>odbiór robót budowlanych odbywać się będzie komisyjnie z udziałem przedstawiciela wykonawcy oraz obowiązkowo kierownika budowy,</w:t>
      </w:r>
    </w:p>
    <w:p w:rsidR="00E505D6" w:rsidRDefault="000060F0">
      <w:pPr>
        <w:numPr>
          <w:ilvl w:val="0"/>
          <w:numId w:val="8"/>
        </w:numPr>
        <w:spacing w:after="222"/>
      </w:pPr>
      <w:r>
        <w:t>komisję odbiorową powołuje po stwierdzeniu przez inspektora nadzoru pełnego zakończenia prac etapowych Zamawiający,</w:t>
      </w:r>
    </w:p>
    <w:p w:rsidR="00E505D6" w:rsidRDefault="000060F0">
      <w:pPr>
        <w:ind w:left="408"/>
        <w:jc w:val="left"/>
      </w:pPr>
      <w:r>
        <w:rPr>
          <w:b/>
        </w:rPr>
        <w:t>VII. Opis sp</w:t>
      </w:r>
      <w:r>
        <w:rPr>
          <w:b/>
        </w:rPr>
        <w:t>osobu rozliczania robót tymczasowych i towarzyszących</w:t>
      </w:r>
    </w:p>
    <w:p w:rsidR="00E505D6" w:rsidRDefault="000060F0">
      <w:pPr>
        <w:numPr>
          <w:ilvl w:val="0"/>
          <w:numId w:val="9"/>
        </w:numPr>
        <w:ind w:hanging="680"/>
      </w:pPr>
      <w:r>
        <w:t>prace towarzyszące w tym geodezyjne wytyczanie i inwentaryzacja powykonawcza należą do obowiązku wykonawcy,</w:t>
      </w:r>
    </w:p>
    <w:p w:rsidR="00E505D6" w:rsidRDefault="000060F0">
      <w:pPr>
        <w:numPr>
          <w:ilvl w:val="0"/>
          <w:numId w:val="9"/>
        </w:numPr>
        <w:ind w:hanging="680"/>
      </w:pPr>
      <w:r>
        <w:t>prace te należy rozliczyć ujmując ich koszt w narzutach ogólnych,</w:t>
      </w:r>
    </w:p>
    <w:p w:rsidR="00E505D6" w:rsidRDefault="000060F0">
      <w:pPr>
        <w:numPr>
          <w:ilvl w:val="0"/>
          <w:numId w:val="9"/>
        </w:numPr>
        <w:ind w:hanging="680"/>
      </w:pPr>
      <w:r>
        <w:t>prace te muszą być zawarte w</w:t>
      </w:r>
      <w:r>
        <w:t xml:space="preserve"> cenie ofertowej wykonawcy</w:t>
      </w:r>
    </w:p>
    <w:p w:rsidR="00E505D6" w:rsidRDefault="000060F0">
      <w:pPr>
        <w:spacing w:after="0" w:line="259" w:lineRule="auto"/>
        <w:ind w:left="413" w:firstLine="0"/>
        <w:jc w:val="left"/>
      </w:pPr>
      <w:r>
        <w:rPr>
          <w:b/>
        </w:rPr>
        <w:t xml:space="preserve">  </w:t>
      </w:r>
    </w:p>
    <w:p w:rsidR="00E505D6" w:rsidRDefault="000060F0">
      <w:pPr>
        <w:numPr>
          <w:ilvl w:val="0"/>
          <w:numId w:val="10"/>
        </w:numPr>
        <w:ind w:hanging="410"/>
        <w:jc w:val="left"/>
      </w:pPr>
      <w:r>
        <w:rPr>
          <w:b/>
        </w:rPr>
        <w:t>Podstawa płatności.</w:t>
      </w:r>
    </w:p>
    <w:p w:rsidR="00E505D6" w:rsidRDefault="000060F0">
      <w:pPr>
        <w:spacing w:after="222"/>
        <w:ind w:left="408"/>
      </w:pPr>
      <w:r>
        <w:t xml:space="preserve">Podstawę płatności stanowi protokół finansowo rzeczowy potwierdzający zakres i wartość wykonanych robót spisany z udziałem Inspektora Nadzoru. </w:t>
      </w:r>
    </w:p>
    <w:p w:rsidR="00E505D6" w:rsidRDefault="000060F0">
      <w:pPr>
        <w:numPr>
          <w:ilvl w:val="0"/>
          <w:numId w:val="10"/>
        </w:numPr>
        <w:ind w:hanging="410"/>
        <w:jc w:val="left"/>
      </w:pPr>
      <w:r>
        <w:rPr>
          <w:b/>
        </w:rPr>
        <w:t>Dokumenty odniesienia - dokumenty będące podstawą do wykonania</w:t>
      </w:r>
      <w:r>
        <w:rPr>
          <w:b/>
        </w:rPr>
        <w:t xml:space="preserve"> robót budowlanych, w tym wszystkie elementy dokumentacji projektowej, normy, aprobaty techniczne oraz inne dokumenty i ustalenia techniczne;</w:t>
      </w:r>
    </w:p>
    <w:p w:rsidR="00E505D6" w:rsidRDefault="000060F0">
      <w:pPr>
        <w:numPr>
          <w:ilvl w:val="0"/>
          <w:numId w:val="11"/>
        </w:numPr>
      </w:pPr>
      <w:r>
        <w:t>za roboty wykonane wadliwie z tytułu błędu dokumentacyjnego odpowiada wykonawca robót,</w:t>
      </w:r>
    </w:p>
    <w:p w:rsidR="00E505D6" w:rsidRDefault="000060F0">
      <w:pPr>
        <w:numPr>
          <w:ilvl w:val="0"/>
          <w:numId w:val="11"/>
        </w:numPr>
        <w:spacing w:after="221"/>
      </w:pPr>
      <w:r>
        <w:t>na użyte materiały wykonawc</w:t>
      </w:r>
      <w:r>
        <w:t>a ma obowiązek przedstawić aprobatę techniczną dopuszczający materiał do zastosowania.</w:t>
      </w:r>
    </w:p>
    <w:p w:rsidR="00E505D6" w:rsidRDefault="000060F0">
      <w:pPr>
        <w:numPr>
          <w:ilvl w:val="0"/>
          <w:numId w:val="12"/>
        </w:numPr>
        <w:ind w:hanging="299"/>
        <w:jc w:val="left"/>
      </w:pPr>
      <w:r>
        <w:rPr>
          <w:b/>
        </w:rPr>
        <w:t>Wykonanie robót</w:t>
      </w:r>
    </w:p>
    <w:p w:rsidR="00E505D6" w:rsidRDefault="000060F0">
      <w:pPr>
        <w:spacing w:after="0" w:line="240" w:lineRule="auto"/>
        <w:ind w:left="408"/>
        <w:jc w:val="left"/>
      </w:pPr>
      <w:r>
        <w:t>Wykonawca przedstawi Inspektorowi Nadzoru do akceptacji projekt organizacji i harmonogram wykonania robót uwzględniając wszystkie warunki w jakich będą wykonywane poszczególne roboty elektryczne.</w:t>
      </w:r>
    </w:p>
    <w:p w:rsidR="00E505D6" w:rsidRDefault="000060F0">
      <w:pPr>
        <w:ind w:left="408" w:right="106"/>
      </w:pPr>
      <w:r>
        <w:t>Szczegółowy zakres robót wg. Przedmiaru robót oraz danych  p</w:t>
      </w:r>
      <w:r>
        <w:t>odanych w projekcie. Dodatkowe roboty w uzgodnieniu z Inspektorem Nadzoru.</w:t>
      </w:r>
    </w:p>
    <w:p w:rsidR="00E505D6" w:rsidRDefault="000060F0">
      <w:pPr>
        <w:numPr>
          <w:ilvl w:val="0"/>
          <w:numId w:val="12"/>
        </w:numPr>
        <w:ind w:hanging="299"/>
        <w:jc w:val="left"/>
      </w:pPr>
      <w:r>
        <w:rPr>
          <w:b/>
        </w:rPr>
        <w:t>Kontrola Robót</w:t>
      </w:r>
    </w:p>
    <w:p w:rsidR="00E505D6" w:rsidRDefault="000060F0">
      <w:pPr>
        <w:spacing w:after="220"/>
        <w:ind w:left="408"/>
      </w:pPr>
      <w:r>
        <w:t>W czasie wykonywania robót winny być one skontrolowane przez Inspektora Nadzoru.</w:t>
      </w:r>
    </w:p>
    <w:p w:rsidR="00E505D6" w:rsidRDefault="000060F0">
      <w:pPr>
        <w:numPr>
          <w:ilvl w:val="0"/>
          <w:numId w:val="13"/>
        </w:numPr>
        <w:ind w:hanging="410"/>
        <w:jc w:val="left"/>
      </w:pPr>
      <w:r>
        <w:rPr>
          <w:b/>
        </w:rPr>
        <w:lastRenderedPageBreak/>
        <w:t>Badania techniczne</w:t>
      </w:r>
    </w:p>
    <w:p w:rsidR="00E505D6" w:rsidRDefault="000060F0">
      <w:pPr>
        <w:spacing w:after="222"/>
        <w:ind w:left="408"/>
      </w:pPr>
      <w:r>
        <w:t>Po wykonaniu robót elektrycznych należy wykonać pomiary stanu izol</w:t>
      </w:r>
      <w:r>
        <w:t>acji przewodów, ochrony od porażeń, oporności uziemienia.</w:t>
      </w:r>
    </w:p>
    <w:p w:rsidR="00E505D6" w:rsidRDefault="000060F0">
      <w:pPr>
        <w:numPr>
          <w:ilvl w:val="0"/>
          <w:numId w:val="13"/>
        </w:numPr>
        <w:ind w:hanging="410"/>
        <w:jc w:val="left"/>
      </w:pPr>
      <w:r>
        <w:rPr>
          <w:b/>
        </w:rPr>
        <w:t>Odbiór końcowy</w:t>
      </w:r>
    </w:p>
    <w:p w:rsidR="00E505D6" w:rsidRDefault="000060F0">
      <w:pPr>
        <w:ind w:left="408"/>
      </w:pPr>
      <w:r>
        <w:t>Do odbioru końcowego należy przedłożyć komplet protokołów z pomiarów kontrolnych, atesty na zamontowane materiały, znaki bezpieczeństwa.</w:t>
      </w:r>
    </w:p>
    <w:p w:rsidR="00E505D6" w:rsidRDefault="000060F0">
      <w:pPr>
        <w:spacing w:after="220"/>
        <w:ind w:left="408"/>
      </w:pPr>
      <w:r>
        <w:t>W czasie odbioru sprawdzić prawidłowość działa</w:t>
      </w:r>
      <w:r>
        <w:t>nia instalacji elektrycznej.</w:t>
      </w:r>
    </w:p>
    <w:p w:rsidR="00E505D6" w:rsidRDefault="000060F0">
      <w:pPr>
        <w:spacing w:after="0" w:line="259" w:lineRule="auto"/>
        <w:ind w:left="413" w:firstLine="0"/>
        <w:jc w:val="left"/>
      </w:pPr>
      <w:r>
        <w:rPr>
          <w:b/>
        </w:rPr>
        <w:t xml:space="preserve">      </w:t>
      </w:r>
    </w:p>
    <w:sectPr w:rsidR="00E505D6">
      <w:pgSz w:w="11906" w:h="16838"/>
      <w:pgMar w:top="1141" w:right="1131" w:bottom="1142" w:left="169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1786"/>
    <w:multiLevelType w:val="hybridMultilevel"/>
    <w:tmpl w:val="272620BE"/>
    <w:lvl w:ilvl="0" w:tplc="9D9C1B40">
      <w:start w:val="1"/>
      <w:numFmt w:val="decimal"/>
      <w:lvlText w:val="%1."/>
      <w:lvlJc w:val="left"/>
      <w:pPr>
        <w:ind w:left="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CB3C624C">
      <w:start w:val="1"/>
      <w:numFmt w:val="lowerLetter"/>
      <w:lvlText w:val="%2"/>
      <w:lvlJc w:val="left"/>
      <w:pPr>
        <w:ind w:left="1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9634ECB0">
      <w:start w:val="1"/>
      <w:numFmt w:val="lowerRoman"/>
      <w:lvlText w:val="%3"/>
      <w:lvlJc w:val="left"/>
      <w:pPr>
        <w:ind w:left="2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AA0CF8D6">
      <w:start w:val="1"/>
      <w:numFmt w:val="decimal"/>
      <w:lvlText w:val="%4"/>
      <w:lvlJc w:val="left"/>
      <w:pPr>
        <w:ind w:left="2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D0CA7E82">
      <w:start w:val="1"/>
      <w:numFmt w:val="lowerLetter"/>
      <w:lvlText w:val="%5"/>
      <w:lvlJc w:val="left"/>
      <w:pPr>
        <w:ind w:left="3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E5882C98">
      <w:start w:val="1"/>
      <w:numFmt w:val="lowerRoman"/>
      <w:lvlText w:val="%6"/>
      <w:lvlJc w:val="left"/>
      <w:pPr>
        <w:ind w:left="4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4D6EE436">
      <w:start w:val="1"/>
      <w:numFmt w:val="decimal"/>
      <w:lvlText w:val="%7"/>
      <w:lvlJc w:val="left"/>
      <w:pPr>
        <w:ind w:left="5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95AEC82A">
      <w:start w:val="1"/>
      <w:numFmt w:val="lowerLetter"/>
      <w:lvlText w:val="%8"/>
      <w:lvlJc w:val="left"/>
      <w:pPr>
        <w:ind w:left="5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A086BB5C">
      <w:start w:val="1"/>
      <w:numFmt w:val="lowerRoman"/>
      <w:lvlText w:val="%9"/>
      <w:lvlJc w:val="left"/>
      <w:pPr>
        <w:ind w:left="6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D44395"/>
    <w:multiLevelType w:val="hybridMultilevel"/>
    <w:tmpl w:val="CBB44E04"/>
    <w:lvl w:ilvl="0" w:tplc="831080BE">
      <w:start w:val="1"/>
      <w:numFmt w:val="bullet"/>
      <w:lvlText w:val=""/>
      <w:lvlJc w:val="left"/>
      <w:pPr>
        <w:ind w:left="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C885E8">
      <w:start w:val="1"/>
      <w:numFmt w:val="bullet"/>
      <w:lvlText w:val="o"/>
      <w:lvlJc w:val="left"/>
      <w:pPr>
        <w:ind w:left="1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8C561E">
      <w:start w:val="1"/>
      <w:numFmt w:val="bullet"/>
      <w:lvlText w:val="▪"/>
      <w:lvlJc w:val="left"/>
      <w:pPr>
        <w:ind w:left="2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B6C4FE">
      <w:start w:val="1"/>
      <w:numFmt w:val="bullet"/>
      <w:lvlText w:val="•"/>
      <w:lvlJc w:val="left"/>
      <w:pPr>
        <w:ind w:left="2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D68F36">
      <w:start w:val="1"/>
      <w:numFmt w:val="bullet"/>
      <w:lvlText w:val="o"/>
      <w:lvlJc w:val="left"/>
      <w:pPr>
        <w:ind w:left="3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8EED04">
      <w:start w:val="1"/>
      <w:numFmt w:val="bullet"/>
      <w:lvlText w:val="▪"/>
      <w:lvlJc w:val="left"/>
      <w:pPr>
        <w:ind w:left="4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D697E6">
      <w:start w:val="1"/>
      <w:numFmt w:val="bullet"/>
      <w:lvlText w:val="•"/>
      <w:lvlJc w:val="left"/>
      <w:pPr>
        <w:ind w:left="5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3E076C">
      <w:start w:val="1"/>
      <w:numFmt w:val="bullet"/>
      <w:lvlText w:val="o"/>
      <w:lvlJc w:val="left"/>
      <w:pPr>
        <w:ind w:left="5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1C76DE">
      <w:start w:val="1"/>
      <w:numFmt w:val="bullet"/>
      <w:lvlText w:val="▪"/>
      <w:lvlJc w:val="left"/>
      <w:pPr>
        <w:ind w:left="6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AF0F01"/>
    <w:multiLevelType w:val="hybridMultilevel"/>
    <w:tmpl w:val="B80891B8"/>
    <w:lvl w:ilvl="0" w:tplc="BB7E86A8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52D852">
      <w:start w:val="1"/>
      <w:numFmt w:val="bullet"/>
      <w:lvlText w:val="o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CC6F64">
      <w:start w:val="1"/>
      <w:numFmt w:val="bullet"/>
      <w:lvlText w:val="▪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0897BA">
      <w:start w:val="1"/>
      <w:numFmt w:val="bullet"/>
      <w:lvlText w:val="•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92DF22">
      <w:start w:val="1"/>
      <w:numFmt w:val="bullet"/>
      <w:lvlText w:val="o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0C46C2">
      <w:start w:val="1"/>
      <w:numFmt w:val="bullet"/>
      <w:lvlText w:val="▪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FA93D2">
      <w:start w:val="1"/>
      <w:numFmt w:val="bullet"/>
      <w:lvlText w:val="•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DEFFE6">
      <w:start w:val="1"/>
      <w:numFmt w:val="bullet"/>
      <w:lvlText w:val="o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3AC7F4">
      <w:start w:val="1"/>
      <w:numFmt w:val="bullet"/>
      <w:lvlText w:val="▪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D751EA"/>
    <w:multiLevelType w:val="hybridMultilevel"/>
    <w:tmpl w:val="89B0C8B8"/>
    <w:lvl w:ilvl="0" w:tplc="C47C5DEA">
      <w:start w:val="3"/>
      <w:numFmt w:val="decimal"/>
      <w:lvlText w:val="%1."/>
      <w:lvlJc w:val="left"/>
      <w:pPr>
        <w:ind w:left="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4C92D416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FA9CECA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540CDDAE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0AC6C866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A042966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972AC0FA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EDB27838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7438FA2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3C3480"/>
    <w:multiLevelType w:val="multilevel"/>
    <w:tmpl w:val="9404CCBA"/>
    <w:lvl w:ilvl="0">
      <w:start w:val="2"/>
      <w:numFmt w:val="decimal"/>
      <w:lvlText w:val="%1."/>
      <w:lvlJc w:val="left"/>
      <w:pPr>
        <w:ind w:left="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793331"/>
    <w:multiLevelType w:val="hybridMultilevel"/>
    <w:tmpl w:val="1716075E"/>
    <w:lvl w:ilvl="0" w:tplc="111A57F2">
      <w:start w:val="12"/>
      <w:numFmt w:val="upperRoman"/>
      <w:lvlText w:val="%1."/>
      <w:lvlJc w:val="left"/>
      <w:pPr>
        <w:ind w:left="8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F09E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969A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6CCD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82BE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E09F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3C94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EEAD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3C90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833565"/>
    <w:multiLevelType w:val="hybridMultilevel"/>
    <w:tmpl w:val="571AD366"/>
    <w:lvl w:ilvl="0" w:tplc="6EC4CEB6">
      <w:start w:val="1"/>
      <w:numFmt w:val="bullet"/>
      <w:lvlText w:val="-"/>
      <w:lvlJc w:val="left"/>
      <w:pPr>
        <w:ind w:left="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8E5468">
      <w:start w:val="1"/>
      <w:numFmt w:val="bullet"/>
      <w:lvlText w:val="o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9CB0CA">
      <w:start w:val="1"/>
      <w:numFmt w:val="bullet"/>
      <w:lvlText w:val="▪"/>
      <w:lvlJc w:val="left"/>
      <w:pPr>
        <w:ind w:left="1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0E743E">
      <w:start w:val="1"/>
      <w:numFmt w:val="bullet"/>
      <w:lvlText w:val="•"/>
      <w:lvlJc w:val="left"/>
      <w:pPr>
        <w:ind w:left="2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25A6C">
      <w:start w:val="1"/>
      <w:numFmt w:val="bullet"/>
      <w:lvlText w:val="o"/>
      <w:lvlJc w:val="left"/>
      <w:pPr>
        <w:ind w:left="3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921F98">
      <w:start w:val="1"/>
      <w:numFmt w:val="bullet"/>
      <w:lvlText w:val="▪"/>
      <w:lvlJc w:val="left"/>
      <w:pPr>
        <w:ind w:left="4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7AACFA">
      <w:start w:val="1"/>
      <w:numFmt w:val="bullet"/>
      <w:lvlText w:val="•"/>
      <w:lvlJc w:val="left"/>
      <w:pPr>
        <w:ind w:left="4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627B18">
      <w:start w:val="1"/>
      <w:numFmt w:val="bullet"/>
      <w:lvlText w:val="o"/>
      <w:lvlJc w:val="left"/>
      <w:pPr>
        <w:ind w:left="5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BC49EE">
      <w:start w:val="1"/>
      <w:numFmt w:val="bullet"/>
      <w:lvlText w:val="▪"/>
      <w:lvlJc w:val="left"/>
      <w:pPr>
        <w:ind w:left="6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9A1D93"/>
    <w:multiLevelType w:val="hybridMultilevel"/>
    <w:tmpl w:val="96C44536"/>
    <w:lvl w:ilvl="0" w:tplc="77FEB22E">
      <w:start w:val="1"/>
      <w:numFmt w:val="bullet"/>
      <w:lvlText w:val="•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CEBAA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E2FE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10FAE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EC01D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F883F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AAD1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B43D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88CEB1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A156B8"/>
    <w:multiLevelType w:val="hybridMultilevel"/>
    <w:tmpl w:val="518CCED2"/>
    <w:lvl w:ilvl="0" w:tplc="012EB5A2">
      <w:start w:val="8"/>
      <w:numFmt w:val="upperRoman"/>
      <w:lvlText w:val="%1."/>
      <w:lvlJc w:val="left"/>
      <w:pPr>
        <w:ind w:left="8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4440A0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8E653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007AD6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A6086A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A6789E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9EB13A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E0B7FC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58109A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A30722"/>
    <w:multiLevelType w:val="hybridMultilevel"/>
    <w:tmpl w:val="B8FC3A9C"/>
    <w:lvl w:ilvl="0" w:tplc="EE8E870C">
      <w:start w:val="1"/>
      <w:numFmt w:val="lowerLetter"/>
      <w:lvlText w:val="%1)"/>
      <w:lvlJc w:val="left"/>
      <w:pPr>
        <w:ind w:left="10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4AEF66">
      <w:start w:val="1"/>
      <w:numFmt w:val="lowerLetter"/>
      <w:lvlText w:val="%2"/>
      <w:lvlJc w:val="left"/>
      <w:pPr>
        <w:ind w:left="1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C665B0">
      <w:start w:val="1"/>
      <w:numFmt w:val="lowerRoman"/>
      <w:lvlText w:val="%3"/>
      <w:lvlJc w:val="left"/>
      <w:pPr>
        <w:ind w:left="2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78FE50">
      <w:start w:val="1"/>
      <w:numFmt w:val="decimal"/>
      <w:lvlText w:val="%4"/>
      <w:lvlJc w:val="left"/>
      <w:pPr>
        <w:ind w:left="2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8E33E0">
      <w:start w:val="1"/>
      <w:numFmt w:val="lowerLetter"/>
      <w:lvlText w:val="%5"/>
      <w:lvlJc w:val="left"/>
      <w:pPr>
        <w:ind w:left="3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EA75C">
      <w:start w:val="1"/>
      <w:numFmt w:val="lowerRoman"/>
      <w:lvlText w:val="%6"/>
      <w:lvlJc w:val="left"/>
      <w:pPr>
        <w:ind w:left="4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7617F0">
      <w:start w:val="1"/>
      <w:numFmt w:val="decimal"/>
      <w:lvlText w:val="%7"/>
      <w:lvlJc w:val="left"/>
      <w:pPr>
        <w:ind w:left="4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BA2960">
      <w:start w:val="1"/>
      <w:numFmt w:val="lowerLetter"/>
      <w:lvlText w:val="%8"/>
      <w:lvlJc w:val="left"/>
      <w:pPr>
        <w:ind w:left="5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BCA956">
      <w:start w:val="1"/>
      <w:numFmt w:val="lowerRoman"/>
      <w:lvlText w:val="%9"/>
      <w:lvlJc w:val="left"/>
      <w:pPr>
        <w:ind w:left="6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D50DD8"/>
    <w:multiLevelType w:val="hybridMultilevel"/>
    <w:tmpl w:val="838ACF20"/>
    <w:lvl w:ilvl="0" w:tplc="733E91F2">
      <w:start w:val="10"/>
      <w:numFmt w:val="upperRoman"/>
      <w:lvlText w:val="%1."/>
      <w:lvlJc w:val="left"/>
      <w:pPr>
        <w:ind w:left="6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FC58DA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2430A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74346A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6EF0D6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DECAC6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469DE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4201A4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A6DDEE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153FE6"/>
    <w:multiLevelType w:val="hybridMultilevel"/>
    <w:tmpl w:val="2AD4769A"/>
    <w:lvl w:ilvl="0" w:tplc="64A230F4">
      <w:start w:val="1"/>
      <w:numFmt w:val="bullet"/>
      <w:lvlText w:val="-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54C3A2">
      <w:start w:val="1"/>
      <w:numFmt w:val="bullet"/>
      <w:lvlText w:val="o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FA3300">
      <w:start w:val="1"/>
      <w:numFmt w:val="bullet"/>
      <w:lvlText w:val="▪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05C">
      <w:start w:val="1"/>
      <w:numFmt w:val="bullet"/>
      <w:lvlText w:val="•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1238CA">
      <w:start w:val="1"/>
      <w:numFmt w:val="bullet"/>
      <w:lvlText w:val="o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F6B9CA">
      <w:start w:val="1"/>
      <w:numFmt w:val="bullet"/>
      <w:lvlText w:val="▪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5820F4">
      <w:start w:val="1"/>
      <w:numFmt w:val="bullet"/>
      <w:lvlText w:val="•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A49E94">
      <w:start w:val="1"/>
      <w:numFmt w:val="bullet"/>
      <w:lvlText w:val="o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447E02">
      <w:start w:val="1"/>
      <w:numFmt w:val="bullet"/>
      <w:lvlText w:val="▪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B222642"/>
    <w:multiLevelType w:val="hybridMultilevel"/>
    <w:tmpl w:val="C2DAAC4E"/>
    <w:lvl w:ilvl="0" w:tplc="BA1E8D92">
      <w:start w:val="1"/>
      <w:numFmt w:val="lowerLetter"/>
      <w:lvlText w:val="%1)"/>
      <w:lvlJc w:val="left"/>
      <w:pPr>
        <w:ind w:left="10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D4F8DA">
      <w:start w:val="1"/>
      <w:numFmt w:val="lowerLetter"/>
      <w:lvlText w:val="%2"/>
      <w:lvlJc w:val="left"/>
      <w:pPr>
        <w:ind w:left="13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2CEE0">
      <w:start w:val="1"/>
      <w:numFmt w:val="lowerRoman"/>
      <w:lvlText w:val="%3"/>
      <w:lvlJc w:val="left"/>
      <w:pPr>
        <w:ind w:left="20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A68C7A">
      <w:start w:val="1"/>
      <w:numFmt w:val="decimal"/>
      <w:lvlText w:val="%4"/>
      <w:lvlJc w:val="left"/>
      <w:pPr>
        <w:ind w:left="27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A5F64">
      <w:start w:val="1"/>
      <w:numFmt w:val="lowerLetter"/>
      <w:lvlText w:val="%5"/>
      <w:lvlJc w:val="left"/>
      <w:pPr>
        <w:ind w:left="35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345CAA">
      <w:start w:val="1"/>
      <w:numFmt w:val="lowerRoman"/>
      <w:lvlText w:val="%6"/>
      <w:lvlJc w:val="left"/>
      <w:pPr>
        <w:ind w:left="42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CFE6C">
      <w:start w:val="1"/>
      <w:numFmt w:val="decimal"/>
      <w:lvlText w:val="%7"/>
      <w:lvlJc w:val="left"/>
      <w:pPr>
        <w:ind w:left="49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9AE748">
      <w:start w:val="1"/>
      <w:numFmt w:val="lowerLetter"/>
      <w:lvlText w:val="%8"/>
      <w:lvlJc w:val="left"/>
      <w:pPr>
        <w:ind w:left="56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C696C2">
      <w:start w:val="1"/>
      <w:numFmt w:val="lowerRoman"/>
      <w:lvlText w:val="%9"/>
      <w:lvlJc w:val="left"/>
      <w:pPr>
        <w:ind w:left="63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D6"/>
    <w:rsid w:val="000060F0"/>
    <w:rsid w:val="00E5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453BD-F183-4F1E-81E7-FF08F550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0" w:lineRule="auto"/>
      <w:ind w:left="21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9"/>
      <w:outlineLvl w:val="0"/>
    </w:pPr>
    <w:rPr>
      <w:rFonts w:ascii="Arial" w:eastAsia="Arial" w:hAnsi="Arial" w:cs="Arial"/>
      <w:b/>
      <w:color w:val="000000"/>
      <w:sz w:val="2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60F0"/>
    <w:pPr>
      <w:keepNext/>
      <w:keepLines/>
      <w:spacing w:before="40" w:after="0" w:line="248" w:lineRule="auto"/>
      <w:ind w:left="519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60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1915</Words>
  <Characters>11492</Characters>
  <Application>Microsoft Office Word</Application>
  <DocSecurity>0</DocSecurity>
  <Lines>95</Lines>
  <Paragraphs>26</Paragraphs>
  <ScaleCrop>false</ScaleCrop>
  <Company/>
  <LinksUpToDate>false</LinksUpToDate>
  <CharactersWithSpaces>13381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INWESTYCJE1</dc:creator>
  <cp:keywords/>
  <cp:lastModifiedBy>uzytkownik</cp:lastModifiedBy>
  <cp:revision>2</cp:revision>
  <dcterms:created xsi:type="dcterms:W3CDTF">2024-05-22T11:17:00Z</dcterms:created>
  <dcterms:modified xsi:type="dcterms:W3CDTF">2024-05-22T11:17:00Z</dcterms:modified>
</cp:coreProperties>
</file>