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D90" w:rsidRDefault="004248F6">
      <w:pPr>
        <w:spacing w:after="0"/>
        <w:ind w:left="414" w:firstLine="0"/>
        <w:jc w:val="center"/>
      </w:pPr>
      <w:r>
        <w:rPr>
          <w:b/>
          <w:sz w:val="26"/>
        </w:rPr>
        <w:t>SST - 12</w:t>
      </w:r>
    </w:p>
    <w:p w:rsidR="00AF0D90" w:rsidRDefault="004248F6">
      <w:pPr>
        <w:spacing w:after="0"/>
        <w:ind w:left="419" w:right="4"/>
        <w:jc w:val="center"/>
      </w:pPr>
      <w:r>
        <w:rPr>
          <w:b/>
          <w:sz w:val="21"/>
        </w:rPr>
        <w:t>SZCZEGÓŁOWA SPECYFIKACJA TECHNICZNA</w:t>
      </w:r>
    </w:p>
    <w:p w:rsidR="00AF0D90" w:rsidRDefault="004248F6">
      <w:pPr>
        <w:spacing w:after="0"/>
        <w:ind w:left="419" w:right="3"/>
        <w:jc w:val="center"/>
      </w:pPr>
      <w:r>
        <w:rPr>
          <w:b/>
          <w:sz w:val="21"/>
        </w:rPr>
        <w:t xml:space="preserve">ELEMENTY ZAGOSPODAROWANIA TERENU </w:t>
      </w:r>
    </w:p>
    <w:p w:rsidR="00AF0D90" w:rsidRDefault="004248F6">
      <w:pPr>
        <w:spacing w:after="245"/>
        <w:ind w:left="419"/>
        <w:jc w:val="center"/>
      </w:pPr>
      <w:r>
        <w:rPr>
          <w:b/>
          <w:sz w:val="21"/>
        </w:rPr>
        <w:t xml:space="preserve"> kod   CPV 45111291- 4 </w:t>
      </w:r>
    </w:p>
    <w:p w:rsidR="00AF0D90" w:rsidRDefault="004248F6">
      <w:pPr>
        <w:spacing w:after="0"/>
        <w:ind w:left="407"/>
        <w:jc w:val="left"/>
      </w:pPr>
      <w:r>
        <w:rPr>
          <w:u w:val="single" w:color="000000"/>
        </w:rPr>
        <w:t xml:space="preserve"> 1.1.  Przedmiot SST. </w:t>
      </w:r>
    </w:p>
    <w:p w:rsidR="00AF0D90" w:rsidRDefault="004248F6">
      <w:pPr>
        <w:spacing w:after="280"/>
        <w:ind w:left="407"/>
      </w:pPr>
      <w:r>
        <w:t xml:space="preserve">Przedmiotem niniejszej szczegółowej specyfikacji technicznej są wymagania dotyczące wykonania i </w:t>
      </w:r>
      <w:r>
        <w:t>odbioru robót związanych z zagospodarowaniem terenu w zadaniu pod nazwą.:</w:t>
      </w:r>
    </w:p>
    <w:p w:rsidR="004248F6" w:rsidRPr="004248F6" w:rsidRDefault="004248F6" w:rsidP="004248F6">
      <w:pPr>
        <w:pStyle w:val="Nagwek2"/>
        <w:ind w:left="284"/>
        <w:rPr>
          <w:rFonts w:ascii="Arial" w:eastAsia="Arial" w:hAnsi="Arial" w:cs="Arial"/>
          <w:b/>
          <w:color w:val="000000" w:themeColor="text1"/>
          <w:sz w:val="22"/>
        </w:rPr>
      </w:pPr>
      <w:r w:rsidRPr="004248F6">
        <w:rPr>
          <w:b/>
          <w:color w:val="000000" w:themeColor="text1"/>
          <w:sz w:val="22"/>
        </w:rPr>
        <w:t xml:space="preserve">Dzienny Dom Pomocy w Gminie Wiśniowa </w:t>
      </w:r>
    </w:p>
    <w:p w:rsidR="00AF0D90" w:rsidRDefault="00AF0D90">
      <w:pPr>
        <w:spacing w:after="293"/>
        <w:ind w:left="-5"/>
      </w:pPr>
    </w:p>
    <w:p w:rsidR="00AF0D90" w:rsidRDefault="004248F6">
      <w:pPr>
        <w:spacing w:after="0"/>
        <w:ind w:left="407"/>
        <w:jc w:val="left"/>
      </w:pPr>
      <w:r>
        <w:rPr>
          <w:u w:val="single" w:color="000000"/>
        </w:rPr>
        <w:t xml:space="preserve"> 1.2.  Zakres stosowania SST. </w:t>
      </w:r>
      <w:bookmarkStart w:id="0" w:name="_GoBack"/>
      <w:bookmarkEnd w:id="0"/>
    </w:p>
    <w:p w:rsidR="00AF0D90" w:rsidRDefault="004248F6">
      <w:pPr>
        <w:spacing w:after="35"/>
        <w:ind w:left="407"/>
      </w:pPr>
      <w:r>
        <w:t>Szczegółowa specyfikacja techniczna jest stosowana jako dokument przetargowy i kontraktowy przy zlecaniu i realizacji r</w:t>
      </w:r>
      <w:r>
        <w:t>obót wymienionych w pkt. 1.1.</w:t>
      </w:r>
    </w:p>
    <w:p w:rsidR="00AF0D90" w:rsidRDefault="004248F6">
      <w:pPr>
        <w:spacing w:after="0"/>
        <w:ind w:left="407"/>
        <w:jc w:val="left"/>
      </w:pPr>
      <w:r>
        <w:rPr>
          <w:u w:val="single" w:color="000000"/>
        </w:rPr>
        <w:t xml:space="preserve"> 1.3.  Zakres robót objętych SST. </w:t>
      </w:r>
    </w:p>
    <w:p w:rsidR="00AF0D90" w:rsidRDefault="004248F6">
      <w:pPr>
        <w:spacing w:after="201"/>
        <w:ind w:left="407"/>
      </w:pPr>
      <w:r>
        <w:t>Roboty, których dotyczy specyfikacja, obejmują wszystkie czynności umożliwiające i mające na celu wykonanie zagospodarowania terenu.</w:t>
      </w:r>
    </w:p>
    <w:p w:rsidR="00AF0D90" w:rsidRDefault="004248F6">
      <w:pPr>
        <w:numPr>
          <w:ilvl w:val="0"/>
          <w:numId w:val="1"/>
        </w:numPr>
        <w:ind w:hanging="122"/>
      </w:pPr>
      <w:r>
        <w:t>droga i miejsca postojowe o nawierzchni z kostki betonowej</w:t>
      </w:r>
      <w:r>
        <w:t xml:space="preserve"> kolorowej gr. 8 cm na posypce  cementowo- piaskowej gr 5 cm na podbudowie z kruszywa gr. 15 cm i podsypce piaskowej 20 cm,</w:t>
      </w:r>
    </w:p>
    <w:p w:rsidR="00AF0D90" w:rsidRDefault="004248F6">
      <w:pPr>
        <w:numPr>
          <w:ilvl w:val="0"/>
          <w:numId w:val="1"/>
        </w:numPr>
        <w:spacing w:after="309"/>
        <w:ind w:hanging="122"/>
      </w:pPr>
      <w:r>
        <w:t>wybudowanie nowych schodów zewnętrznych wraz z podjazdem dla osób niepełnosprawnych</w:t>
      </w:r>
    </w:p>
    <w:p w:rsidR="00AF0D90" w:rsidRDefault="004248F6">
      <w:pPr>
        <w:numPr>
          <w:ilvl w:val="1"/>
          <w:numId w:val="2"/>
        </w:numPr>
        <w:spacing w:after="0"/>
        <w:ind w:hanging="386"/>
        <w:jc w:val="left"/>
      </w:pPr>
      <w:r>
        <w:rPr>
          <w:u w:val="single" w:color="000000"/>
        </w:rPr>
        <w:t xml:space="preserve">Określenia podstawowe. </w:t>
      </w:r>
    </w:p>
    <w:p w:rsidR="00AF0D90" w:rsidRDefault="004248F6">
      <w:pPr>
        <w:spacing w:after="32"/>
        <w:ind w:left="407"/>
      </w:pPr>
      <w:r>
        <w:t>Określenia podane w niniejszej SST są zgodne z obowiązującymi odpowiednimi normami.</w:t>
      </w:r>
    </w:p>
    <w:p w:rsidR="00AF0D90" w:rsidRDefault="004248F6">
      <w:pPr>
        <w:numPr>
          <w:ilvl w:val="1"/>
          <w:numId w:val="2"/>
        </w:numPr>
        <w:spacing w:after="0"/>
        <w:ind w:hanging="386"/>
        <w:jc w:val="left"/>
      </w:pPr>
      <w:r>
        <w:rPr>
          <w:u w:val="single" w:color="000000"/>
        </w:rPr>
        <w:t xml:space="preserve">Ogólne wymagania dotyczące robót. </w:t>
      </w:r>
    </w:p>
    <w:p w:rsidR="00AF0D90" w:rsidRDefault="004248F6">
      <w:pPr>
        <w:spacing w:after="148"/>
        <w:ind w:left="407"/>
      </w:pPr>
      <w:r>
        <w:t>Wykonawca robót jest odpowiedzialny za jakość ich wykonania oraz za zgodność z dokumentacją projektową, SST i poleceniami Inżyniera.</w:t>
      </w:r>
    </w:p>
    <w:p w:rsidR="00AF0D90" w:rsidRDefault="004248F6">
      <w:pPr>
        <w:pStyle w:val="Nagwek1"/>
        <w:spacing w:after="32"/>
        <w:ind w:left="407"/>
      </w:pPr>
      <w:r>
        <w:t>2. M</w:t>
      </w:r>
      <w:r>
        <w:t>ateriały</w:t>
      </w:r>
    </w:p>
    <w:p w:rsidR="00AF0D90" w:rsidRDefault="004248F6">
      <w:pPr>
        <w:spacing w:after="27"/>
        <w:ind w:left="407" w:right="3945"/>
      </w:pPr>
      <w:r>
        <w:t>2.1. Betony, cementy   C12/15 , C15/20 , C20/25        cement portlandzki „25” do zapraw.</w:t>
      </w:r>
    </w:p>
    <w:p w:rsidR="00AF0D90" w:rsidRDefault="004248F6">
      <w:pPr>
        <w:spacing w:after="0"/>
        <w:ind w:left="407"/>
        <w:jc w:val="left"/>
      </w:pPr>
      <w:r>
        <w:rPr>
          <w:u w:val="single" w:color="000000"/>
        </w:rPr>
        <w:t xml:space="preserve"> 2.2.  Prefabrykaty   </w:t>
      </w:r>
    </w:p>
    <w:p w:rsidR="00AF0D90" w:rsidRDefault="004248F6">
      <w:pPr>
        <w:spacing w:after="32"/>
        <w:ind w:left="407"/>
      </w:pPr>
      <w:r>
        <w:t xml:space="preserve">kostka betonowa 20×10×8 cm  </w:t>
      </w:r>
    </w:p>
    <w:p w:rsidR="00AF0D90" w:rsidRDefault="004248F6">
      <w:pPr>
        <w:spacing w:after="32"/>
        <w:ind w:left="407"/>
      </w:pPr>
      <w:r>
        <w:t xml:space="preserve">2.3. Piasek do wykonania podsypki pod nawierzchnie </w:t>
      </w:r>
    </w:p>
    <w:p w:rsidR="00AF0D90" w:rsidRDefault="004248F6">
      <w:pPr>
        <w:spacing w:after="145"/>
        <w:ind w:left="407"/>
      </w:pPr>
      <w:r>
        <w:t xml:space="preserve">2.4. Kruszywo łamane na podbudowę </w:t>
      </w:r>
    </w:p>
    <w:p w:rsidR="00AF0D90" w:rsidRDefault="004248F6">
      <w:pPr>
        <w:pStyle w:val="Nagwek1"/>
        <w:ind w:left="407"/>
      </w:pPr>
      <w:r>
        <w:t>3. Sprzęt</w:t>
      </w:r>
    </w:p>
    <w:p w:rsidR="00AF0D90" w:rsidRDefault="004248F6">
      <w:pPr>
        <w:spacing w:after="201"/>
        <w:ind w:left="407"/>
      </w:pPr>
      <w:r>
        <w:t>Roboty z</w:t>
      </w:r>
      <w:r>
        <w:t>wiązane z zagospodarowaniem terenu i małą architekturą mogą być wykonywane ręcznie lub mechanicznie przy użyciu dowolnego typu sprzętu.</w:t>
      </w:r>
    </w:p>
    <w:p w:rsidR="00AF0D90" w:rsidRDefault="004248F6">
      <w:pPr>
        <w:pStyle w:val="Nagwek1"/>
        <w:spacing w:after="145"/>
        <w:ind w:left="407"/>
      </w:pPr>
      <w:r>
        <w:t>4. Transport</w:t>
      </w:r>
    </w:p>
    <w:p w:rsidR="00AF0D90" w:rsidRDefault="004248F6">
      <w:pPr>
        <w:spacing w:after="148"/>
        <w:ind w:left="407"/>
      </w:pPr>
      <w:r>
        <w:t>Materiały na budowę powinny być przewożone odpowiednimi środkami transportu, żeby uniknąć trwałych odkształ</w:t>
      </w:r>
      <w:r>
        <w:t>ceń i dostarczyć materiał w odpowiednim czasie (dotyczy betonów) oraz zgodnie z przepisami BHP i ruchu drogowego.</w:t>
      </w:r>
    </w:p>
    <w:p w:rsidR="00AF0D90" w:rsidRDefault="004248F6">
      <w:pPr>
        <w:pStyle w:val="Nagwek1"/>
        <w:ind w:left="407"/>
      </w:pPr>
      <w:r>
        <w:t>5. Wykonanie robót</w:t>
      </w:r>
    </w:p>
    <w:p w:rsidR="00AF0D90" w:rsidRDefault="004248F6">
      <w:pPr>
        <w:numPr>
          <w:ilvl w:val="0"/>
          <w:numId w:val="3"/>
        </w:numPr>
        <w:spacing w:after="35"/>
      </w:pPr>
      <w:r>
        <w:t>1.Roboty związane z zagospodarowaniem terenu należy wykonać po zakończeniu robót budowlanych.</w:t>
      </w:r>
    </w:p>
    <w:p w:rsidR="00AF0D90" w:rsidRDefault="004248F6">
      <w:pPr>
        <w:numPr>
          <w:ilvl w:val="1"/>
          <w:numId w:val="3"/>
        </w:numPr>
        <w:ind w:hanging="386"/>
      </w:pPr>
      <w:r>
        <w:t>Roboty związane z zagospodarowaniem terenu i innymi elementami.</w:t>
      </w:r>
    </w:p>
    <w:p w:rsidR="00AF0D90" w:rsidRDefault="004248F6">
      <w:pPr>
        <w:ind w:left="10"/>
      </w:pPr>
      <w:r>
        <w:t xml:space="preserve">       5.2.1. Chodnik</w:t>
      </w:r>
    </w:p>
    <w:p w:rsidR="00AF0D90" w:rsidRDefault="004248F6">
      <w:pPr>
        <w:ind w:left="407"/>
      </w:pPr>
      <w:r>
        <w:t xml:space="preserve">   Bezpośrednio przed ułożeniem nawierzchni wykonać 15 cm podsypkę z piasku gruboziarnistego z rozścieleniem, zagęszczeniem mechanicznym do </w:t>
      </w:r>
      <w:proofErr w:type="spellStart"/>
      <w:r>
        <w:t>Is</w:t>
      </w:r>
      <w:proofErr w:type="spellEnd"/>
      <w:r>
        <w:t xml:space="preserve"> = 0,95 i uzupełnieniem w cz</w:t>
      </w:r>
      <w:r>
        <w:t>asie ubijania oraz wyrównaniem szablonem powierzchni do wymaganego profilu.</w:t>
      </w:r>
    </w:p>
    <w:p w:rsidR="00AF0D90" w:rsidRDefault="004248F6">
      <w:pPr>
        <w:ind w:left="407" w:right="139"/>
      </w:pPr>
      <w:r>
        <w:t xml:space="preserve">        Nawierzchnię wykonać z kostki betonowej o wymiarach 20×10×8 cm w kolorze szarym . Kostkę betonową układać z przycięciem wg potrzeby, ubiciem mechanicznym nawierzchni,  spra</w:t>
      </w:r>
      <w:r>
        <w:t>wdzeniem spadków i równości nawierzchni oraz wypełnieniem spoin przez zamulenie piaskiem.</w:t>
      </w:r>
    </w:p>
    <w:p w:rsidR="00AF0D90" w:rsidRDefault="004248F6">
      <w:pPr>
        <w:spacing w:after="0" w:line="233" w:lineRule="auto"/>
        <w:ind w:left="412" w:right="735" w:firstLine="0"/>
        <w:jc w:val="left"/>
      </w:pPr>
      <w:r>
        <w:t>5.2.3.</w:t>
      </w:r>
      <w:r>
        <w:rPr>
          <w:b/>
        </w:rPr>
        <w:t xml:space="preserve"> </w:t>
      </w:r>
      <w:r>
        <w:t>Po ustąpieniu prac budowlano- montażowych oczyścić teren z resztek materiałów budowlanych i chwastów. Na wymodelowane powierzchnie należy rozścielić ziemie uro</w:t>
      </w:r>
      <w:r>
        <w:t>dzajną w warstwie 10cm.</w:t>
      </w:r>
    </w:p>
    <w:p w:rsidR="00AF0D90" w:rsidRDefault="004248F6">
      <w:pPr>
        <w:ind w:left="407"/>
      </w:pPr>
      <w:r>
        <w:lastRenderedPageBreak/>
        <w:t xml:space="preserve">Następnie ziemie dokładnie wybronować i zasilić nawozami wieloskładnikowymi np. </w:t>
      </w:r>
      <w:proofErr w:type="spellStart"/>
      <w:r>
        <w:t>Polifoska</w:t>
      </w:r>
      <w:proofErr w:type="spellEnd"/>
      <w:r>
        <w:t xml:space="preserve"> w ilości 300kg/ha lub nawozami organicznymi np. obornikiem i przykryć warstwą torfu.</w:t>
      </w:r>
    </w:p>
    <w:p w:rsidR="00AF0D90" w:rsidRDefault="004248F6">
      <w:pPr>
        <w:pStyle w:val="Nagwek1"/>
        <w:spacing w:after="32"/>
        <w:ind w:left="407"/>
      </w:pPr>
      <w:r>
        <w:t>6. Kontrola jakości</w:t>
      </w:r>
    </w:p>
    <w:p w:rsidR="00AF0D90" w:rsidRDefault="004248F6">
      <w:pPr>
        <w:spacing w:after="32"/>
        <w:ind w:left="407"/>
      </w:pPr>
      <w:r>
        <w:t>6.1. Roboty ziemne wg SST Roboty ziem</w:t>
      </w:r>
      <w:r>
        <w:t>ne</w:t>
      </w:r>
    </w:p>
    <w:p w:rsidR="00AF0D90" w:rsidRDefault="004248F6">
      <w:pPr>
        <w:ind w:left="407" w:right="4527"/>
      </w:pPr>
      <w:r>
        <w:t>6.2. Nawierzchnia z kostki betonowej Sprawdzeniu podlega:</w:t>
      </w:r>
    </w:p>
    <w:p w:rsidR="00AF0D90" w:rsidRDefault="004248F6">
      <w:pPr>
        <w:numPr>
          <w:ilvl w:val="0"/>
          <w:numId w:val="4"/>
        </w:numPr>
        <w:ind w:hanging="308"/>
      </w:pPr>
      <w:r>
        <w:t>przygotowanie podłoża</w:t>
      </w:r>
    </w:p>
    <w:p w:rsidR="00AF0D90" w:rsidRDefault="004248F6">
      <w:pPr>
        <w:numPr>
          <w:ilvl w:val="0"/>
          <w:numId w:val="4"/>
        </w:numPr>
        <w:ind w:hanging="308"/>
      </w:pPr>
      <w:r>
        <w:t>materiał użyty na podkład</w:t>
      </w:r>
    </w:p>
    <w:p w:rsidR="00AF0D90" w:rsidRDefault="004248F6">
      <w:pPr>
        <w:numPr>
          <w:ilvl w:val="0"/>
          <w:numId w:val="4"/>
        </w:numPr>
        <w:ind w:hanging="308"/>
      </w:pPr>
      <w:r>
        <w:t>grubość i równomierność warstw podkładu</w:t>
      </w:r>
    </w:p>
    <w:p w:rsidR="00AF0D90" w:rsidRDefault="004248F6">
      <w:pPr>
        <w:numPr>
          <w:ilvl w:val="0"/>
          <w:numId w:val="4"/>
        </w:numPr>
        <w:ind w:hanging="308"/>
      </w:pPr>
      <w:r>
        <w:t>sposób i jakość zagęszczenia</w:t>
      </w:r>
    </w:p>
    <w:p w:rsidR="00AF0D90" w:rsidRDefault="004248F6">
      <w:pPr>
        <w:numPr>
          <w:ilvl w:val="0"/>
          <w:numId w:val="4"/>
        </w:numPr>
        <w:ind w:hanging="308"/>
      </w:pPr>
      <w:r>
        <w:t>jakość dostarczonych prefabrykatów</w:t>
      </w:r>
    </w:p>
    <w:p w:rsidR="00AF0D90" w:rsidRDefault="004248F6">
      <w:pPr>
        <w:numPr>
          <w:ilvl w:val="0"/>
          <w:numId w:val="4"/>
        </w:numPr>
        <w:ind w:hanging="308"/>
      </w:pPr>
      <w:r>
        <w:t>prawidłowość ułożenia i zamulenia piaskiem.</w:t>
      </w:r>
    </w:p>
    <w:p w:rsidR="00AF0D90" w:rsidRDefault="004248F6">
      <w:pPr>
        <w:spacing w:after="145"/>
        <w:ind w:left="407"/>
      </w:pPr>
      <w:r>
        <w:t xml:space="preserve">6.3. Roboty betonowe wg SST roboty betonowe </w:t>
      </w:r>
    </w:p>
    <w:p w:rsidR="00AF0D90" w:rsidRDefault="004248F6">
      <w:pPr>
        <w:pStyle w:val="Nagwek1"/>
        <w:ind w:left="407"/>
      </w:pPr>
      <w:r>
        <w:t>7. Obmiar robót</w:t>
      </w:r>
    </w:p>
    <w:p w:rsidR="00AF0D90" w:rsidRDefault="004248F6">
      <w:pPr>
        <w:ind w:left="407"/>
      </w:pPr>
      <w:r>
        <w:t>Jednostkami obmiaru są:</w:t>
      </w:r>
    </w:p>
    <w:p w:rsidR="00AF0D90" w:rsidRDefault="004248F6">
      <w:pPr>
        <w:ind w:left="407"/>
      </w:pPr>
      <w:r>
        <w:t xml:space="preserve"> Chodniki i odbój – m</w:t>
      </w:r>
      <w:r>
        <w:rPr>
          <w:sz w:val="18"/>
          <w:vertAlign w:val="superscript"/>
        </w:rPr>
        <w:t>2</w:t>
      </w:r>
      <w:r>
        <w:t xml:space="preserve"> wykonanej nawierzchni.</w:t>
      </w:r>
    </w:p>
    <w:p w:rsidR="00AF0D90" w:rsidRDefault="004248F6">
      <w:pPr>
        <w:spacing w:after="0"/>
        <w:ind w:left="407"/>
        <w:jc w:val="left"/>
      </w:pPr>
      <w:r>
        <w:t xml:space="preserve"> </w:t>
      </w:r>
      <w:r>
        <w:rPr>
          <w:b/>
        </w:rPr>
        <w:t>8. Odbiór robót</w:t>
      </w:r>
    </w:p>
    <w:p w:rsidR="00AF0D90" w:rsidRDefault="004248F6">
      <w:pPr>
        <w:spacing w:after="145"/>
        <w:ind w:left="407"/>
      </w:pPr>
      <w:r>
        <w:t>Roboty podlegają zasadom odbioru robót zanikających, oraz odbiorowi końcowemu.</w:t>
      </w:r>
    </w:p>
    <w:p w:rsidR="00AF0D90" w:rsidRDefault="004248F6">
      <w:pPr>
        <w:pStyle w:val="Nagwek1"/>
        <w:ind w:left="407"/>
      </w:pPr>
      <w:r>
        <w:t>9. Podstawa płatności</w:t>
      </w:r>
    </w:p>
    <w:p w:rsidR="00AF0D90" w:rsidRDefault="004248F6">
      <w:pPr>
        <w:ind w:left="407"/>
      </w:pPr>
      <w:r>
        <w:t>Płaci się za roboty wykonane w jednostkach podanych w p. 7.</w:t>
      </w:r>
    </w:p>
    <w:p w:rsidR="00AF0D90" w:rsidRDefault="004248F6">
      <w:pPr>
        <w:spacing w:after="148"/>
        <w:ind w:left="407"/>
      </w:pPr>
      <w:r>
        <w:t>Cena jednostkowa obejmuje wszystkie roboty związane z wykonaniem zagospodarowania terenu wymienione w punkcie 5.</w:t>
      </w:r>
    </w:p>
    <w:p w:rsidR="00AF0D90" w:rsidRDefault="004248F6">
      <w:pPr>
        <w:spacing w:after="0"/>
        <w:ind w:left="407"/>
        <w:jc w:val="left"/>
      </w:pPr>
      <w:r>
        <w:rPr>
          <w:b/>
        </w:rPr>
        <w:t>10.  Przepisy związane.</w:t>
      </w:r>
    </w:p>
    <w:p w:rsidR="00AF0D90" w:rsidRDefault="004248F6">
      <w:pPr>
        <w:ind w:left="407"/>
      </w:pPr>
      <w:r>
        <w:t>PN-EN 206-1:2003   Beton.</w:t>
      </w:r>
    </w:p>
    <w:p w:rsidR="00AF0D90" w:rsidRDefault="004248F6">
      <w:pPr>
        <w:ind w:left="407"/>
      </w:pPr>
      <w:r>
        <w:t>PN-EN 196-1:1996   Cement. Metody</w:t>
      </w:r>
      <w:r>
        <w:t xml:space="preserve"> badań. Oznaczenie wytrzymałości.</w:t>
      </w:r>
    </w:p>
    <w:p w:rsidR="00AF0D90" w:rsidRDefault="004248F6">
      <w:pPr>
        <w:ind w:left="407"/>
      </w:pPr>
      <w:r>
        <w:t>PN-EN 196-3:1996   Cement. Metody badań. Oznaczenia czasów wiązania i stałości objętości.</w:t>
      </w:r>
    </w:p>
    <w:p w:rsidR="00AF0D90" w:rsidRDefault="004248F6">
      <w:pPr>
        <w:ind w:left="407"/>
      </w:pPr>
      <w:r>
        <w:t>PN-EN 196-6:1997   Cement. Metody badań. Oznaczenie stopnia zmielenia.</w:t>
      </w:r>
    </w:p>
    <w:p w:rsidR="00AF0D90" w:rsidRDefault="004248F6">
      <w:pPr>
        <w:tabs>
          <w:tab w:val="center" w:pos="1097"/>
          <w:tab w:val="center" w:pos="309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PN-90/B-30000</w:t>
      </w:r>
      <w:r>
        <w:tab/>
        <w:t xml:space="preserve">   Cement portlandzki.</w:t>
      </w:r>
    </w:p>
    <w:p w:rsidR="00AF0D90" w:rsidRDefault="004248F6">
      <w:pPr>
        <w:tabs>
          <w:tab w:val="center" w:pos="1097"/>
          <w:tab w:val="center" w:pos="336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PN-88/B-32250 </w:t>
      </w:r>
      <w:r>
        <w:tab/>
        <w:t xml:space="preserve">   Woda</w:t>
      </w:r>
      <w:r>
        <w:t xml:space="preserve"> do betonu i zapraw.</w:t>
      </w:r>
    </w:p>
    <w:p w:rsidR="00AF0D90" w:rsidRDefault="004248F6">
      <w:pPr>
        <w:ind w:left="1401" w:right="476" w:hanging="1004"/>
      </w:pPr>
      <w:r>
        <w:t xml:space="preserve">PN-B-06050:1999     Roboty ziemne budowlane. Wymagania w zakresie wykonywania i    </w:t>
      </w:r>
      <w:r>
        <w:tab/>
        <w:t xml:space="preserve">   badania przy odbiorze.</w:t>
      </w:r>
    </w:p>
    <w:p w:rsidR="00AF0D90" w:rsidRDefault="004248F6">
      <w:pPr>
        <w:ind w:left="407"/>
      </w:pPr>
      <w:r>
        <w:t>PN-86/B-02480        Grunty budowlane. Określenia. Symbole. Podział i opis gruntów.</w:t>
      </w:r>
    </w:p>
    <w:p w:rsidR="00AF0D90" w:rsidRDefault="004248F6">
      <w:pPr>
        <w:tabs>
          <w:tab w:val="center" w:pos="1086"/>
          <w:tab w:val="center" w:pos="426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BN-77/8931-12 </w:t>
      </w:r>
      <w:r>
        <w:tab/>
        <w:t xml:space="preserve">   Oznaczanie wskaźnika zagęszczenia gruntów.</w:t>
      </w:r>
    </w:p>
    <w:p w:rsidR="00AF0D90" w:rsidRDefault="004248F6">
      <w:pPr>
        <w:tabs>
          <w:tab w:val="center" w:pos="1097"/>
          <w:tab w:val="center" w:pos="525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PN-85/B-04500 </w:t>
      </w:r>
      <w:r>
        <w:tab/>
        <w:t xml:space="preserve">   Zaprawy budowlane. Badania cech fizycznych i wytrzymałościowych.</w:t>
      </w:r>
    </w:p>
    <w:p w:rsidR="00AF0D90" w:rsidRDefault="004248F6">
      <w:pPr>
        <w:ind w:left="407"/>
      </w:pPr>
      <w:r>
        <w:t>PN-EN 1008:2004   Woda zarobowa do betonu. Specyfikacja pobierania próbek.</w:t>
      </w:r>
    </w:p>
    <w:p w:rsidR="00AF0D90" w:rsidRDefault="004248F6">
      <w:pPr>
        <w:ind w:left="407"/>
      </w:pPr>
      <w:r>
        <w:t>PN-EN 13139:2003   Kruszywa do zapra</w:t>
      </w:r>
      <w:r>
        <w:t>wy.</w:t>
      </w:r>
    </w:p>
    <w:p w:rsidR="00AF0D90" w:rsidRDefault="004248F6">
      <w:pPr>
        <w:ind w:left="407"/>
      </w:pPr>
      <w:r>
        <w:t>PN-C-81911:1997     Farby epoksydowe do gruntowania odporne na czynniki chemiczne. PN-C-81608:1998    Emalie chlorokauczukowe.</w:t>
      </w:r>
    </w:p>
    <w:sectPr w:rsidR="00AF0D90">
      <w:pgSz w:w="11906" w:h="16838"/>
      <w:pgMar w:top="566" w:right="1134" w:bottom="742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53C"/>
    <w:multiLevelType w:val="multilevel"/>
    <w:tmpl w:val="8FD8CE6C"/>
    <w:lvl w:ilvl="0">
      <w:start w:val="5"/>
      <w:numFmt w:val="decimal"/>
      <w:lvlText w:val="%1."/>
      <w:lvlJc w:val="left"/>
      <w:pPr>
        <w:ind w:left="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0E0E5D"/>
    <w:multiLevelType w:val="hybridMultilevel"/>
    <w:tmpl w:val="4F3E876C"/>
    <w:lvl w:ilvl="0" w:tplc="CA62C912">
      <w:start w:val="1"/>
      <w:numFmt w:val="bullet"/>
      <w:lvlText w:val="-"/>
      <w:lvlJc w:val="left"/>
      <w:pPr>
        <w:ind w:left="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6088D4">
      <w:start w:val="1"/>
      <w:numFmt w:val="bullet"/>
      <w:lvlText w:val="o"/>
      <w:lvlJc w:val="left"/>
      <w:pPr>
        <w:ind w:left="1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44F708">
      <w:start w:val="1"/>
      <w:numFmt w:val="bullet"/>
      <w:lvlText w:val="▪"/>
      <w:lvlJc w:val="left"/>
      <w:pPr>
        <w:ind w:left="2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DE5988">
      <w:start w:val="1"/>
      <w:numFmt w:val="bullet"/>
      <w:lvlText w:val="•"/>
      <w:lvlJc w:val="left"/>
      <w:pPr>
        <w:ind w:left="2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AB152">
      <w:start w:val="1"/>
      <w:numFmt w:val="bullet"/>
      <w:lvlText w:val="o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F80804">
      <w:start w:val="1"/>
      <w:numFmt w:val="bullet"/>
      <w:lvlText w:val="▪"/>
      <w:lvlJc w:val="left"/>
      <w:pPr>
        <w:ind w:left="4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9CF3A8">
      <w:start w:val="1"/>
      <w:numFmt w:val="bullet"/>
      <w:lvlText w:val="•"/>
      <w:lvlJc w:val="left"/>
      <w:pPr>
        <w:ind w:left="5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361024">
      <w:start w:val="1"/>
      <w:numFmt w:val="bullet"/>
      <w:lvlText w:val="o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8CB2C">
      <w:start w:val="1"/>
      <w:numFmt w:val="bullet"/>
      <w:lvlText w:val="▪"/>
      <w:lvlJc w:val="left"/>
      <w:pPr>
        <w:ind w:left="6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DB5112"/>
    <w:multiLevelType w:val="hybridMultilevel"/>
    <w:tmpl w:val="C342394A"/>
    <w:lvl w:ilvl="0" w:tplc="3CC4813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703DC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A038F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78602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C4361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2EBE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083D2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CE0336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2A15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6C69EF"/>
    <w:multiLevelType w:val="multilevel"/>
    <w:tmpl w:val="833E8A5A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90"/>
    <w:rsid w:val="004248F6"/>
    <w:rsid w:val="00AF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2A6C8-117F-43A8-8EC1-024588B2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/>
      <w:ind w:left="42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422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48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48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uzytkownik</cp:lastModifiedBy>
  <cp:revision>2</cp:revision>
  <dcterms:created xsi:type="dcterms:W3CDTF">2024-05-22T11:10:00Z</dcterms:created>
  <dcterms:modified xsi:type="dcterms:W3CDTF">2024-05-22T11:10:00Z</dcterms:modified>
</cp:coreProperties>
</file>