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C960" w14:textId="2C0F0558" w:rsidR="00655191" w:rsidRPr="00CF2FCA" w:rsidRDefault="00390672" w:rsidP="0039067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2FC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26B5C">
        <w:rPr>
          <w:rFonts w:ascii="Times New Roman" w:hAnsi="Times New Roman" w:cs="Times New Roman"/>
          <w:b/>
          <w:sz w:val="24"/>
          <w:szCs w:val="24"/>
        </w:rPr>
        <w:t>8</w:t>
      </w:r>
      <w:r w:rsidRPr="00CF2FCA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3273367A" w14:textId="77777777" w:rsidR="00390672" w:rsidRPr="00CF2FCA" w:rsidRDefault="00390672" w:rsidP="00CF2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FCA">
        <w:rPr>
          <w:rFonts w:ascii="Times New Roman" w:hAnsi="Times New Roman" w:cs="Times New Roman"/>
          <w:b/>
          <w:sz w:val="28"/>
          <w:szCs w:val="28"/>
        </w:rPr>
        <w:t>Formularz „Zestawienie Kosztów Zamówienia”</w:t>
      </w:r>
    </w:p>
    <w:p w14:paraId="08FDAE8E" w14:textId="3811A44A" w:rsidR="00F255E3" w:rsidRPr="00CF2FCA" w:rsidRDefault="00974547" w:rsidP="00CF2F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2496773"/>
      <w:r w:rsidRPr="00974547">
        <w:rPr>
          <w:rFonts w:ascii="Times New Roman" w:hAnsi="Times New Roman" w:cs="Times New Roman"/>
          <w:b/>
          <w:bCs/>
          <w:sz w:val="28"/>
          <w:szCs w:val="28"/>
        </w:rPr>
        <w:t xml:space="preserve">Część nr </w:t>
      </w:r>
      <w:r w:rsidR="00626B5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74547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8D5CF1">
        <w:rPr>
          <w:rFonts w:ascii="Times New Roman" w:hAnsi="Times New Roman" w:cs="Times New Roman"/>
          <w:b/>
          <w:bCs/>
          <w:sz w:val="28"/>
          <w:szCs w:val="28"/>
        </w:rPr>
        <w:t>Oprogramowanie</w:t>
      </w:r>
    </w:p>
    <w:bookmarkEnd w:id="0"/>
    <w:p w14:paraId="071E34F6" w14:textId="77777777" w:rsidR="00CF2FCA" w:rsidRDefault="00CF2FCA" w:rsidP="00CF2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559"/>
        <w:gridCol w:w="7654"/>
        <w:gridCol w:w="2835"/>
        <w:gridCol w:w="2552"/>
      </w:tblGrid>
      <w:tr w:rsidR="00475A42" w:rsidRPr="00475A42" w14:paraId="56281D2D" w14:textId="77777777" w:rsidTr="004C10AC">
        <w:trPr>
          <w:cantSplit/>
          <w:trHeight w:val="470"/>
          <w:tblHeader/>
        </w:trPr>
        <w:tc>
          <w:tcPr>
            <w:tcW w:w="710" w:type="dxa"/>
            <w:shd w:val="clear" w:color="auto" w:fill="auto"/>
            <w:vAlign w:val="center"/>
          </w:tcPr>
          <w:p w14:paraId="2CE27DC3" w14:textId="77777777" w:rsidR="00CF2FCA" w:rsidRPr="00475A42" w:rsidRDefault="00CF2FCA" w:rsidP="00475A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5A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9213" w:type="dxa"/>
            <w:gridSpan w:val="2"/>
            <w:shd w:val="clear" w:color="auto" w:fill="auto"/>
            <w:vAlign w:val="center"/>
          </w:tcPr>
          <w:p w14:paraId="07FF64C1" w14:textId="77777777" w:rsidR="00CF2FCA" w:rsidRPr="00475A42" w:rsidRDefault="00CF2FCA" w:rsidP="00475A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5A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Cecha minimalna, wymagana przez Zamawiającego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C8FB74" w14:textId="77777777" w:rsidR="00CF2FCA" w:rsidRPr="00475A42" w:rsidRDefault="00CF2FCA" w:rsidP="00475A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5A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Informacja o spełnieniu lub niespełnieniu wymaganego parametru.</w:t>
            </w:r>
          </w:p>
          <w:p w14:paraId="18638BF3" w14:textId="77777777" w:rsidR="00CF2FCA" w:rsidRPr="00475A42" w:rsidRDefault="00CF2FCA" w:rsidP="00475A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5A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Należy wypełnić:</w:t>
            </w:r>
          </w:p>
          <w:p w14:paraId="3DFCB807" w14:textId="77777777" w:rsidR="00CF2FCA" w:rsidRPr="00475A42" w:rsidRDefault="00CF2FCA" w:rsidP="00475A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5A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(„SPEŁNIA” / „NIE SPEŁNIA”)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32CBAB6" w14:textId="77777777" w:rsidR="00CF2FCA" w:rsidRPr="00475A42" w:rsidRDefault="00CF2FCA" w:rsidP="00475A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5A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Cena brutto</w:t>
            </w:r>
          </w:p>
          <w:p w14:paraId="0603AD9D" w14:textId="5F40A963" w:rsidR="00CF2FCA" w:rsidRPr="00475A42" w:rsidRDefault="00CF2FCA" w:rsidP="004C10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5A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(należy podać cenę brutto odpowiednio za każdą pozycję – komplet- wymieniony w kolumnie 2 </w:t>
            </w:r>
          </w:p>
        </w:tc>
      </w:tr>
      <w:tr w:rsidR="00475A42" w:rsidRPr="00475A42" w14:paraId="321B33F7" w14:textId="77777777" w:rsidTr="00E631E4">
        <w:trPr>
          <w:cantSplit/>
          <w:trHeight w:val="51"/>
          <w:tblHeader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2994" w14:textId="77777777" w:rsidR="00CF2FCA" w:rsidRPr="00475A42" w:rsidRDefault="00CF2FCA" w:rsidP="00475A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75A4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BF1A0" w14:textId="77777777" w:rsidR="00CF2FCA" w:rsidRPr="00475A42" w:rsidRDefault="00CF2FCA" w:rsidP="00475A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75A4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36A15F51" w14:textId="77777777" w:rsidR="00CF2FCA" w:rsidRPr="00475A42" w:rsidRDefault="00CF2FCA" w:rsidP="00475A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75A4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2783F" w14:textId="77777777" w:rsidR="00CF2FCA" w:rsidRPr="00475A42" w:rsidRDefault="00CF2FCA" w:rsidP="00475A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75A4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BF037" w14:textId="77777777" w:rsidR="00CF2FCA" w:rsidRPr="00475A42" w:rsidRDefault="00CF2FCA" w:rsidP="00475A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75A4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</w:t>
            </w:r>
          </w:p>
        </w:tc>
      </w:tr>
      <w:tr w:rsidR="00475A42" w:rsidRPr="00475A42" w14:paraId="40E8ACF8" w14:textId="77777777" w:rsidTr="004C10AC">
        <w:trPr>
          <w:cantSplit/>
          <w:trHeight w:val="284"/>
        </w:trPr>
        <w:tc>
          <w:tcPr>
            <w:tcW w:w="710" w:type="dxa"/>
            <w:shd w:val="pct20" w:color="auto" w:fill="auto"/>
            <w:vAlign w:val="center"/>
          </w:tcPr>
          <w:p w14:paraId="58A5573B" w14:textId="77777777" w:rsidR="00B216EA" w:rsidRPr="00475A42" w:rsidRDefault="00B216EA" w:rsidP="00475A42">
            <w:pPr>
              <w:pStyle w:val="Akapitzlist"/>
              <w:numPr>
                <w:ilvl w:val="0"/>
                <w:numId w:val="1"/>
              </w:numPr>
              <w:spacing w:before="0"/>
              <w:ind w:left="113" w:firstLine="0"/>
              <w:contextualSpacing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600" w:type="dxa"/>
            <w:gridSpan w:val="4"/>
            <w:shd w:val="pct20" w:color="auto" w:fill="auto"/>
            <w:vAlign w:val="center"/>
          </w:tcPr>
          <w:p w14:paraId="5A105DBB" w14:textId="3C8B7E84" w:rsidR="00B216EA" w:rsidRPr="00475A42" w:rsidRDefault="009B52C6" w:rsidP="00475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proofErr w:type="spellStart"/>
            <w:r w:rsidRPr="00055C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VMware</w:t>
            </w:r>
            <w:proofErr w:type="spellEnd"/>
            <w:r w:rsidRPr="00055C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55C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vSphere</w:t>
            </w:r>
            <w:proofErr w:type="spellEnd"/>
            <w:r w:rsidRPr="00055C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7 Essentials Plus Kit for 3 </w:t>
            </w:r>
            <w:proofErr w:type="spellStart"/>
            <w:r w:rsidRPr="00055C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hosts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9B52C6" w:rsidRPr="00475A42" w14:paraId="6F174C19" w14:textId="77777777" w:rsidTr="009B52C6">
        <w:trPr>
          <w:cantSplit/>
          <w:trHeight w:val="1877"/>
        </w:trPr>
        <w:tc>
          <w:tcPr>
            <w:tcW w:w="710" w:type="dxa"/>
            <w:shd w:val="clear" w:color="auto" w:fill="auto"/>
            <w:vAlign w:val="center"/>
          </w:tcPr>
          <w:p w14:paraId="39407E5C" w14:textId="77777777" w:rsidR="009B52C6" w:rsidRPr="00475A42" w:rsidRDefault="009B52C6" w:rsidP="009B52C6">
            <w:pPr>
              <w:pStyle w:val="Akapitzlist"/>
              <w:numPr>
                <w:ilvl w:val="1"/>
                <w:numId w:val="1"/>
              </w:numPr>
              <w:spacing w:before="0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3C6835" w14:textId="63630CF5" w:rsidR="009B52C6" w:rsidRPr="00475A42" w:rsidRDefault="009B52C6" w:rsidP="009B52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4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7654" w:type="dxa"/>
            <w:vAlign w:val="center"/>
          </w:tcPr>
          <w:p w14:paraId="7A76C2D2" w14:textId="76A46FD1" w:rsidR="009B52C6" w:rsidRPr="009B52C6" w:rsidRDefault="009B52C6" w:rsidP="009B52C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Oprogramowanie do wirtualizacji zawierające </w:t>
            </w:r>
            <w:proofErr w:type="spellStart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VMware</w:t>
            </w:r>
            <w:proofErr w:type="spellEnd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vSphere</w:t>
            </w:r>
            <w:proofErr w:type="spellEnd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 Essentials Plus Kit, </w:t>
            </w:r>
            <w:proofErr w:type="spellStart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hypervisor</w:t>
            </w:r>
            <w:proofErr w:type="spellEnd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ESXi</w:t>
            </w:r>
            <w:proofErr w:type="spellEnd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dla maksymalnie trzech hostów po 2 procesory lub równoważne. Przez oprogramowanie równoważne w stosunku do oprogramowania wskazanego w SWZ rozumie się takie, które w sposób poprawny współpracuje z posiadanym oprogramowaniem przez Zamawiającego oraz realizuje wszystkie funkcje i posiada wszystkie cechy określone przez producenta posiadanego przez Zamawiającego oprogramowania oraz te opisane w SWZ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1CDF03" w14:textId="77777777" w:rsidR="009B52C6" w:rsidRPr="00475A42" w:rsidRDefault="009B52C6" w:rsidP="009B5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3A43F26" w14:textId="77777777" w:rsidR="009B52C6" w:rsidRPr="00475A42" w:rsidRDefault="009B52C6" w:rsidP="009B5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9B52C6" w:rsidRPr="00475A42" w14:paraId="6C4B06B9" w14:textId="77777777" w:rsidTr="009B52C6">
        <w:trPr>
          <w:cantSplit/>
          <w:trHeight w:val="1549"/>
        </w:trPr>
        <w:tc>
          <w:tcPr>
            <w:tcW w:w="710" w:type="dxa"/>
            <w:shd w:val="clear" w:color="auto" w:fill="auto"/>
            <w:vAlign w:val="center"/>
          </w:tcPr>
          <w:p w14:paraId="6BCF5D3B" w14:textId="77777777" w:rsidR="009B52C6" w:rsidRPr="00475A42" w:rsidRDefault="009B52C6" w:rsidP="009B52C6">
            <w:pPr>
              <w:pStyle w:val="Akapitzlist"/>
              <w:numPr>
                <w:ilvl w:val="1"/>
                <w:numId w:val="1"/>
              </w:numPr>
              <w:spacing w:before="0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388DE8" w14:textId="694F3839" w:rsidR="009B52C6" w:rsidRPr="00475A42" w:rsidRDefault="009B52C6" w:rsidP="009B52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Funkcje</w:t>
            </w:r>
          </w:p>
        </w:tc>
        <w:tc>
          <w:tcPr>
            <w:tcW w:w="7654" w:type="dxa"/>
            <w:vAlign w:val="center"/>
          </w:tcPr>
          <w:p w14:paraId="1555157D" w14:textId="77777777" w:rsidR="009B52C6" w:rsidRPr="009B52C6" w:rsidRDefault="009B52C6" w:rsidP="009B52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Scentralizowane zarządzanie środowiskiem </w:t>
            </w:r>
            <w:proofErr w:type="spellStart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wirtualizacyjnym</w:t>
            </w:r>
            <w:proofErr w:type="spellEnd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obejmujące do 3 serwerów fizycznych.</w:t>
            </w:r>
          </w:p>
          <w:p w14:paraId="4DA8BF4B" w14:textId="7C260B29" w:rsidR="009B52C6" w:rsidRPr="009B52C6" w:rsidRDefault="009B52C6" w:rsidP="009B52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Oprogramowanie obsługuje następujące funkcje: Update Manager, High </w:t>
            </w:r>
            <w:proofErr w:type="spellStart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Availability</w:t>
            </w:r>
            <w:proofErr w:type="spellEnd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vMotion</w:t>
            </w:r>
            <w:proofErr w:type="spellEnd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vStorage</w:t>
            </w:r>
            <w:proofErr w:type="spellEnd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APIs</w:t>
            </w:r>
            <w:proofErr w:type="spellEnd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dor</w:t>
            </w:r>
            <w:proofErr w:type="spellEnd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Data </w:t>
            </w:r>
            <w:proofErr w:type="spellStart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Protection</w:t>
            </w:r>
            <w:proofErr w:type="spellEnd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vCenter</w:t>
            </w:r>
            <w:proofErr w:type="spellEnd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Operations Manager Foundation, Data </w:t>
            </w:r>
            <w:proofErr w:type="spellStart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Protection</w:t>
            </w:r>
            <w:proofErr w:type="spellEnd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vShield</w:t>
            </w:r>
            <w:proofErr w:type="spellEnd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Zones</w:t>
            </w:r>
            <w:proofErr w:type="spellEnd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vShield</w:t>
            </w:r>
            <w:proofErr w:type="spellEnd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Endpoint</w:t>
            </w:r>
            <w:proofErr w:type="spellEnd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vSphere</w:t>
            </w:r>
            <w:proofErr w:type="spellEnd"/>
            <w:r w:rsidRPr="009B5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Replication.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BF7B0F" w14:textId="77777777" w:rsidR="009B52C6" w:rsidRPr="00475A42" w:rsidRDefault="009B52C6" w:rsidP="009B5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5E0CDFC" w14:textId="77777777" w:rsidR="009B52C6" w:rsidRPr="00475A42" w:rsidRDefault="009B52C6" w:rsidP="009B5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9B52C6" w:rsidRPr="00475A42" w14:paraId="42D2321A" w14:textId="77777777" w:rsidTr="009B52C6">
        <w:trPr>
          <w:cantSplit/>
          <w:trHeight w:val="1274"/>
        </w:trPr>
        <w:tc>
          <w:tcPr>
            <w:tcW w:w="710" w:type="dxa"/>
            <w:shd w:val="clear" w:color="auto" w:fill="auto"/>
            <w:vAlign w:val="center"/>
          </w:tcPr>
          <w:p w14:paraId="544A7DD9" w14:textId="77777777" w:rsidR="009B52C6" w:rsidRPr="00475A42" w:rsidRDefault="009B52C6" w:rsidP="009B52C6">
            <w:pPr>
              <w:pStyle w:val="Akapitzlist"/>
              <w:numPr>
                <w:ilvl w:val="1"/>
                <w:numId w:val="1"/>
              </w:numPr>
              <w:spacing w:before="0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CAE0D9" w14:textId="0F7A8E12" w:rsidR="009B52C6" w:rsidRPr="00475A42" w:rsidRDefault="009B52C6" w:rsidP="009B52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4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 licencji</w:t>
            </w:r>
          </w:p>
        </w:tc>
        <w:tc>
          <w:tcPr>
            <w:tcW w:w="7654" w:type="dxa"/>
            <w:vAlign w:val="center"/>
          </w:tcPr>
          <w:p w14:paraId="2A20B7B4" w14:textId="3DB9249A" w:rsidR="009B52C6" w:rsidRPr="00475A42" w:rsidRDefault="009B52C6" w:rsidP="009B52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Bezterminowa, </w:t>
            </w:r>
            <w:r w:rsidR="00662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lata subskrypcji</w:t>
            </w:r>
            <w:r>
              <w:t xml:space="preserve"> </w:t>
            </w:r>
            <w:r w:rsidRPr="007B58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Basic </w:t>
            </w:r>
            <w:proofErr w:type="spellStart"/>
            <w:r w:rsidRPr="007B58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Support</w:t>
            </w:r>
            <w:proofErr w:type="spellEnd"/>
            <w:r w:rsidRPr="007B58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/Subscription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6A91CE" w14:textId="77777777" w:rsidR="009B52C6" w:rsidRDefault="009B52C6" w:rsidP="009B5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  <w:p w14:paraId="2EFB4A1B" w14:textId="77777777" w:rsidR="009B52C6" w:rsidRDefault="009B52C6" w:rsidP="009B5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  <w:p w14:paraId="44344A2F" w14:textId="046843BD" w:rsidR="009B52C6" w:rsidRPr="00475A42" w:rsidRDefault="009B52C6" w:rsidP="009B5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50EC617" w14:textId="77777777" w:rsidR="009B52C6" w:rsidRPr="00475A42" w:rsidRDefault="009B52C6" w:rsidP="009B5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79058F" w:rsidRPr="00475A42" w14:paraId="4CC398AD" w14:textId="77777777" w:rsidTr="004C10AC">
        <w:trPr>
          <w:cantSplit/>
          <w:trHeight w:val="284"/>
          <w:hidden/>
        </w:trPr>
        <w:tc>
          <w:tcPr>
            <w:tcW w:w="710" w:type="dxa"/>
            <w:shd w:val="pct20" w:color="auto" w:fill="auto"/>
            <w:vAlign w:val="center"/>
          </w:tcPr>
          <w:p w14:paraId="14D8EFCE" w14:textId="77777777" w:rsidR="0079058F" w:rsidRPr="00475A42" w:rsidRDefault="0079058F" w:rsidP="0079058F">
            <w:pPr>
              <w:pStyle w:val="Akapitzlist"/>
              <w:numPr>
                <w:ilvl w:val="0"/>
                <w:numId w:val="1"/>
              </w:numPr>
              <w:spacing w:before="0"/>
              <w:ind w:left="113" w:firstLine="0"/>
              <w:contextualSpacing w:val="0"/>
              <w:rPr>
                <w:b/>
                <w:bCs/>
                <w:vanish/>
                <w:color w:val="000000" w:themeColor="text1"/>
                <w:sz w:val="20"/>
                <w:szCs w:val="20"/>
              </w:rPr>
            </w:pPr>
          </w:p>
        </w:tc>
        <w:tc>
          <w:tcPr>
            <w:tcW w:w="14600" w:type="dxa"/>
            <w:gridSpan w:val="4"/>
            <w:shd w:val="pct20" w:color="auto" w:fill="auto"/>
            <w:vAlign w:val="center"/>
          </w:tcPr>
          <w:p w14:paraId="61747BF0" w14:textId="5247A6AB" w:rsidR="0079058F" w:rsidRPr="00475A42" w:rsidRDefault="009B52C6" w:rsidP="00790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darkGray"/>
              </w:rPr>
            </w:pPr>
            <w:proofErr w:type="spellStart"/>
            <w:r w:rsidRPr="007B58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Veeam</w:t>
            </w:r>
            <w:proofErr w:type="spellEnd"/>
            <w:r w:rsidRPr="007B58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Backup &amp; Replication Standard. 3 lata wsparcia. Licencja na 12 CPU</w:t>
            </w:r>
          </w:p>
        </w:tc>
      </w:tr>
      <w:tr w:rsidR="00D5071E" w:rsidRPr="00475A42" w14:paraId="483E2BBF" w14:textId="77777777" w:rsidTr="00D5071E">
        <w:trPr>
          <w:cantSplit/>
          <w:trHeight w:val="2167"/>
        </w:trPr>
        <w:tc>
          <w:tcPr>
            <w:tcW w:w="710" w:type="dxa"/>
            <w:shd w:val="clear" w:color="auto" w:fill="auto"/>
            <w:vAlign w:val="center"/>
          </w:tcPr>
          <w:p w14:paraId="06C513AC" w14:textId="77777777" w:rsidR="00D5071E" w:rsidRPr="00475A42" w:rsidRDefault="00D5071E" w:rsidP="00D5071E">
            <w:pPr>
              <w:pStyle w:val="Akapitzlist"/>
              <w:numPr>
                <w:ilvl w:val="1"/>
                <w:numId w:val="1"/>
              </w:numPr>
              <w:spacing w:before="0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905366" w14:textId="0C6A4664" w:rsidR="00D5071E" w:rsidRPr="009B52C6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7654" w:type="dxa"/>
            <w:vAlign w:val="center"/>
          </w:tcPr>
          <w:p w14:paraId="014D22C0" w14:textId="77777777" w:rsidR="00D5071E" w:rsidRPr="00D5071E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Oprogramowanie do tworzenia kopii zapasowych dla środowisk wirtualnych </w:t>
            </w:r>
            <w:proofErr w:type="spellStart"/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VMware</w:t>
            </w:r>
            <w:proofErr w:type="spellEnd"/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vSphere</w:t>
            </w:r>
            <w:proofErr w:type="spellEnd"/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Microsoft </w:t>
            </w:r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Hyper-V. Tworzenie polityk backupowych zapewniających automatyczny backup maszyn wirtualnych.</w:t>
            </w:r>
          </w:p>
          <w:p w14:paraId="28DC4673" w14:textId="073AD660" w:rsidR="00D5071E" w:rsidRPr="00D5071E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oprogramowanie równoważne w stosunku do oprogramowania wskazanego w SWZ rozumie się takie, które w sposób poprawny współpracuje z posiadanym oprogramowaniem przez Zamawiającego oraz realizuje wszystkie funkcje i posiada wszystkie cechy określone przez producenta posiadanego przez Zamawiającego oprogramowania oraz te opisane w SWZ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876DD0" w14:textId="77777777" w:rsidR="00D5071E" w:rsidRPr="00475A42" w:rsidRDefault="00D5071E" w:rsidP="00D50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78C9BB4" w14:textId="77777777" w:rsidR="00D5071E" w:rsidRPr="00475A42" w:rsidRDefault="00D5071E" w:rsidP="00D50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D5071E" w:rsidRPr="00475A42" w14:paraId="11A6A3A0" w14:textId="77777777" w:rsidTr="00D5071E">
        <w:trPr>
          <w:cantSplit/>
          <w:trHeight w:val="2978"/>
        </w:trPr>
        <w:tc>
          <w:tcPr>
            <w:tcW w:w="710" w:type="dxa"/>
            <w:shd w:val="clear" w:color="auto" w:fill="auto"/>
            <w:vAlign w:val="center"/>
          </w:tcPr>
          <w:p w14:paraId="142112AF" w14:textId="77777777" w:rsidR="00D5071E" w:rsidRPr="00475A42" w:rsidRDefault="00D5071E" w:rsidP="00D5071E">
            <w:pPr>
              <w:pStyle w:val="Akapitzlist"/>
              <w:numPr>
                <w:ilvl w:val="1"/>
                <w:numId w:val="1"/>
              </w:numPr>
              <w:spacing w:before="0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D68450" w14:textId="42C9A253" w:rsidR="00D5071E" w:rsidRPr="009B52C6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Funkcje</w:t>
            </w:r>
          </w:p>
        </w:tc>
        <w:tc>
          <w:tcPr>
            <w:tcW w:w="7654" w:type="dxa"/>
            <w:vAlign w:val="center"/>
          </w:tcPr>
          <w:p w14:paraId="5C373A92" w14:textId="77777777" w:rsidR="00D5071E" w:rsidRPr="00D5071E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Tworzenie kopi pełnych i przyrostowych (</w:t>
            </w:r>
            <w:proofErr w:type="spellStart"/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incremental</w:t>
            </w:r>
            <w:proofErr w:type="spellEnd"/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reverse</w:t>
            </w:r>
            <w:proofErr w:type="spellEnd"/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incremental</w:t>
            </w:r>
            <w:proofErr w:type="spellEnd"/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  <w:p w14:paraId="4DCEC9BB" w14:textId="77777777" w:rsidR="00D5071E" w:rsidRPr="00D5071E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Przywracanie pojedynczych plików, całych maszyn wirtualnych i elementów aplikacji.</w:t>
            </w:r>
          </w:p>
          <w:p w14:paraId="111DEAD8" w14:textId="77777777" w:rsidR="00D5071E" w:rsidRPr="00D5071E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Instant VM </w:t>
            </w:r>
            <w:proofErr w:type="spellStart"/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Recovery</w:t>
            </w:r>
            <w:proofErr w:type="spellEnd"/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odzyskanie uszkodzonej maszyny wirtualnej w czasie krótszym niż dwie minuty</w:t>
            </w:r>
          </w:p>
          <w:p w14:paraId="43C72720" w14:textId="77777777" w:rsidR="00D5071E" w:rsidRPr="00D5071E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Natychmiastowe odzyskiwanie na poziomie pliku.</w:t>
            </w:r>
          </w:p>
          <w:p w14:paraId="4A34DB7A" w14:textId="77777777" w:rsidR="00D5071E" w:rsidRPr="00D5071E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Oprogramowanie musi być licencjonowanie w modelu “per-CPU”. Jakiekolwiek dodatkowe licencjonowanie (per zabezpieczony TB, dodatkowo płatna </w:t>
            </w:r>
            <w:proofErr w:type="spellStart"/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deduplikacja</w:t>
            </w:r>
            <w:proofErr w:type="spellEnd"/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nie jest dozwolone.</w:t>
            </w:r>
          </w:p>
          <w:p w14:paraId="68D4C3E4" w14:textId="77777777" w:rsidR="00D5071E" w:rsidRPr="00D5071E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Oprogramowanie musi być niezależne sprzętowo i umożliwiać wykorzystanie dowolnej platformy serwerowej i dyskowej.</w:t>
            </w:r>
          </w:p>
          <w:p w14:paraId="679EC880" w14:textId="456BE33C" w:rsidR="00D5071E" w:rsidRPr="00D5071E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Oprogramowanie musi zapewniać możliwość uruchamiania dowolnych skryptów przed i po zadaniu backupowym lub przed i po wykonaniu zadania </w:t>
            </w:r>
            <w:proofErr w:type="spellStart"/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snapshota</w:t>
            </w:r>
            <w:proofErr w:type="spellEnd"/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posiadanym przez Zamawiającego środowisku </w:t>
            </w:r>
            <w:proofErr w:type="spellStart"/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VMware</w:t>
            </w:r>
            <w:proofErr w:type="spellEnd"/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7ED5BA" w14:textId="77777777" w:rsidR="00D5071E" w:rsidRPr="00475A42" w:rsidRDefault="00D5071E" w:rsidP="00D50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9DA2ABF" w14:textId="77777777" w:rsidR="00D5071E" w:rsidRPr="00475A42" w:rsidRDefault="00D5071E" w:rsidP="00D50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D5071E" w:rsidRPr="00475A42" w14:paraId="42AECB4B" w14:textId="77777777" w:rsidTr="00D5071E">
        <w:trPr>
          <w:cantSplit/>
          <w:trHeight w:val="979"/>
        </w:trPr>
        <w:tc>
          <w:tcPr>
            <w:tcW w:w="710" w:type="dxa"/>
            <w:shd w:val="clear" w:color="auto" w:fill="auto"/>
            <w:vAlign w:val="center"/>
          </w:tcPr>
          <w:p w14:paraId="2447F23D" w14:textId="77777777" w:rsidR="00D5071E" w:rsidRPr="00475A42" w:rsidRDefault="00D5071E" w:rsidP="00D5071E">
            <w:pPr>
              <w:pStyle w:val="Akapitzlist"/>
              <w:numPr>
                <w:ilvl w:val="1"/>
                <w:numId w:val="1"/>
              </w:numPr>
              <w:spacing w:before="0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24E41A" w14:textId="360E0C18" w:rsidR="00D5071E" w:rsidRPr="009B52C6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Subskrypcja</w:t>
            </w:r>
          </w:p>
        </w:tc>
        <w:tc>
          <w:tcPr>
            <w:tcW w:w="7654" w:type="dxa"/>
            <w:vAlign w:val="center"/>
          </w:tcPr>
          <w:p w14:paraId="5D4FA065" w14:textId="4E2F0F80" w:rsidR="00D5071E" w:rsidRPr="009B52C6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Licencja Wieczysta na 12 CPU oraz podstawowa subskrypcje wsparcia na okres min. </w:t>
            </w:r>
            <w:r w:rsidR="00662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lata.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C932B5" w14:textId="77777777" w:rsidR="00D5071E" w:rsidRPr="00475A42" w:rsidRDefault="00D5071E" w:rsidP="00D50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BAB38CD" w14:textId="77777777" w:rsidR="00D5071E" w:rsidRPr="00475A42" w:rsidRDefault="00D5071E" w:rsidP="00D50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79058F" w:rsidRPr="00475A42" w14:paraId="552C9B37" w14:textId="77777777" w:rsidTr="004C10AC">
        <w:trPr>
          <w:cantSplit/>
          <w:trHeight w:val="284"/>
          <w:hidden/>
        </w:trPr>
        <w:tc>
          <w:tcPr>
            <w:tcW w:w="710" w:type="dxa"/>
            <w:shd w:val="pct20" w:color="auto" w:fill="auto"/>
            <w:vAlign w:val="center"/>
          </w:tcPr>
          <w:p w14:paraId="46B9C646" w14:textId="77777777" w:rsidR="0079058F" w:rsidRPr="00475A42" w:rsidRDefault="0079058F" w:rsidP="0079058F">
            <w:pPr>
              <w:pStyle w:val="Akapitzlist"/>
              <w:numPr>
                <w:ilvl w:val="0"/>
                <w:numId w:val="1"/>
              </w:numPr>
              <w:spacing w:before="0"/>
              <w:ind w:left="113" w:firstLine="0"/>
              <w:contextualSpacing w:val="0"/>
              <w:rPr>
                <w:b/>
                <w:bCs/>
                <w:vanish/>
                <w:color w:val="000000" w:themeColor="text1"/>
                <w:sz w:val="20"/>
                <w:szCs w:val="20"/>
              </w:rPr>
            </w:pPr>
            <w:bookmarkStart w:id="1" w:name="_Hlk72759812"/>
          </w:p>
        </w:tc>
        <w:tc>
          <w:tcPr>
            <w:tcW w:w="14600" w:type="dxa"/>
            <w:gridSpan w:val="4"/>
            <w:shd w:val="pct20" w:color="auto" w:fill="auto"/>
            <w:vAlign w:val="center"/>
          </w:tcPr>
          <w:p w14:paraId="5FF856F3" w14:textId="4DF4E91C" w:rsidR="0079058F" w:rsidRPr="00475A42" w:rsidRDefault="00D5071E" w:rsidP="00790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darkGray"/>
              </w:rPr>
            </w:pPr>
            <w:r w:rsidRPr="00E077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Licencja na Windows Datacenter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2019</w:t>
            </w:r>
            <w:r w:rsidRPr="00E077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dla 1 serwera - 64 </w:t>
            </w:r>
            <w:proofErr w:type="spellStart"/>
            <w:r w:rsidRPr="00E077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core</w:t>
            </w:r>
            <w:proofErr w:type="spellEnd"/>
            <w:r w:rsidRPr="006C72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bookmarkEnd w:id="1"/>
      <w:tr w:rsidR="00D5071E" w:rsidRPr="00475A42" w14:paraId="38A190EB" w14:textId="77777777" w:rsidTr="00E631E4">
        <w:trPr>
          <w:cantSplit/>
          <w:trHeight w:val="227"/>
        </w:trPr>
        <w:tc>
          <w:tcPr>
            <w:tcW w:w="710" w:type="dxa"/>
            <w:shd w:val="clear" w:color="auto" w:fill="auto"/>
            <w:vAlign w:val="center"/>
          </w:tcPr>
          <w:p w14:paraId="2B4B7F3F" w14:textId="77777777" w:rsidR="00D5071E" w:rsidRPr="00475A42" w:rsidRDefault="00D5071E" w:rsidP="00D5071E">
            <w:pPr>
              <w:pStyle w:val="Akapitzlist"/>
              <w:numPr>
                <w:ilvl w:val="1"/>
                <w:numId w:val="1"/>
              </w:numPr>
              <w:spacing w:before="0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5D6DCE" w14:textId="283987B5" w:rsidR="00D5071E" w:rsidRPr="00475A42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7654" w:type="dxa"/>
            <w:vAlign w:val="center"/>
          </w:tcPr>
          <w:p w14:paraId="3D4A2A1D" w14:textId="2B4D513C" w:rsidR="00D5071E" w:rsidRPr="00475A42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Licencja umożliwiająca instalację nieograniczonej liczby systemów Windows Serwer Datacenter 2019 na serwerze wyposażonym w 64 CPU.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3E6FCD" w14:textId="77777777" w:rsidR="00D5071E" w:rsidRPr="00475A42" w:rsidRDefault="00D5071E" w:rsidP="00D50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3540070" w14:textId="77777777" w:rsidR="00D5071E" w:rsidRPr="00475A42" w:rsidRDefault="00D5071E" w:rsidP="00D50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D5071E" w:rsidRPr="00475A42" w14:paraId="670684A4" w14:textId="77777777" w:rsidTr="00E631E4">
        <w:trPr>
          <w:cantSplit/>
          <w:trHeight w:val="227"/>
        </w:trPr>
        <w:tc>
          <w:tcPr>
            <w:tcW w:w="710" w:type="dxa"/>
            <w:shd w:val="clear" w:color="auto" w:fill="auto"/>
            <w:vAlign w:val="center"/>
          </w:tcPr>
          <w:p w14:paraId="18BF26B7" w14:textId="77777777" w:rsidR="00D5071E" w:rsidRPr="00475A42" w:rsidRDefault="00D5071E" w:rsidP="00D5071E">
            <w:pPr>
              <w:pStyle w:val="Akapitzlist"/>
              <w:numPr>
                <w:ilvl w:val="1"/>
                <w:numId w:val="1"/>
              </w:numPr>
              <w:spacing w:before="0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3CF239" w14:textId="2EC00998" w:rsidR="00D5071E" w:rsidRPr="00475A42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Funkcje</w:t>
            </w:r>
          </w:p>
        </w:tc>
        <w:tc>
          <w:tcPr>
            <w:tcW w:w="7654" w:type="dxa"/>
            <w:vAlign w:val="center"/>
          </w:tcPr>
          <w:p w14:paraId="70086503" w14:textId="77777777" w:rsidR="00D5071E" w:rsidRPr="00D5071E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Minimalne wymagane funkcjonalności:</w:t>
            </w:r>
          </w:p>
          <w:p w14:paraId="0D180FB1" w14:textId="77777777" w:rsidR="00D5071E" w:rsidRPr="00D5071E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możliwość dokonywania aktualizacji i poprawek systemu przez Internet;</w:t>
            </w:r>
          </w:p>
          <w:p w14:paraId="6F1EA67B" w14:textId="77777777" w:rsidR="00D5071E" w:rsidRPr="00D5071E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wbudowana zapora internetowa (firewall) dla ochrony połączeń internetowych; zintegrowana z systemem konsoli do zarządzania ustawieniami zapory i regułami </w:t>
            </w:r>
            <w:proofErr w:type="spellStart"/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ip</w:t>
            </w:r>
            <w:proofErr w:type="spellEnd"/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v4 i v6;</w:t>
            </w:r>
          </w:p>
          <w:p w14:paraId="05E5AAD5" w14:textId="77777777" w:rsidR="00D5071E" w:rsidRPr="00D5071E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możliwość uruchomienia serwera DNS z możliwością integracji z kontrolerem domeny;</w:t>
            </w:r>
          </w:p>
          <w:p w14:paraId="56D76174" w14:textId="77777777" w:rsidR="00D5071E" w:rsidRPr="00D5071E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możliwość uruchomienia usługi DFS zgodnej z min. Windows Server 2008 R2;</w:t>
            </w:r>
          </w:p>
          <w:p w14:paraId="1FC28233" w14:textId="77777777" w:rsidR="00D5071E" w:rsidRPr="00D5071E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możliwość uruchomienia serwera usług terminalowych (</w:t>
            </w:r>
            <w:proofErr w:type="spellStart"/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RemoteApp</w:t>
            </w:r>
            <w:proofErr w:type="spellEnd"/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zgodnego z min. Windows Server;</w:t>
            </w:r>
          </w:p>
          <w:p w14:paraId="040996F4" w14:textId="77777777" w:rsidR="00D5071E" w:rsidRPr="00D5071E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-obsługa zdalnego pulpitu;</w:t>
            </w:r>
          </w:p>
          <w:p w14:paraId="7EF0B97F" w14:textId="77777777" w:rsidR="00D5071E" w:rsidRPr="00D5071E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obsługa PowerShell;</w:t>
            </w:r>
          </w:p>
          <w:p w14:paraId="74093971" w14:textId="77777777" w:rsidR="00D5071E" w:rsidRPr="00D5071E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obsługa certyfikatów w AD;</w:t>
            </w:r>
          </w:p>
          <w:p w14:paraId="55257A4E" w14:textId="20ED8B14" w:rsidR="00D5071E" w:rsidRPr="00475A42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obsługa drzewa katalogowego Microsoft Active Directory.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D1D715" w14:textId="77777777" w:rsidR="00D5071E" w:rsidRPr="00475A42" w:rsidRDefault="00D5071E" w:rsidP="00D50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23504D1" w14:textId="77777777" w:rsidR="00D5071E" w:rsidRPr="00475A42" w:rsidRDefault="00D5071E" w:rsidP="00D50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D5071E" w:rsidRPr="00475A42" w14:paraId="26FCF2A1" w14:textId="77777777" w:rsidTr="004576E1">
        <w:trPr>
          <w:cantSplit/>
          <w:trHeight w:val="641"/>
        </w:trPr>
        <w:tc>
          <w:tcPr>
            <w:tcW w:w="710" w:type="dxa"/>
            <w:shd w:val="clear" w:color="auto" w:fill="auto"/>
            <w:vAlign w:val="center"/>
          </w:tcPr>
          <w:p w14:paraId="2B2EEA1E" w14:textId="77777777" w:rsidR="00D5071E" w:rsidRPr="00475A42" w:rsidRDefault="00D5071E" w:rsidP="00D5071E">
            <w:pPr>
              <w:pStyle w:val="Akapitzlist"/>
              <w:numPr>
                <w:ilvl w:val="1"/>
                <w:numId w:val="1"/>
              </w:numPr>
              <w:spacing w:before="0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D83EA4" w14:textId="53FD4ED0" w:rsidR="00D5071E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Subskrypcja</w:t>
            </w:r>
          </w:p>
        </w:tc>
        <w:tc>
          <w:tcPr>
            <w:tcW w:w="7654" w:type="dxa"/>
            <w:vAlign w:val="center"/>
          </w:tcPr>
          <w:p w14:paraId="1FE7E6D5" w14:textId="45767EDD" w:rsidR="00D5071E" w:rsidRPr="00475A42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Licencja Wieczysta na 64 CPU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8F3746" w14:textId="77777777" w:rsidR="00D5071E" w:rsidRPr="00475A42" w:rsidRDefault="00D5071E" w:rsidP="00D50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7482D40" w14:textId="77777777" w:rsidR="00D5071E" w:rsidRPr="00475A42" w:rsidRDefault="00D5071E" w:rsidP="00D50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410348" w:rsidRPr="00475A42" w14:paraId="2D9A9BB0" w14:textId="77777777" w:rsidTr="00173844">
        <w:trPr>
          <w:cantSplit/>
          <w:trHeight w:val="227"/>
        </w:trPr>
        <w:tc>
          <w:tcPr>
            <w:tcW w:w="710" w:type="dxa"/>
            <w:shd w:val="pct20" w:color="auto" w:fill="auto"/>
            <w:vAlign w:val="center"/>
          </w:tcPr>
          <w:p w14:paraId="383BF1B0" w14:textId="77777777" w:rsidR="00410348" w:rsidRPr="00475A42" w:rsidRDefault="00410348" w:rsidP="00410348">
            <w:pPr>
              <w:pStyle w:val="Akapitzlist"/>
              <w:numPr>
                <w:ilvl w:val="0"/>
                <w:numId w:val="20"/>
              </w:numPr>
              <w:spacing w:before="0"/>
              <w:contextualSpacing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00" w:type="dxa"/>
            <w:gridSpan w:val="4"/>
            <w:shd w:val="pct20" w:color="auto" w:fill="auto"/>
            <w:vAlign w:val="center"/>
          </w:tcPr>
          <w:p w14:paraId="23271698" w14:textId="15243B84" w:rsidR="00410348" w:rsidRPr="00475A42" w:rsidRDefault="00D5071E" w:rsidP="00410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1B6D1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Oprogramowanie Antywirusowe z konsolą zarządzającą</w:t>
            </w:r>
          </w:p>
        </w:tc>
      </w:tr>
      <w:tr w:rsidR="00D5071E" w:rsidRPr="00475A42" w14:paraId="76CD09AE" w14:textId="77777777" w:rsidTr="00E631E4">
        <w:trPr>
          <w:cantSplit/>
          <w:trHeight w:val="227"/>
        </w:trPr>
        <w:tc>
          <w:tcPr>
            <w:tcW w:w="710" w:type="dxa"/>
            <w:shd w:val="clear" w:color="auto" w:fill="auto"/>
            <w:vAlign w:val="center"/>
          </w:tcPr>
          <w:p w14:paraId="66E01ADB" w14:textId="77777777" w:rsidR="00D5071E" w:rsidRPr="00475A42" w:rsidRDefault="00D5071E" w:rsidP="00D5071E">
            <w:pPr>
              <w:pStyle w:val="Akapitzlist"/>
              <w:numPr>
                <w:ilvl w:val="1"/>
                <w:numId w:val="22"/>
              </w:numPr>
              <w:spacing w:before="0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734350" w14:textId="63DB2488" w:rsidR="00D5071E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7654" w:type="dxa"/>
            <w:vAlign w:val="center"/>
          </w:tcPr>
          <w:p w14:paraId="66EA2249" w14:textId="72C46797" w:rsidR="00D5071E" w:rsidRPr="00475A42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D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ESET </w:t>
            </w:r>
            <w:proofErr w:type="spellStart"/>
            <w:r w:rsidRPr="001B6D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Endpoint</w:t>
            </w:r>
            <w:proofErr w:type="spellEnd"/>
            <w:r w:rsidRPr="001B6D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Security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równoważne</w:t>
            </w:r>
            <w:r w:rsidRPr="00201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licencja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min. 100 komputerów oraz min. 5 licencji </w:t>
            </w:r>
            <w:r w:rsidRPr="001B6D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ESET Mail Security for Microsoft Exchange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min. 10 licencji </w:t>
            </w:r>
            <w:r w:rsidRPr="001B6D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ESET File Security 7 for Microsoft Windows Server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(dla serwerów Exchange).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34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oprogramowanie równoważne w stosunku do oprogramowania wskazanego w SWZ rozumie się takie, które w sposób poprawny współpracuje z posiadanym oprogramowaniem przez Zamawiającego oraz realizuje wszystkie funkcje i posiada wszystkie cechy określone przez producenta posiadanego przez Zamawiającego oprogramowania oraz te opisane w SWZ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323CA3" w14:textId="77777777" w:rsidR="00D5071E" w:rsidRPr="00475A42" w:rsidRDefault="00D5071E" w:rsidP="00D50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054D0532" w14:textId="77777777" w:rsidR="00D5071E" w:rsidRPr="00475A42" w:rsidRDefault="00D5071E" w:rsidP="00D50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D5071E" w:rsidRPr="00475A42" w14:paraId="639ACC8B" w14:textId="77777777" w:rsidTr="004576E1">
        <w:trPr>
          <w:cantSplit/>
          <w:trHeight w:val="1625"/>
        </w:trPr>
        <w:tc>
          <w:tcPr>
            <w:tcW w:w="710" w:type="dxa"/>
            <w:shd w:val="clear" w:color="auto" w:fill="auto"/>
            <w:vAlign w:val="center"/>
          </w:tcPr>
          <w:p w14:paraId="18D018C8" w14:textId="77777777" w:rsidR="00D5071E" w:rsidRPr="00475A42" w:rsidRDefault="00D5071E" w:rsidP="00D5071E">
            <w:pPr>
              <w:pStyle w:val="Akapitzlist"/>
              <w:numPr>
                <w:ilvl w:val="1"/>
                <w:numId w:val="22"/>
              </w:numPr>
              <w:spacing w:before="0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537FB6" w14:textId="329FD5CE" w:rsidR="00D5071E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Funkcje</w:t>
            </w:r>
          </w:p>
        </w:tc>
        <w:tc>
          <w:tcPr>
            <w:tcW w:w="7654" w:type="dxa"/>
            <w:vAlign w:val="center"/>
          </w:tcPr>
          <w:p w14:paraId="58570E6E" w14:textId="218819FD" w:rsidR="00D5071E" w:rsidRPr="00475A42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Centralna konsola zarządzania licencjami oraz podłączonymi urządzeniami zapewniająca zdalną instalację/aktualizację oprogramowania antywirusowego. </w:t>
            </w:r>
            <w:r w:rsidRPr="00940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Dostęp do chmury wczesnego ostrzegania Live </w:t>
            </w:r>
            <w:proofErr w:type="spellStart"/>
            <w:r w:rsidRPr="00940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Grid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hrona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antywirusowa, dwukierunkowy firewall, </w:t>
            </w:r>
            <w:r w:rsidRPr="00940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Ochrona </w:t>
            </w:r>
            <w:proofErr w:type="spellStart"/>
            <w:r w:rsidRPr="00940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antyspyware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940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Ochrona przed spamem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940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Ochrona przed włamaniami działającymi na hoście (HIPS)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940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Zarządzanie dostępem do stron www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z</w:t>
            </w:r>
            <w:r w:rsidRPr="00940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arządzanie dostępem do firmowego sprzętu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940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Wsparcie dla Microsoft NAP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3A1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Ochrona przed atakami </w:t>
            </w:r>
            <w:proofErr w:type="spellStart"/>
            <w:r w:rsidRPr="003A1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bezplikowymi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D17D56" w14:textId="77777777" w:rsidR="00D5071E" w:rsidRPr="00475A42" w:rsidRDefault="00D5071E" w:rsidP="00D50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5C221E2" w14:textId="77777777" w:rsidR="00D5071E" w:rsidRPr="00475A42" w:rsidRDefault="00D5071E" w:rsidP="00D50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D5071E" w:rsidRPr="00475A42" w14:paraId="04F2686C" w14:textId="77777777" w:rsidTr="004576E1">
        <w:trPr>
          <w:cantSplit/>
          <w:trHeight w:val="557"/>
        </w:trPr>
        <w:tc>
          <w:tcPr>
            <w:tcW w:w="710" w:type="dxa"/>
            <w:shd w:val="clear" w:color="auto" w:fill="auto"/>
            <w:vAlign w:val="center"/>
          </w:tcPr>
          <w:p w14:paraId="04611F32" w14:textId="77777777" w:rsidR="00D5071E" w:rsidRPr="00475A42" w:rsidRDefault="00D5071E" w:rsidP="00D5071E">
            <w:pPr>
              <w:pStyle w:val="Akapitzlist"/>
              <w:numPr>
                <w:ilvl w:val="1"/>
                <w:numId w:val="22"/>
              </w:numPr>
              <w:spacing w:before="0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F679E3" w14:textId="7D59C02B" w:rsidR="00D5071E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Subskrypcja</w:t>
            </w:r>
          </w:p>
        </w:tc>
        <w:tc>
          <w:tcPr>
            <w:tcW w:w="7654" w:type="dxa"/>
            <w:vAlign w:val="center"/>
          </w:tcPr>
          <w:p w14:paraId="36AEC033" w14:textId="08BC177D" w:rsidR="00D5071E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A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n. </w:t>
            </w:r>
            <w:r w:rsidR="00662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475A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62D12" w:rsidRPr="00475A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="00662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iesięcy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1029FC" w14:textId="77777777" w:rsidR="00D5071E" w:rsidRPr="00475A42" w:rsidRDefault="00D5071E" w:rsidP="00D50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C279100" w14:textId="77777777" w:rsidR="00D5071E" w:rsidRPr="00475A42" w:rsidRDefault="00D5071E" w:rsidP="00D50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F2344C" w:rsidRPr="00475A42" w14:paraId="7346C0D5" w14:textId="77777777" w:rsidTr="00B812E4">
        <w:trPr>
          <w:cantSplit/>
          <w:trHeight w:val="227"/>
        </w:trPr>
        <w:tc>
          <w:tcPr>
            <w:tcW w:w="710" w:type="dxa"/>
            <w:shd w:val="pct20" w:color="auto" w:fill="auto"/>
            <w:vAlign w:val="center"/>
          </w:tcPr>
          <w:p w14:paraId="721841CD" w14:textId="77777777" w:rsidR="00F2344C" w:rsidRPr="00475A42" w:rsidRDefault="00F2344C" w:rsidP="00B812E4">
            <w:pPr>
              <w:pStyle w:val="Akapitzlist"/>
              <w:numPr>
                <w:ilvl w:val="0"/>
                <w:numId w:val="20"/>
              </w:numPr>
              <w:spacing w:before="0"/>
              <w:contextualSpacing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00" w:type="dxa"/>
            <w:gridSpan w:val="4"/>
            <w:shd w:val="pct20" w:color="auto" w:fill="auto"/>
            <w:vAlign w:val="center"/>
          </w:tcPr>
          <w:p w14:paraId="27A15501" w14:textId="735F4611" w:rsidR="00F2344C" w:rsidRPr="00475A42" w:rsidRDefault="00D5071E" w:rsidP="00B81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33783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Microsoft Exchange Server 2019 Standard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D1D8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FD1D8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licencj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 100 USER CAL</w:t>
            </w:r>
            <w:r w:rsidRPr="00FD1D8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D5071E" w:rsidRPr="00475A42" w14:paraId="03ED1028" w14:textId="77777777" w:rsidTr="00E631E4">
        <w:trPr>
          <w:cantSplit/>
          <w:trHeight w:val="227"/>
        </w:trPr>
        <w:tc>
          <w:tcPr>
            <w:tcW w:w="710" w:type="dxa"/>
            <w:shd w:val="clear" w:color="auto" w:fill="auto"/>
            <w:vAlign w:val="center"/>
          </w:tcPr>
          <w:p w14:paraId="070F57E3" w14:textId="27C4C87F" w:rsidR="00D5071E" w:rsidRPr="00D02C02" w:rsidRDefault="00D5071E" w:rsidP="00D50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C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AB4719" w14:textId="7FAAD86F" w:rsidR="00D5071E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7654" w:type="dxa"/>
            <w:vAlign w:val="center"/>
          </w:tcPr>
          <w:p w14:paraId="2FD38DA8" w14:textId="1FE981C3" w:rsidR="004576E1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Server poczty elektronicznej zintegrowany z domeną Active Directory. 1 licencja na Serwer 100 licencji – dostępów dla użytkowników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EE3E5F" w14:textId="77777777" w:rsidR="00D5071E" w:rsidRPr="00475A42" w:rsidRDefault="00D5071E" w:rsidP="00D50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0BDBA246" w14:textId="77777777" w:rsidR="00D5071E" w:rsidRPr="00475A42" w:rsidRDefault="00D5071E" w:rsidP="00D50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D5071E" w:rsidRPr="00475A42" w14:paraId="3736FA4C" w14:textId="77777777" w:rsidTr="004576E1">
        <w:trPr>
          <w:cantSplit/>
          <w:trHeight w:val="5878"/>
        </w:trPr>
        <w:tc>
          <w:tcPr>
            <w:tcW w:w="710" w:type="dxa"/>
            <w:shd w:val="clear" w:color="auto" w:fill="auto"/>
            <w:vAlign w:val="center"/>
          </w:tcPr>
          <w:p w14:paraId="4EC2B987" w14:textId="0D21FA89" w:rsidR="00D5071E" w:rsidRPr="00D02C02" w:rsidRDefault="00D5071E" w:rsidP="00D50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544EE8" w14:textId="40D9E2F0" w:rsidR="00D5071E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Funkcjonalność</w:t>
            </w:r>
          </w:p>
        </w:tc>
        <w:tc>
          <w:tcPr>
            <w:tcW w:w="7654" w:type="dxa"/>
            <w:vAlign w:val="center"/>
          </w:tcPr>
          <w:p w14:paraId="21518AFB" w14:textId="77777777" w:rsidR="00D5071E" w:rsidRPr="004576E1" w:rsidRDefault="00D5071E" w:rsidP="00D507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6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Minimalna funkcjonalność: 1)odbieranie   i   wysyłanie  poczty  elektronicznej  do  adresatów  wewnętrznych  oraz zewnętrznych; 2)mechanizmy powiadomień o dostarczeniu i przeczytaniu wiadomości przez adresata; 3)tworzenie  i  zarządzanie  osobistymi  kalendarzami,  listami  kontaktów,  zadaniami, notatkami; 4)zarządzanie  strukturą  i  zawartością  skrzynki  pocztowej  samodzielnie  przez użytkownika  końcowego,  w  tym:  kategoryzacja  treści,  nadawanie  ważności, flagowanie elementów do wykonania wraz z przypisaniem terminu i przypomnienia; 5)wsparcie dla zastosowania podpisu cyfrowego i szyfrowania wiadomości;6)pełne wsparcie dla klienta poczty elektronicznej MS Outlook 2019. 7)możliwość  przypisania  różnych  akcji  dla  adresata  wysyłanej  wiadomości,  np.  do wykonania czy do przeczytania w określonym terminie; 8)możliwość określenia terminu wygaśnięcia wiadomości; 9)udostępnianie  kalendarzy  osobistych  do  wglądu  i  edycji  innym  użytkownikom, z możliwością definiowania poziomów dostępu; 10)podgląd stanu dostępności innych użytkowników w oparciu o ich kalendarze; 11)mechanizm planowania spotkań integracja z MS </w:t>
            </w:r>
            <w:proofErr w:type="spellStart"/>
            <w:r w:rsidRPr="004576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Teams</w:t>
            </w:r>
            <w:proofErr w:type="spellEnd"/>
            <w:r w:rsidRPr="004576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; 12)tworzenie i zarządzanie współdzielonymi repozytoriami kontaktów, kalendarzy, zadań; 13) dostęp  do  całej  skrzynki  odbiorczej z poziomu aplikacji na telefonie  – w  tym  poczty  elektronicznej, kalendarza i listy kontaktów;</w:t>
            </w:r>
          </w:p>
          <w:p w14:paraId="0063CC1D" w14:textId="504D92F5" w:rsidR="00D5071E" w:rsidRPr="00201ABB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6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14) oparcie się o profile użytkowników usługi katalogowej Active Directory;15)wielofunkcyjna konsola administracyjna umożliwiająca zarządzanie systemem poczty oraz dostęp do statystyk i logów  użytkowników; 16)definiowanie kwot na rozmiar skrzynek pocztowych użytkowników, z możliwością ustawiania progu ostrzegawczego poniżej górnego limitu; 17)możliwość  definiowania  różnych  limitów  pojemności  skrzynek  dla  różnych  grup użytkowników; 18)możliwość  przeniesienia  lokalnych  archiwów  skrzynki  pocztowej  z  komputera  na serwer; 19)narzędzia  kreowania,  wdrażania  i  zarządzania  politykami  nazewnictwa  grup dystrybucyjnych.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9A1FFF" w14:textId="77777777" w:rsidR="00D5071E" w:rsidRPr="00475A42" w:rsidRDefault="00D5071E" w:rsidP="00D50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6CA3A9A" w14:textId="77777777" w:rsidR="00D5071E" w:rsidRPr="00475A42" w:rsidRDefault="00D5071E" w:rsidP="00D50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D5071E" w:rsidRPr="00475A42" w14:paraId="0D93DE60" w14:textId="77777777" w:rsidTr="004576E1">
        <w:trPr>
          <w:cantSplit/>
          <w:trHeight w:val="667"/>
        </w:trPr>
        <w:tc>
          <w:tcPr>
            <w:tcW w:w="710" w:type="dxa"/>
            <w:shd w:val="clear" w:color="auto" w:fill="auto"/>
            <w:vAlign w:val="center"/>
          </w:tcPr>
          <w:p w14:paraId="38695B4F" w14:textId="5C0EE4F3" w:rsidR="00D5071E" w:rsidRDefault="00D5071E" w:rsidP="00D50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E0B2F3" w14:textId="4B0B8E54" w:rsidR="00D5071E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 licencji</w:t>
            </w:r>
          </w:p>
        </w:tc>
        <w:tc>
          <w:tcPr>
            <w:tcW w:w="7654" w:type="dxa"/>
            <w:vAlign w:val="center"/>
          </w:tcPr>
          <w:p w14:paraId="133DF889" w14:textId="38EB4999" w:rsidR="00D5071E" w:rsidRPr="00475A42" w:rsidRDefault="00D5071E" w:rsidP="00D50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Wieczysta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745498" w14:textId="77777777" w:rsidR="00D5071E" w:rsidRPr="00475A42" w:rsidRDefault="00D5071E" w:rsidP="00D50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8DE273B" w14:textId="77777777" w:rsidR="00D5071E" w:rsidRPr="00475A42" w:rsidRDefault="00D5071E" w:rsidP="00D50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D02C02" w:rsidRPr="00475A42" w14:paraId="30D4DF0E" w14:textId="77777777" w:rsidTr="00D02C02">
        <w:trPr>
          <w:cantSplit/>
          <w:trHeight w:val="227"/>
        </w:trPr>
        <w:tc>
          <w:tcPr>
            <w:tcW w:w="710" w:type="dxa"/>
            <w:shd w:val="clear" w:color="auto" w:fill="D0CECE" w:themeFill="background2" w:themeFillShade="E6"/>
            <w:vAlign w:val="center"/>
          </w:tcPr>
          <w:p w14:paraId="1BB01C64" w14:textId="06173061" w:rsidR="00D02C02" w:rsidRDefault="00D02C02" w:rsidP="00D02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600" w:type="dxa"/>
            <w:gridSpan w:val="4"/>
            <w:shd w:val="clear" w:color="auto" w:fill="D0CECE" w:themeFill="background2" w:themeFillShade="E6"/>
            <w:vAlign w:val="center"/>
          </w:tcPr>
          <w:p w14:paraId="35AFB58E" w14:textId="2A6DA917" w:rsidR="00D02C02" w:rsidRPr="006A1460" w:rsidRDefault="00D5071E" w:rsidP="00D02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darkGray"/>
              </w:rPr>
            </w:pPr>
            <w:r w:rsidRPr="006E0B3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Microsoft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Project</w:t>
            </w:r>
            <w:r w:rsidRPr="006E0B3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3 - 10 licencji</w:t>
            </w:r>
          </w:p>
        </w:tc>
      </w:tr>
      <w:tr w:rsidR="004576E1" w:rsidRPr="00475A42" w14:paraId="001165B5" w14:textId="77777777" w:rsidTr="004576E1">
        <w:trPr>
          <w:cantSplit/>
          <w:trHeight w:val="994"/>
        </w:trPr>
        <w:tc>
          <w:tcPr>
            <w:tcW w:w="710" w:type="dxa"/>
            <w:shd w:val="clear" w:color="auto" w:fill="auto"/>
            <w:vAlign w:val="center"/>
          </w:tcPr>
          <w:p w14:paraId="6A8046B8" w14:textId="609D4036" w:rsidR="004576E1" w:rsidRDefault="004576E1" w:rsidP="0045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25E579" w14:textId="20AB9D45" w:rsidR="004576E1" w:rsidRDefault="004576E1" w:rsidP="00457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7654" w:type="dxa"/>
            <w:vAlign w:val="center"/>
          </w:tcPr>
          <w:p w14:paraId="5BC8BFFA" w14:textId="77777777" w:rsidR="004576E1" w:rsidRDefault="004576E1" w:rsidP="00457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Rozszerzenie posiadanych przez Zamawiającego licencji </w:t>
            </w:r>
            <w:r w:rsidRPr="009D6C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Microsoft 365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dodatkowe 10 licencji w wersji </w:t>
            </w:r>
          </w:p>
          <w:p w14:paraId="06E12AA0" w14:textId="3F79B4DC" w:rsidR="004576E1" w:rsidRDefault="004576E1" w:rsidP="00457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Project (Plan 3).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2D0389" w14:textId="77777777" w:rsidR="004576E1" w:rsidRPr="00475A42" w:rsidRDefault="004576E1" w:rsidP="00457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4ED5637" w14:textId="77777777" w:rsidR="004576E1" w:rsidRPr="00475A42" w:rsidRDefault="004576E1" w:rsidP="00457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4576E1" w:rsidRPr="00475A42" w14:paraId="3D3C0D47" w14:textId="77777777" w:rsidTr="00E631E4">
        <w:trPr>
          <w:cantSplit/>
          <w:trHeight w:val="227"/>
        </w:trPr>
        <w:tc>
          <w:tcPr>
            <w:tcW w:w="710" w:type="dxa"/>
            <w:shd w:val="clear" w:color="auto" w:fill="auto"/>
            <w:vAlign w:val="center"/>
          </w:tcPr>
          <w:p w14:paraId="2ABAA6D5" w14:textId="6F464748" w:rsidR="004576E1" w:rsidRDefault="004576E1" w:rsidP="0045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9F0EB9" w14:textId="4283FFD1" w:rsidR="004576E1" w:rsidRDefault="004576E1" w:rsidP="00457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Funkcjonalność</w:t>
            </w:r>
          </w:p>
        </w:tc>
        <w:tc>
          <w:tcPr>
            <w:tcW w:w="7654" w:type="dxa"/>
            <w:vAlign w:val="center"/>
          </w:tcPr>
          <w:p w14:paraId="5204A4C6" w14:textId="75A67092" w:rsidR="004576E1" w:rsidRDefault="004576E1" w:rsidP="00457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Project dla sieci Web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B41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Usługa Project Online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B41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Klient klasyczny usługi Project Online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322A68" w14:textId="77777777" w:rsidR="004576E1" w:rsidRPr="00475A42" w:rsidRDefault="004576E1" w:rsidP="00457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A918F86" w14:textId="77777777" w:rsidR="004576E1" w:rsidRPr="00475A42" w:rsidRDefault="004576E1" w:rsidP="00457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4576E1" w:rsidRPr="00475A42" w14:paraId="213B3599" w14:textId="77777777" w:rsidTr="00E631E4">
        <w:trPr>
          <w:cantSplit/>
          <w:trHeight w:val="227"/>
        </w:trPr>
        <w:tc>
          <w:tcPr>
            <w:tcW w:w="710" w:type="dxa"/>
            <w:shd w:val="clear" w:color="auto" w:fill="auto"/>
            <w:vAlign w:val="center"/>
          </w:tcPr>
          <w:p w14:paraId="209EF096" w14:textId="6E854E7F" w:rsidR="004576E1" w:rsidRDefault="004576E1" w:rsidP="0045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808130" w14:textId="0D3992F8" w:rsidR="004576E1" w:rsidRPr="00E631E4" w:rsidRDefault="004576E1" w:rsidP="00457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Subskrypcja</w:t>
            </w:r>
          </w:p>
        </w:tc>
        <w:tc>
          <w:tcPr>
            <w:tcW w:w="7654" w:type="dxa"/>
            <w:vAlign w:val="center"/>
          </w:tcPr>
          <w:p w14:paraId="38E8C7FC" w14:textId="513B4C41" w:rsidR="004576E1" w:rsidRPr="00E631E4" w:rsidRDefault="004576E1" w:rsidP="00457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A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="006715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475A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</w:t>
            </w:r>
            <w:r w:rsidR="00662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iesięcy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dla 10 użytkowników.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4CD534" w14:textId="77777777" w:rsidR="004576E1" w:rsidRPr="00475A42" w:rsidRDefault="004576E1" w:rsidP="00457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F9C10BE" w14:textId="77777777" w:rsidR="004576E1" w:rsidRPr="00475A42" w:rsidRDefault="004576E1" w:rsidP="00457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D02C02" w:rsidRPr="00CF2FCA" w14:paraId="3AC21107" w14:textId="77777777" w:rsidTr="004C10AC">
        <w:trPr>
          <w:cantSplit/>
          <w:trHeight w:val="647"/>
        </w:trPr>
        <w:tc>
          <w:tcPr>
            <w:tcW w:w="12758" w:type="dxa"/>
            <w:gridSpan w:val="4"/>
            <w:shd w:val="clear" w:color="auto" w:fill="auto"/>
            <w:vAlign w:val="center"/>
          </w:tcPr>
          <w:p w14:paraId="001B62B2" w14:textId="49147A65" w:rsidR="00D02C02" w:rsidRPr="00510761" w:rsidRDefault="00D02C02" w:rsidP="00D02C02">
            <w:pPr>
              <w:spacing w:after="0" w:line="21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510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Razem wartość brutto (suma pozycji 1 – </w:t>
            </w:r>
            <w:r w:rsidR="00626B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510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5A5F558" w14:textId="77777777" w:rsidR="00D02C02" w:rsidRPr="00CF2FCA" w:rsidRDefault="00D02C02" w:rsidP="00D02C0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</w:tbl>
    <w:p w14:paraId="42141C86" w14:textId="77777777" w:rsidR="00703D7F" w:rsidRDefault="00703D7F" w:rsidP="004C10AC">
      <w:pPr>
        <w:spacing w:after="0" w:line="288" w:lineRule="auto"/>
        <w:ind w:left="1418" w:hanging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971880" w14:textId="77777777" w:rsidR="004C75D6" w:rsidRPr="004957B4" w:rsidRDefault="004C75D6" w:rsidP="004C10AC">
      <w:pPr>
        <w:spacing w:after="0" w:line="288" w:lineRule="auto"/>
        <w:ind w:left="1418" w:hanging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09CEA8" w14:textId="1CCBD062" w:rsidR="00626B5C" w:rsidRPr="00D43FC0" w:rsidRDefault="00703D7F" w:rsidP="00626B5C">
      <w:pPr>
        <w:ind w:right="-1"/>
        <w:rPr>
          <w:rFonts w:ascii="Nunito Sans" w:hAnsi="Nunito Sans"/>
          <w:i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26B5C">
        <w:rPr>
          <w:rFonts w:ascii="Nunito Sans" w:hAnsi="Nunito Sans"/>
          <w:i/>
        </w:rPr>
        <w:t xml:space="preserve">                                                                                              </w:t>
      </w:r>
      <w:r w:rsidR="00626B5C" w:rsidRPr="00D43FC0">
        <w:rPr>
          <w:rFonts w:ascii="Nunito Sans" w:hAnsi="Nunito Sans"/>
          <w:i/>
        </w:rPr>
        <w:t>……………………………………………………</w:t>
      </w:r>
    </w:p>
    <w:p w14:paraId="7E49E077" w14:textId="77777777" w:rsidR="00626B5C" w:rsidRPr="00D43FC0" w:rsidRDefault="00626B5C" w:rsidP="00626B5C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Nunito Sans" w:hAnsi="Nunito Sans"/>
        </w:rPr>
      </w:pPr>
      <w:r w:rsidRPr="00D43FC0">
        <w:rPr>
          <w:rFonts w:ascii="Nunito Sans" w:hAnsi="Nunito Sans"/>
          <w:i/>
        </w:rPr>
        <w:tab/>
      </w:r>
      <w:r w:rsidRPr="00D43FC0">
        <w:rPr>
          <w:rFonts w:ascii="Nunito Sans" w:hAnsi="Nunito Sans"/>
          <w:i/>
        </w:rPr>
        <w:tab/>
      </w:r>
      <w:r w:rsidRPr="00D43FC0">
        <w:rPr>
          <w:rFonts w:ascii="Nunito Sans" w:hAnsi="Nunito Sans"/>
          <w:i/>
        </w:rPr>
        <w:tab/>
      </w:r>
      <w:r w:rsidRPr="00D43FC0">
        <w:rPr>
          <w:rFonts w:ascii="Nunito Sans" w:hAnsi="Nunito Sans"/>
          <w:i/>
        </w:rPr>
        <w:tab/>
        <w:t>(elektroniczny kwalifikowany podpis Wykonawcy)</w:t>
      </w:r>
    </w:p>
    <w:p w14:paraId="73352279" w14:textId="77777777" w:rsidR="00626B5C" w:rsidRPr="00D43FC0" w:rsidRDefault="00626B5C" w:rsidP="00626B5C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u w:val="single"/>
        </w:rPr>
      </w:pPr>
    </w:p>
    <w:p w14:paraId="587875DD" w14:textId="77777777" w:rsidR="00626B5C" w:rsidRPr="007336C7" w:rsidRDefault="00626B5C" w:rsidP="00626B5C">
      <w:pPr>
        <w:spacing w:after="200" w:line="360" w:lineRule="auto"/>
        <w:jc w:val="center"/>
        <w:rPr>
          <w:rFonts w:ascii="Nunito Sans" w:hAnsi="Nunito Sans"/>
          <w:i/>
        </w:rPr>
      </w:pPr>
      <w:r w:rsidRPr="00D43FC0">
        <w:rPr>
          <w:rFonts w:ascii="Nunito Sans" w:eastAsia="Calibri" w:hAnsi="Nunito Sans"/>
          <w:b/>
          <w:iCs/>
          <w:color w:val="FF0000"/>
          <w:u w:val="single"/>
        </w:rPr>
        <w:t>Proszę o podpisanie kwalifikowanym podpisem elektronicznym</w:t>
      </w:r>
    </w:p>
    <w:p w14:paraId="73DA6540" w14:textId="204E8D82" w:rsidR="00883491" w:rsidRPr="00FC4BEA" w:rsidRDefault="00883491" w:rsidP="00626B5C">
      <w:pPr>
        <w:spacing w:after="0" w:line="288" w:lineRule="auto"/>
        <w:ind w:left="6372" w:hanging="637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83491" w:rsidRPr="00FC4BEA" w:rsidSect="00475A42">
      <w:headerReference w:type="default" r:id="rId8"/>
      <w:footerReference w:type="default" r:id="rId9"/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6E20" w14:textId="77777777" w:rsidR="001C777C" w:rsidRDefault="001C777C" w:rsidP="00400B83">
      <w:pPr>
        <w:spacing w:after="0" w:line="240" w:lineRule="auto"/>
      </w:pPr>
      <w:r>
        <w:separator/>
      </w:r>
    </w:p>
  </w:endnote>
  <w:endnote w:type="continuationSeparator" w:id="0">
    <w:p w14:paraId="50743E7E" w14:textId="77777777" w:rsidR="001C777C" w:rsidRDefault="001C777C" w:rsidP="0040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519087"/>
      <w:docPartObj>
        <w:docPartGallery w:val="Page Numbers (Bottom of Page)"/>
        <w:docPartUnique/>
      </w:docPartObj>
    </w:sdtPr>
    <w:sdtEndPr/>
    <w:sdtContent>
      <w:p w14:paraId="61E441EC" w14:textId="77777777" w:rsidR="00400B83" w:rsidRDefault="00400B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5D6">
          <w:rPr>
            <w:noProof/>
          </w:rPr>
          <w:t>2</w:t>
        </w:r>
        <w:r>
          <w:fldChar w:fldCharType="end"/>
        </w:r>
      </w:p>
    </w:sdtContent>
  </w:sdt>
  <w:p w14:paraId="0CC1EA4E" w14:textId="77777777" w:rsidR="00400B83" w:rsidRDefault="00400B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FBF05" w14:textId="77777777" w:rsidR="001C777C" w:rsidRDefault="001C777C" w:rsidP="00400B83">
      <w:pPr>
        <w:spacing w:after="0" w:line="240" w:lineRule="auto"/>
      </w:pPr>
      <w:r>
        <w:separator/>
      </w:r>
    </w:p>
  </w:footnote>
  <w:footnote w:type="continuationSeparator" w:id="0">
    <w:p w14:paraId="711E3180" w14:textId="77777777" w:rsidR="001C777C" w:rsidRDefault="001C777C" w:rsidP="0040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5C87" w14:textId="2A396F97" w:rsidR="00400B83" w:rsidRDefault="00400B83">
    <w:pPr>
      <w:pStyle w:val="Nagwek"/>
    </w:pPr>
  </w:p>
  <w:p w14:paraId="4A988933" w14:textId="494B7BE3" w:rsidR="002110BE" w:rsidRDefault="00B23B3F">
    <w:pPr>
      <w:pStyle w:val="Nagwek"/>
    </w:pPr>
    <w:r>
      <w:rPr>
        <w:noProof/>
      </w:rPr>
      <w:drawing>
        <wp:inline distT="0" distB="0" distL="0" distR="0" wp14:anchorId="6FDC9CBA" wp14:editId="7D75845A">
          <wp:extent cx="1493520" cy="829310"/>
          <wp:effectExtent l="0" t="0" r="0" b="889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8276C"/>
    <w:multiLevelType w:val="multilevel"/>
    <w:tmpl w:val="AA7E4B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293365"/>
    <w:multiLevelType w:val="multilevel"/>
    <w:tmpl w:val="09E052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A814404"/>
    <w:multiLevelType w:val="hybridMultilevel"/>
    <w:tmpl w:val="B96AB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92497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81621"/>
    <w:multiLevelType w:val="hybridMultilevel"/>
    <w:tmpl w:val="01461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07C45"/>
    <w:multiLevelType w:val="multilevel"/>
    <w:tmpl w:val="B42801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8E15CA6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DD51BF"/>
    <w:multiLevelType w:val="hybridMultilevel"/>
    <w:tmpl w:val="541C5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A6DA4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E509EF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744ACE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5760F2"/>
    <w:multiLevelType w:val="hybridMultilevel"/>
    <w:tmpl w:val="D1A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4219F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C40960"/>
    <w:multiLevelType w:val="hybridMultilevel"/>
    <w:tmpl w:val="E8688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6401E"/>
    <w:multiLevelType w:val="multilevel"/>
    <w:tmpl w:val="298A0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E9F3E17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753B53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746E4A"/>
    <w:multiLevelType w:val="multilevel"/>
    <w:tmpl w:val="298A0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C012894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E47B7A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6F253F"/>
    <w:multiLevelType w:val="multilevel"/>
    <w:tmpl w:val="9D706C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8C32E2C"/>
    <w:multiLevelType w:val="multilevel"/>
    <w:tmpl w:val="9D706C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A224147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601AD5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8D35FC"/>
    <w:multiLevelType w:val="multilevel"/>
    <w:tmpl w:val="9D706C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9"/>
  </w:num>
  <w:num w:numId="8">
    <w:abstractNumId w:val="19"/>
  </w:num>
  <w:num w:numId="9">
    <w:abstractNumId w:val="8"/>
  </w:num>
  <w:num w:numId="10">
    <w:abstractNumId w:val="16"/>
  </w:num>
  <w:num w:numId="11">
    <w:abstractNumId w:val="10"/>
  </w:num>
  <w:num w:numId="12">
    <w:abstractNumId w:val="18"/>
  </w:num>
  <w:num w:numId="13">
    <w:abstractNumId w:val="12"/>
  </w:num>
  <w:num w:numId="14">
    <w:abstractNumId w:val="6"/>
  </w:num>
  <w:num w:numId="15">
    <w:abstractNumId w:val="15"/>
  </w:num>
  <w:num w:numId="16">
    <w:abstractNumId w:val="0"/>
  </w:num>
  <w:num w:numId="17">
    <w:abstractNumId w:val="22"/>
  </w:num>
  <w:num w:numId="18">
    <w:abstractNumId w:val="5"/>
  </w:num>
  <w:num w:numId="19">
    <w:abstractNumId w:val="23"/>
  </w:num>
  <w:num w:numId="20">
    <w:abstractNumId w:val="17"/>
  </w:num>
  <w:num w:numId="21">
    <w:abstractNumId w:val="14"/>
  </w:num>
  <w:num w:numId="22">
    <w:abstractNumId w:val="21"/>
  </w:num>
  <w:num w:numId="23">
    <w:abstractNumId w:val="24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B6"/>
    <w:rsid w:val="0001665E"/>
    <w:rsid w:val="000347C0"/>
    <w:rsid w:val="00042001"/>
    <w:rsid w:val="000652CE"/>
    <w:rsid w:val="00101462"/>
    <w:rsid w:val="00190198"/>
    <w:rsid w:val="001C777C"/>
    <w:rsid w:val="001D6E60"/>
    <w:rsid w:val="001F6B26"/>
    <w:rsid w:val="00201ABB"/>
    <w:rsid w:val="002110BE"/>
    <w:rsid w:val="0023520C"/>
    <w:rsid w:val="00292EC1"/>
    <w:rsid w:val="002A09C9"/>
    <w:rsid w:val="002F6408"/>
    <w:rsid w:val="00301884"/>
    <w:rsid w:val="00312FDD"/>
    <w:rsid w:val="00390672"/>
    <w:rsid w:val="00394BA2"/>
    <w:rsid w:val="003A5782"/>
    <w:rsid w:val="003E398C"/>
    <w:rsid w:val="00400B83"/>
    <w:rsid w:val="00410348"/>
    <w:rsid w:val="00433BB7"/>
    <w:rsid w:val="004576E1"/>
    <w:rsid w:val="00466AB6"/>
    <w:rsid w:val="00475A42"/>
    <w:rsid w:val="004C10AC"/>
    <w:rsid w:val="004C75D6"/>
    <w:rsid w:val="004E417B"/>
    <w:rsid w:val="005973AB"/>
    <w:rsid w:val="005D0B86"/>
    <w:rsid w:val="005D16F7"/>
    <w:rsid w:val="00616535"/>
    <w:rsid w:val="0061670C"/>
    <w:rsid w:val="00626B5C"/>
    <w:rsid w:val="00655191"/>
    <w:rsid w:val="00662D12"/>
    <w:rsid w:val="006715C2"/>
    <w:rsid w:val="00677EA4"/>
    <w:rsid w:val="006A1460"/>
    <w:rsid w:val="006E454F"/>
    <w:rsid w:val="00703D7F"/>
    <w:rsid w:val="007512AB"/>
    <w:rsid w:val="00751AA0"/>
    <w:rsid w:val="00757E91"/>
    <w:rsid w:val="0079058F"/>
    <w:rsid w:val="007C0C8D"/>
    <w:rsid w:val="007F2B47"/>
    <w:rsid w:val="00883491"/>
    <w:rsid w:val="008D5CF1"/>
    <w:rsid w:val="00903E89"/>
    <w:rsid w:val="00967D52"/>
    <w:rsid w:val="00974547"/>
    <w:rsid w:val="00983264"/>
    <w:rsid w:val="00991F2B"/>
    <w:rsid w:val="009977A8"/>
    <w:rsid w:val="009A2322"/>
    <w:rsid w:val="009A32E6"/>
    <w:rsid w:val="009B51C8"/>
    <w:rsid w:val="009B52C6"/>
    <w:rsid w:val="009B5BD2"/>
    <w:rsid w:val="009E33A0"/>
    <w:rsid w:val="00B216EA"/>
    <w:rsid w:val="00B23B3F"/>
    <w:rsid w:val="00B56E4C"/>
    <w:rsid w:val="00B93769"/>
    <w:rsid w:val="00BC0A24"/>
    <w:rsid w:val="00C67543"/>
    <w:rsid w:val="00C8011E"/>
    <w:rsid w:val="00CD61A9"/>
    <w:rsid w:val="00CF2FCA"/>
    <w:rsid w:val="00D02C02"/>
    <w:rsid w:val="00D1081D"/>
    <w:rsid w:val="00D25145"/>
    <w:rsid w:val="00D5071E"/>
    <w:rsid w:val="00D53146"/>
    <w:rsid w:val="00D67290"/>
    <w:rsid w:val="00D948B4"/>
    <w:rsid w:val="00DA70E9"/>
    <w:rsid w:val="00DC1ACB"/>
    <w:rsid w:val="00DF709A"/>
    <w:rsid w:val="00E0218F"/>
    <w:rsid w:val="00E4530B"/>
    <w:rsid w:val="00E56562"/>
    <w:rsid w:val="00E631E4"/>
    <w:rsid w:val="00EC7BAE"/>
    <w:rsid w:val="00ED7B2B"/>
    <w:rsid w:val="00F2344C"/>
    <w:rsid w:val="00F255E3"/>
    <w:rsid w:val="00F3277A"/>
    <w:rsid w:val="00F35CBE"/>
    <w:rsid w:val="00F36D5D"/>
    <w:rsid w:val="00F6113D"/>
    <w:rsid w:val="00F911AD"/>
    <w:rsid w:val="00FA0C79"/>
    <w:rsid w:val="00FA56D1"/>
    <w:rsid w:val="00FC4BEA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A4CE3E"/>
  <w15:chartTrackingRefBased/>
  <w15:docId w15:val="{ECA1CD36-3332-4B17-846F-8EE43172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672"/>
    <w:pPr>
      <w:spacing w:before="120"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B83"/>
  </w:style>
  <w:style w:type="paragraph" w:styleId="Stopka">
    <w:name w:val="footer"/>
    <w:basedOn w:val="Normalny"/>
    <w:link w:val="StopkaZnak"/>
    <w:uiPriority w:val="99"/>
    <w:unhideWhenUsed/>
    <w:rsid w:val="0040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B83"/>
  </w:style>
  <w:style w:type="paragraph" w:styleId="Tekstdymka">
    <w:name w:val="Balloon Text"/>
    <w:basedOn w:val="Normalny"/>
    <w:link w:val="TekstdymkaZnak"/>
    <w:uiPriority w:val="99"/>
    <w:semiHidden/>
    <w:unhideWhenUsed/>
    <w:rsid w:val="00F3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32921-1DCB-43A4-909E-54BCBB8F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4</cp:revision>
  <dcterms:created xsi:type="dcterms:W3CDTF">2021-10-06T14:44:00Z</dcterms:created>
  <dcterms:modified xsi:type="dcterms:W3CDTF">2021-10-07T09:48:00Z</dcterms:modified>
</cp:coreProperties>
</file>