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DC" w:rsidRPr="009428DC" w:rsidRDefault="009428DC" w:rsidP="008B5A3B">
      <w:pPr>
        <w:jc w:val="center"/>
        <w:rPr>
          <w:b/>
          <w:sz w:val="28"/>
          <w:szCs w:val="28"/>
        </w:rPr>
      </w:pPr>
      <w:r w:rsidRPr="009428DC">
        <w:rPr>
          <w:b/>
          <w:sz w:val="28"/>
          <w:szCs w:val="28"/>
        </w:rPr>
        <w:t>Arkusz Informacji Technicznej (AIT)</w:t>
      </w:r>
    </w:p>
    <w:p w:rsidR="009428DC" w:rsidRDefault="009428DC">
      <w:bookmarkStart w:id="0" w:name="_GoBack"/>
      <w:bookmarkEnd w:id="0"/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8"/>
        <w:gridCol w:w="3234"/>
        <w:gridCol w:w="992"/>
        <w:gridCol w:w="1843"/>
        <w:gridCol w:w="1701"/>
        <w:gridCol w:w="6095"/>
      </w:tblGrid>
      <w:tr w:rsidR="009428DC" w:rsidRPr="009428DC" w:rsidTr="00832561">
        <w:trPr>
          <w:trHeight w:val="900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ind w:right="627"/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L.p.</w:t>
            </w:r>
          </w:p>
          <w:p w:rsidR="009428DC" w:rsidRPr="009428DC" w:rsidRDefault="009428DC" w:rsidP="008B5A3B">
            <w:pPr>
              <w:tabs>
                <w:tab w:val="left" w:pos="-2943"/>
              </w:tabs>
              <w:ind w:right="627"/>
              <w:rPr>
                <w:rFonts w:ascii="Times New Roman" w:eastAsia="Times New Roman" w:hAnsi="Times New Roman"/>
              </w:rPr>
            </w:pP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ind w:firstLine="8"/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Opis wymaganych parametrów technicznych</w:t>
            </w:r>
          </w:p>
        </w:tc>
        <w:tc>
          <w:tcPr>
            <w:tcW w:w="992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Ilość szt.</w:t>
            </w:r>
          </w:p>
        </w:tc>
        <w:tc>
          <w:tcPr>
            <w:tcW w:w="1843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Ocena punktowa za parametry podlegające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Parametr graniczny/ warunek wymagany</w:t>
            </w:r>
          </w:p>
        </w:tc>
        <w:tc>
          <w:tcPr>
            <w:tcW w:w="6095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Parametry techniczne oferowane przez Wykonawcę (podać zakres lub opisać*)</w:t>
            </w:r>
          </w:p>
        </w:tc>
      </w:tr>
      <w:tr w:rsidR="009428DC" w:rsidRPr="009428DC" w:rsidTr="00832561">
        <w:trPr>
          <w:trHeight w:val="300"/>
        </w:trPr>
        <w:tc>
          <w:tcPr>
            <w:tcW w:w="1728" w:type="dxa"/>
            <w:noWrap/>
            <w:hideMark/>
          </w:tcPr>
          <w:p w:rsidR="009428DC" w:rsidRPr="009428DC" w:rsidRDefault="009428DC" w:rsidP="008B5A3B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Myjnia dezynfektor, przelotowa. Pojemność komory 15 tac narzędziowych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348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34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Typ:</w:t>
            </w:r>
            <w:r w:rsidRPr="009428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631" w:type="dxa"/>
            <w:gridSpan w:val="4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30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34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 xml:space="preserve">Nazwa własna: </w:t>
            </w:r>
          </w:p>
        </w:tc>
        <w:tc>
          <w:tcPr>
            <w:tcW w:w="10631" w:type="dxa"/>
            <w:gridSpan w:val="4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38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234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Wytwórca (nazwa, siedziba):</w:t>
            </w:r>
          </w:p>
        </w:tc>
        <w:tc>
          <w:tcPr>
            <w:tcW w:w="10631" w:type="dxa"/>
            <w:gridSpan w:val="4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urządzenie fabrycznie nowe - rok produkcji 2020 (nie powystawowe).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komora przelotowa, dwudrzwiowa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42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drzwi przesuwne w pionie(otwierane w dół), całkowicie przeszklone z ramą ze stali kwasoodpornej, automatycznie otwierane i zamykane przy pomocy przycisków na panelu sterującym urządzeniem, uszczelnienie drzwi za pomocą rozprężanej uszczelki dostęp do przestrzeni serwisowej z przodu lub z tyłu urządzenia, automatyczna blokada drzwi w trakcie procesu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1.4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pojemność komory nie mniej niż 15 szt. dużych tac instrumentowych o wymiarach minimum 595x255x70 mm lub 6 pojemników sterylizacyjnych ½ STE lub 4 pojemników 1 STE, zgodnych ze standardem DIN 1/1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 xml:space="preserve"> 1.5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kompaktowa konstrukcja, maksymalna szerokość urządzenia 1000 mm, maksymalna głębokość urządzenia 1000 mm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1.6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zasilanie i ogrzewanie elektrycznie (400V), moc urządzenia nie przekraczająca 21 kW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1.7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1.8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komora myjni, elementy funkcjonalne (ramiona spryskujące, przewody rurowe, elementy grzejne), obudowa – wykonanie ze stali nierdzewnej/kwasoodpornej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1.9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końcowe płukanie wodą zdemineralizowaną,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1.10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wyposażenie w dodatkowy zbiornik/system oszczędzania wody polegający na odzysku i wykorzystaniu wody z fazy ostatniego płukania do innej fazy następnego procesu zlokalizowany poza komorą mycia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wyposażenie  w dodatkowy zbiornik/podgrzewacz wody zdemineralizowanej do płukania końcowego i dezynfekcji termicznej zlokalizowany poza komorą mycia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14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1.12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w komorze minimum dwa </w:t>
            </w:r>
            <w:proofErr w:type="spellStart"/>
            <w:r w:rsidRPr="009428DC">
              <w:rPr>
                <w:rFonts w:ascii="Times New Roman" w:eastAsia="Times New Roman" w:hAnsi="Times New Roman"/>
              </w:rPr>
              <w:t>przyłacza</w:t>
            </w:r>
            <w:proofErr w:type="spellEnd"/>
            <w:r w:rsidRPr="009428DC">
              <w:rPr>
                <w:rFonts w:ascii="Times New Roman" w:eastAsia="Times New Roman" w:hAnsi="Times New Roman"/>
              </w:rPr>
              <w:t xml:space="preserve"> - zlokalizowane po przeciwnych stronach komory -  układu cyrkulacji roztworów roboczych do podłączenia wózka załadowczego i zasilenia obiegu wewnętrznego wózka i ramion natryskowych na </w:t>
            </w:r>
            <w:r w:rsidRPr="009428DC">
              <w:rPr>
                <w:rFonts w:ascii="Times New Roman" w:eastAsia="Times New Roman" w:hAnsi="Times New Roman"/>
              </w:rPr>
              <w:lastRenderedPageBreak/>
              <w:t>poszczególnych poziomach wózka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 xml:space="preserve"> 1.13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końcowe płukanie wodą zdemineralizowaną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1.14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temperatura ścieku nie przekraczająca 60°C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1.15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minimum  trzy pompy detergentu każda z możliwością ustawienia dozowania  środka bezpośrednio z panelu sterującego dla każdego programu zawartego w sterowniku oddzielnie.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1.16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możliwość umieszczenia w myjni minimum 3 kanistrów 10-cio litrowych ze środkami lub zbiorników buforowych centralnego systemu dozowania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1.17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pomiar dozowanych środków przy pomocy przepływomierzy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1.18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kontrola poziomu dozowanych środków chemicznych w zbiornikach.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1.19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sterowanie i kontrola pracy urządzenia za pomocą sterownika mikroprocesorowego, wysuwany sterownik ułatwiający dostęp serwisowy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1.20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14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 xml:space="preserve"> 1.21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możliwość podłączenia sterownika myjni do komputera zewnętrznego klasy PC ze specjalistycznym oprogramowaniem do archiwizacji cyklów sterylizacji i jednolitego informatycznego systemu do zarządzania obiegiem wyrobów sterylnych wraz z rejestracją pracy innych urządzeń centralnej </w:t>
            </w:r>
            <w:proofErr w:type="spellStart"/>
            <w:r w:rsidRPr="009428DC">
              <w:rPr>
                <w:rFonts w:ascii="Times New Roman" w:eastAsia="Times New Roman" w:hAnsi="Times New Roman"/>
              </w:rPr>
              <w:t>sterylizatorni</w:t>
            </w:r>
            <w:proofErr w:type="spellEnd"/>
            <w:r w:rsidRPr="009428DC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14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1.22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automatyczna archiwizacja wszystkich raportów i wykresów procesu w sterowniku sterylizatora przez minimum 5 lat, oraz automatyczna transmisja raportów procesu do komputera zewnętrznego klasy PC, oprogramowanie archiwizacyjne w języku polskim dla oferowanej myjni do narzędzi dostarczane wraz z urządzeniem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1.23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procesy realizowane automatycznie bez potrzeby ingerencji ze strony użytkownika.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1.24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sterownik urządzenia wyposażony kolorowy ekran dotykowy o przekątnej minimum 5” do obsługi urządzenia, wyświetlania komunikatów tekstowych, wizualizacja na ekranie wykresu temperatury i ciśnienia w systemie obiegowym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Przekątna ekranu = 5” – 0 pkt; przekątna ekranu &gt; 5” – 5 pkt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1.25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wyświetlanie na ekranie i na wyświetlaczu po stronie rozładowczej czasu do zakończenia procesu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1.26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sygnalizacja świetlna stanu myjni, faz procesu.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425"/>
        </w:trPr>
        <w:tc>
          <w:tcPr>
            <w:tcW w:w="1728" w:type="dxa"/>
            <w:noWrap/>
            <w:hideMark/>
          </w:tcPr>
          <w:p w:rsidR="009428DC" w:rsidRPr="009428DC" w:rsidRDefault="009428DC" w:rsidP="008B5A3B">
            <w:pPr>
              <w:tabs>
                <w:tab w:val="left" w:pos="-6628"/>
              </w:tabs>
              <w:ind w:right="627"/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 xml:space="preserve"> 1.27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wbudowana drukarka do wydruku protokołów tekstowych i wykresów przebiegu procesu mycia i dezynfekcji (temperatura i ciśnienie w systemie cyrkulacyjnym w postaci gotowego raportu, możliwość wydruku raportu procesu z wykresem parametrów w kolorze w formacie A4 na zewnętrznej drukarce sieciowej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Wydruk gotowego raportu z wykresem z wbudowanej drukarki  na papierze o szerokości:                                                   ≥ 10 cm – 10 pkt.                                         &lt; 10 cm – 0 pkt.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1.28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diagnostyczny program serwisowy i programowalna książka serwisowa w sterowniku (informacja o potrzebie wykonania przeglądu technicznego), zdalne diagnozowanie poprzez złącze sieciowe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1.29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zabezpieczenie możliwości zmiany parametrów w postaci kodu.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1.30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programy mycia i dezynfekcji termicznej ze sterowaniem wg wymaganej wartości </w:t>
            </w:r>
            <w:proofErr w:type="spellStart"/>
            <w:r w:rsidRPr="009428DC">
              <w:rPr>
                <w:rFonts w:ascii="Times New Roman" w:eastAsia="Times New Roman" w:hAnsi="Times New Roman"/>
              </w:rPr>
              <w:t>Ao</w:t>
            </w:r>
            <w:proofErr w:type="spellEnd"/>
            <w:r w:rsidRPr="009428DC">
              <w:rPr>
                <w:rFonts w:ascii="Times New Roman" w:eastAsia="Times New Roman" w:hAnsi="Times New Roman"/>
              </w:rPr>
              <w:t xml:space="preserve"> i dezynfekcji chemiczno-termicznej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liczba programów mycia – dezynfekcji minimum 20 w tym nie mniej niż 5 wybieranych bezpośrednio z ekranu dotykowego sterownika.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Ilość programów = 20 – 0 pkt;            Ilość programów &gt; 20 – 5 pkt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1.32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możliwość zaprogramowania dowolnych programów użytkownika bezpośrednio z panelu sterującego, zabezpieczenie możliwości zmiany parametrów w postaci kodu.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1.33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wyposażona w system automatycznego rozpoznawania załadunku i automatycznego wyboru programu w zależności od załadunku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 xml:space="preserve"> 1.34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wyposażona w zintegrowaną, wydajną  suszarkę załadunku, konstrukcja suszarki zapewniająca mycie i dezynfekcję przestrzeni wewnętrznych suszarki w trakcie procesu, element grzejny suszarki umieszczony wewnątrz komory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1.35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suszarka z możliwością nastawy temperatury i czasu, wyposażona w system </w:t>
            </w:r>
            <w:proofErr w:type="spellStart"/>
            <w:r w:rsidRPr="009428DC">
              <w:rPr>
                <w:rFonts w:ascii="Times New Roman" w:eastAsia="Times New Roman" w:hAnsi="Times New Roman"/>
              </w:rPr>
              <w:t>system</w:t>
            </w:r>
            <w:proofErr w:type="spellEnd"/>
            <w:r w:rsidRPr="009428DC">
              <w:rPr>
                <w:rFonts w:ascii="Times New Roman" w:eastAsia="Times New Roman" w:hAnsi="Times New Roman"/>
              </w:rPr>
              <w:t xml:space="preserve"> filtrów powietrza używanego do suszenia, zgodny z norma PN EN 15883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1.36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automatyczne monitorowanie różnicy ciśnień filtra powietrza – sygnalizacja stanu awaryjnego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1.37</w:t>
            </w:r>
          </w:p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  <w:p w:rsidR="009428DC" w:rsidRPr="009428DC" w:rsidRDefault="009428DC" w:rsidP="009428D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wyposażona w wydajny, monitorowany na bieżąco system cyrkulacji wody do mycia powierzchni zewnętrznych i wewnętrznych załadunku, przyłącza obiegu wody wewnątrz wózka z dwóch stron komory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1.38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spust wody z komory za pomocą wydajnej pompy odpływowej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14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1.39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1.40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oświetlenie elektryczne wnętrza komory umożliwiające obserwację prawidłowości procesu mycia.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30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1.41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Komplet wyposażenia myjni: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 xml:space="preserve"> 1.42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wózek transportowy z systemem dokowania do oferowanej myjni dezynfektora i zbiorniczkiem ociekowym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14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1.43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wózek załadowczy na 9 szt. dużych tac instrumentowych o wymiarach  595x255x70 mm, ramiona spryskujące zapewniające natrysk każdej mytej tacy od góry oraz od dołu, możliwość doposażenia w  minimum 12 przyłączy do mycia endoskopów sztywnych/narzędzi mikrochirurgicznych z kanałem roboczym..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14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1.44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wózek załadowczy na 6 szt. dużych tac instrumentowych o wymiarach  595x255x100 mm, ramiona spryskujące zapewniające natrysk każdej mytej tacy od góry oraz od dołu, </w:t>
            </w:r>
            <w:proofErr w:type="spellStart"/>
            <w:r w:rsidRPr="009428DC">
              <w:rPr>
                <w:rFonts w:ascii="Times New Roman" w:eastAsia="Times New Roman" w:hAnsi="Times New Roman"/>
              </w:rPr>
              <w:t>możliwośc</w:t>
            </w:r>
            <w:proofErr w:type="spellEnd"/>
            <w:r w:rsidRPr="009428DC">
              <w:rPr>
                <w:rFonts w:ascii="Times New Roman" w:eastAsia="Times New Roman" w:hAnsi="Times New Roman"/>
              </w:rPr>
              <w:t xml:space="preserve"> wyposażenia w minimum 12 przyłączy do mycia endoskopów sztywnych/narzędzi mikrochirurgicznych z kanałem roboczym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1.45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Zestaw startowy płynnych środków chemicznych, na których zostało skalibrowane i kwalifikowane podczas instalacji i uruchomienia urządzenie (w opakowaniach 5 (±5%) dm3):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30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Warunki serwisu gwarancyjnego dla oferowanych urządzeń</w:t>
            </w:r>
          </w:p>
        </w:tc>
        <w:tc>
          <w:tcPr>
            <w:tcW w:w="3234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Okres gwarancji - </w:t>
            </w:r>
            <w:r w:rsidR="008B5A3B">
              <w:rPr>
                <w:rFonts w:ascii="Times New Roman" w:eastAsia="Times New Roman" w:hAnsi="Times New Roman"/>
              </w:rPr>
              <w:t xml:space="preserve"> min. </w:t>
            </w:r>
            <w:r w:rsidRPr="009428DC">
              <w:rPr>
                <w:rFonts w:ascii="Times New Roman" w:eastAsia="Times New Roman" w:hAnsi="Times New Roman"/>
              </w:rPr>
              <w:t>36 miesięcy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Miesiące/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142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Autoryzowany serwis na oferowane urządzenia (załączyć stosowną autoryzację), podać dane teleadresowe autoryzowanego serwisu, certyfikaty szkoleniowe dla minimum 5 etatowych pracowników serwisu, 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Ilość autoryzowanych etatowych pracowników serwisu:                               = 5 - 0 pkt                                                    6 do 10 - 5 pkt                                                &gt; 10 - 10 pkt.                        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Tak 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85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Posiadanie wymaganych uprawnień do przez etatowych pracowników serwisu (w szczególności szkolenie producenta oferowanego urządzenia oraz uprawnienia elektryczne i ciśnieniowe)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Tak 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Możliwość zgłaszania usterek 24 h/dobę (podać sposób oraz numery telefonów kontaktowych i faksu)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Tak 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Magazyn części zamiennych w Polsce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Tak 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Czas reakcji: przyjęcie zgłoszenia – podjęta naprawa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h / nie dłużej jak 48 godzin w dni robocze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Maksymalny czas usuwania awarii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dni/ nie dłużej jak 5 dni roboczych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570"/>
        </w:trPr>
        <w:tc>
          <w:tcPr>
            <w:tcW w:w="1728" w:type="dxa"/>
            <w:hideMark/>
          </w:tcPr>
          <w:p w:rsidR="009428DC" w:rsidRPr="009428DC" w:rsidRDefault="00832561" w:rsidP="009428D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Wymieniane podzespoły , części do napraw, przeglądów, winny być nowe  nie regenerowane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832561" w:rsidP="009428D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Okres gwarancji dla nowo zainstalowanych elementów po naprawie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 xml:space="preserve"> minimum 6 miesięcy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832561" w:rsidP="009428D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Ograniczenia gwarancji, możliwe przyczyny utraty gwarancji (wymienić)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Opis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300"/>
        </w:trPr>
        <w:tc>
          <w:tcPr>
            <w:tcW w:w="1728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  <w:b/>
                <w:bCs/>
              </w:rPr>
            </w:pPr>
            <w:r w:rsidRPr="009428DC">
              <w:rPr>
                <w:rFonts w:ascii="Times New Roman" w:eastAsia="Times New Roman" w:hAnsi="Times New Roman"/>
                <w:b/>
                <w:bCs/>
              </w:rPr>
              <w:t>Warunki serwisu pogwarancyjnego dla sterylizatorów i myjni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Formy serwisu pogwarancyjnego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Opis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Maksymalny czas usunięcia awarii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Dni</w:t>
            </w:r>
            <w:r w:rsidR="008B5A3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Gwarancja produkcji części (wymienić ilość lat) minimum 10 lat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Lata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  <w:tr w:rsidR="009428DC" w:rsidRPr="009428DC" w:rsidTr="00832561">
        <w:trPr>
          <w:trHeight w:val="285"/>
        </w:trPr>
        <w:tc>
          <w:tcPr>
            <w:tcW w:w="1728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34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Inne oferowane warunki</w:t>
            </w:r>
          </w:p>
        </w:tc>
        <w:tc>
          <w:tcPr>
            <w:tcW w:w="992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nie podlega ocenie</w:t>
            </w:r>
          </w:p>
        </w:tc>
        <w:tc>
          <w:tcPr>
            <w:tcW w:w="1701" w:type="dxa"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Podać</w:t>
            </w:r>
          </w:p>
        </w:tc>
        <w:tc>
          <w:tcPr>
            <w:tcW w:w="6095" w:type="dxa"/>
            <w:noWrap/>
            <w:hideMark/>
          </w:tcPr>
          <w:p w:rsidR="009428DC" w:rsidRPr="009428DC" w:rsidRDefault="009428DC" w:rsidP="009428DC">
            <w:pPr>
              <w:rPr>
                <w:rFonts w:ascii="Times New Roman" w:eastAsia="Times New Roman" w:hAnsi="Times New Roman"/>
              </w:rPr>
            </w:pPr>
            <w:r w:rsidRPr="009428DC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9428DC" w:rsidRDefault="009428DC"/>
    <w:p w:rsidR="008B5A3B" w:rsidRDefault="008B5A3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8B5A3B" w:rsidRDefault="008B5A3B" w:rsidP="008B5A3B">
      <w:pPr>
        <w:ind w:left="9204" w:firstLine="708"/>
        <w:rPr>
          <w:rFonts w:ascii="Arial" w:hAnsi="Arial" w:cs="Arial"/>
          <w:bCs/>
          <w:color w:val="000000"/>
        </w:rPr>
      </w:pPr>
      <w:r w:rsidRPr="00916BB7">
        <w:rPr>
          <w:rFonts w:ascii="Arial" w:hAnsi="Arial" w:cs="Arial"/>
          <w:b/>
          <w:bCs/>
          <w:color w:val="000000"/>
        </w:rPr>
        <w:t>……………………………..</w:t>
      </w:r>
      <w:r w:rsidRPr="00916BB7">
        <w:rPr>
          <w:rFonts w:ascii="Arial" w:hAnsi="Arial" w:cs="Arial"/>
          <w:bCs/>
          <w:color w:val="000000"/>
        </w:rPr>
        <w:tab/>
      </w:r>
    </w:p>
    <w:p w:rsidR="008B5A3B" w:rsidRDefault="008B5A3B" w:rsidP="008B5A3B">
      <w:pPr>
        <w:ind w:left="9204" w:firstLine="708"/>
        <w:rPr>
          <w:rFonts w:ascii="Arial" w:hAnsi="Arial" w:cs="Arial"/>
          <w:bCs/>
          <w:color w:val="000000"/>
        </w:rPr>
      </w:pPr>
      <w:r w:rsidRPr="00916BB7">
        <w:rPr>
          <w:rFonts w:ascii="Arial" w:hAnsi="Arial" w:cs="Arial"/>
          <w:bCs/>
          <w:color w:val="000000"/>
        </w:rPr>
        <w:t xml:space="preserve"> Data i podpis Wykonawcy</w:t>
      </w:r>
    </w:p>
    <w:p w:rsidR="009428DC" w:rsidRDefault="008B5A3B" w:rsidP="008B5A3B">
      <w:pPr>
        <w:ind w:left="9912"/>
      </w:pPr>
      <w:r w:rsidRPr="00916BB7">
        <w:rPr>
          <w:rFonts w:ascii="Arial" w:hAnsi="Arial" w:cs="Arial"/>
          <w:bCs/>
          <w:color w:val="000000"/>
        </w:rPr>
        <w:t xml:space="preserve">                             </w:t>
      </w:r>
    </w:p>
    <w:sectPr w:rsidR="009428DC" w:rsidSect="00942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DC"/>
    <w:rsid w:val="0005035F"/>
    <w:rsid w:val="004978DC"/>
    <w:rsid w:val="00832561"/>
    <w:rsid w:val="008B5A3B"/>
    <w:rsid w:val="009428DC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3</cp:revision>
  <dcterms:created xsi:type="dcterms:W3CDTF">2020-11-10T13:06:00Z</dcterms:created>
  <dcterms:modified xsi:type="dcterms:W3CDTF">2020-11-12T10:59:00Z</dcterms:modified>
</cp:coreProperties>
</file>