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889" w:rsidRPr="00F97495" w:rsidRDefault="00F97495" w:rsidP="00F97495">
      <w:pPr>
        <w:rPr>
          <w:rFonts w:ascii="Times New Roman" w:hAnsi="Times New Roman"/>
          <w:b/>
          <w:sz w:val="20"/>
        </w:rPr>
      </w:pPr>
      <w:r w:rsidRPr="00F97495">
        <w:rPr>
          <w:rFonts w:ascii="Times New Roman" w:hAnsi="Times New Roman"/>
          <w:b/>
          <w:sz w:val="20"/>
        </w:rPr>
        <w:t xml:space="preserve">D.07.01.01. </w:t>
      </w:r>
      <w:r w:rsidRPr="00F97495">
        <w:rPr>
          <w:rFonts w:ascii="Times New Roman" w:hAnsi="Times New Roman"/>
          <w:b/>
          <w:sz w:val="20"/>
        </w:rPr>
        <w:tab/>
        <w:t>OZNAKOWANIE POZIOME</w:t>
      </w:r>
    </w:p>
    <w:p w:rsidR="00752889" w:rsidRPr="00F97495" w:rsidRDefault="00752889" w:rsidP="005E378D">
      <w:pPr>
        <w:jc w:val="both"/>
        <w:rPr>
          <w:rFonts w:ascii="Times New Roman" w:hAnsi="Times New Roman"/>
          <w:b/>
          <w:spacing w:val="-3"/>
          <w:sz w:val="20"/>
        </w:rPr>
      </w:pP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1. Wstęp</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Przedmiotem niniejszych </w:t>
      </w:r>
      <w:r w:rsidR="0086572E">
        <w:rPr>
          <w:rFonts w:ascii="Times New Roman" w:hAnsi="Times New Roman"/>
          <w:sz w:val="20"/>
        </w:rPr>
        <w:t>SST</w:t>
      </w:r>
      <w:r w:rsidRPr="00F97495">
        <w:rPr>
          <w:rFonts w:ascii="Times New Roman" w:hAnsi="Times New Roman"/>
          <w:sz w:val="20"/>
        </w:rPr>
        <w:t xml:space="preserve"> są wytyczne dla robót związanych z oznakowaniem poziomym dróg</w:t>
      </w:r>
      <w:r w:rsidR="0086572E" w:rsidRPr="0086572E">
        <w:rPr>
          <w:rFonts w:ascii="Times New Roman" w:hAnsi="Times New Roman"/>
          <w:b/>
          <w:bCs/>
          <w:iCs/>
          <w:sz w:val="20"/>
        </w:rPr>
        <w:t>.</w:t>
      </w:r>
      <w:r w:rsidR="0086572E">
        <w:rPr>
          <w:rFonts w:ascii="Times New Roman" w:hAnsi="Times New Roman"/>
          <w:sz w:val="20"/>
        </w:rPr>
        <w:t xml:space="preserve"> </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1.4. Określenia podstawowe</w:t>
      </w:r>
    </w:p>
    <w:p w:rsidR="00752889" w:rsidRPr="00F97495" w:rsidRDefault="009D2E16" w:rsidP="005E378D">
      <w:pPr>
        <w:jc w:val="both"/>
        <w:rPr>
          <w:rFonts w:ascii="Times New Roman" w:hAnsi="Times New Roman"/>
          <w:b/>
          <w:sz w:val="20"/>
        </w:rPr>
      </w:pPr>
      <w:r w:rsidRPr="00F97495">
        <w:rPr>
          <w:rFonts w:ascii="Times New Roman" w:hAnsi="Times New Roman"/>
          <w:b/>
          <w:sz w:val="20"/>
        </w:rPr>
        <w:t>Oznakowanie poziome</w:t>
      </w:r>
      <w:r w:rsidRPr="00F97495">
        <w:rPr>
          <w:rFonts w:ascii="Times New Roman" w:hAnsi="Times New Roman"/>
          <w:sz w:val="20"/>
        </w:rPr>
        <w:t xml:space="preserv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752889" w:rsidRPr="00F97495" w:rsidRDefault="009D2E16" w:rsidP="005E378D">
      <w:pPr>
        <w:jc w:val="both"/>
        <w:rPr>
          <w:rFonts w:ascii="Times New Roman" w:hAnsi="Times New Roman"/>
          <w:b/>
          <w:sz w:val="20"/>
        </w:rPr>
      </w:pPr>
      <w:r w:rsidRPr="00F97495">
        <w:rPr>
          <w:rFonts w:ascii="Times New Roman" w:hAnsi="Times New Roman"/>
          <w:b/>
          <w:sz w:val="20"/>
        </w:rPr>
        <w:t>Znaki podłużne</w:t>
      </w:r>
      <w:r w:rsidRPr="00F97495">
        <w:rPr>
          <w:rFonts w:ascii="Times New Roman" w:hAnsi="Times New Roman"/>
          <w:sz w:val="20"/>
        </w:rPr>
        <w:t xml:space="preserve"> – linie równoległe do osi jezdni lub odchylone od niej pod niewielkim kątem, występujące jako linie: – pojedyncze: przerywane lub ciągłe, segregacyjne lub krawędziowe, – podwójne: ciągłe z przerywanymi, ciągłe lub przerywane.</w:t>
      </w:r>
    </w:p>
    <w:p w:rsidR="00752889" w:rsidRPr="00F97495" w:rsidRDefault="009D2E16" w:rsidP="005E378D">
      <w:pPr>
        <w:jc w:val="both"/>
        <w:rPr>
          <w:rFonts w:ascii="Times New Roman" w:hAnsi="Times New Roman"/>
          <w:sz w:val="20"/>
        </w:rPr>
      </w:pPr>
      <w:r w:rsidRPr="00F97495">
        <w:rPr>
          <w:rFonts w:ascii="Times New Roman" w:hAnsi="Times New Roman"/>
          <w:b/>
          <w:sz w:val="20"/>
        </w:rPr>
        <w:t>Strzałki</w:t>
      </w:r>
      <w:r w:rsidRPr="00F97495">
        <w:rPr>
          <w:rFonts w:ascii="Times New Roman" w:hAnsi="Times New Roman"/>
          <w:sz w:val="20"/>
        </w:rPr>
        <w:t xml:space="preserve"> – znaki poziome na nawierzchni, występujące jako strzałki kierunkowe służące do wskazania dozwolonego kierunku jazdy oraz strzałki naprowadzające, które uprzedzają o konieczności opuszczenia pasa, na którym się znajdują.</w:t>
      </w:r>
    </w:p>
    <w:p w:rsidR="00752889" w:rsidRPr="00F97495" w:rsidRDefault="009D2E16" w:rsidP="005E378D">
      <w:pPr>
        <w:jc w:val="both"/>
        <w:rPr>
          <w:rFonts w:ascii="Times New Roman" w:hAnsi="Times New Roman"/>
          <w:sz w:val="20"/>
        </w:rPr>
      </w:pPr>
      <w:r w:rsidRPr="00F97495">
        <w:rPr>
          <w:rFonts w:ascii="Times New Roman" w:hAnsi="Times New Roman"/>
          <w:b/>
          <w:sz w:val="20"/>
        </w:rPr>
        <w:t>Znaki poprzeczne</w:t>
      </w:r>
      <w:r w:rsidRPr="00F97495">
        <w:rPr>
          <w:rFonts w:ascii="Times New Roman" w:hAnsi="Times New Roman"/>
          <w:sz w:val="20"/>
        </w:rPr>
        <w:t xml:space="preserve"> – znaki służące do oznaczania miejsc przeznaczone do ruchu pieszych i rowerzystów w poprzek jezdni, miejsc wymagających zatrzymania pojazdów, oraz miejsc lokalizacji progów zwalniających.</w:t>
      </w:r>
    </w:p>
    <w:p w:rsidR="00752889" w:rsidRPr="00F97495" w:rsidRDefault="009D2E16" w:rsidP="005E378D">
      <w:pPr>
        <w:jc w:val="both"/>
        <w:rPr>
          <w:rFonts w:ascii="Times New Roman" w:hAnsi="Times New Roman"/>
          <w:sz w:val="20"/>
        </w:rPr>
      </w:pPr>
      <w:r w:rsidRPr="00F97495">
        <w:rPr>
          <w:rFonts w:ascii="Times New Roman" w:hAnsi="Times New Roman"/>
          <w:b/>
          <w:sz w:val="20"/>
        </w:rPr>
        <w:t>Znaki uzupełniające</w:t>
      </w:r>
      <w:r w:rsidRPr="00F97495">
        <w:rPr>
          <w:rFonts w:ascii="Times New Roman" w:hAnsi="Times New Roman"/>
          <w:sz w:val="20"/>
        </w:rPr>
        <w:t xml:space="preserve"> – znaki o różnych kształtach, wymiarach i przeznaczeniu, występujące w postaci symboli, napisów, linii przystankowych, stanowisk i pasów postojowych, powierzchni wyłączonych z ruchu oraz symboli znaków pionowych w oznakowaniu poziomym.</w:t>
      </w:r>
    </w:p>
    <w:p w:rsidR="00752889" w:rsidRPr="00F97495" w:rsidRDefault="009D2E16" w:rsidP="005E378D">
      <w:pPr>
        <w:jc w:val="both"/>
        <w:rPr>
          <w:rFonts w:ascii="Times New Roman" w:hAnsi="Times New Roman"/>
          <w:sz w:val="20"/>
        </w:rPr>
      </w:pPr>
      <w:r w:rsidRPr="00F97495">
        <w:rPr>
          <w:rFonts w:ascii="Times New Roman" w:hAnsi="Times New Roman"/>
          <w:b/>
          <w:sz w:val="20"/>
        </w:rPr>
        <w:t>Materiały do poziomego znakowania dróg</w:t>
      </w:r>
      <w:r w:rsidRPr="00F97495">
        <w:rPr>
          <w:rFonts w:ascii="Times New Roman" w:hAnsi="Times New Roman"/>
          <w:sz w:val="20"/>
        </w:rPr>
        <w:t xml:space="preserve">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752889" w:rsidRPr="00F97495" w:rsidRDefault="009D2E16" w:rsidP="005E378D">
      <w:pPr>
        <w:jc w:val="both"/>
        <w:rPr>
          <w:rFonts w:ascii="Times New Roman" w:hAnsi="Times New Roman"/>
          <w:sz w:val="20"/>
        </w:rPr>
      </w:pPr>
      <w:r w:rsidRPr="00F97495">
        <w:rPr>
          <w:rFonts w:ascii="Times New Roman" w:hAnsi="Times New Roman"/>
          <w:b/>
          <w:spacing w:val="-3"/>
          <w:sz w:val="20"/>
        </w:rPr>
        <w:t>Materiały do znakowania cienkowarstwowego</w:t>
      </w:r>
      <w:r w:rsidRPr="00F97495">
        <w:rPr>
          <w:rFonts w:ascii="Times New Roman" w:hAnsi="Times New Roman"/>
          <w:spacing w:val="-3"/>
          <w:sz w:val="20"/>
        </w:rPr>
        <w:t xml:space="preserve"> – farby rozpusz</w:t>
      </w:r>
      <w:r w:rsidR="005E378D">
        <w:rPr>
          <w:rFonts w:ascii="Times New Roman" w:hAnsi="Times New Roman"/>
          <w:spacing w:val="-3"/>
          <w:sz w:val="20"/>
        </w:rPr>
        <w:t xml:space="preserve">czalnikowe, wodorozcieńczalne i </w:t>
      </w:r>
      <w:r w:rsidRPr="00F97495">
        <w:rPr>
          <w:rFonts w:ascii="Times New Roman" w:hAnsi="Times New Roman"/>
          <w:spacing w:val="-3"/>
          <w:sz w:val="20"/>
        </w:rPr>
        <w:t>chemoutwardzalne nakładane warstwą grubości od 0,4 mm do 0,8 mm, mierzoną na mokro</w:t>
      </w: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b/>
          <w:sz w:val="20"/>
        </w:rPr>
        <w:t>Materiały do znakowania grubowarstwowego</w:t>
      </w:r>
      <w:r w:rsidRPr="00F97495">
        <w:rPr>
          <w:rFonts w:ascii="Times New Roman" w:hAnsi="Times New Roman"/>
          <w:sz w:val="20"/>
        </w:rPr>
        <w:t xml:space="preserve"> – materiały nakładane warstwą grubości od 0,9mm do 3,5mm. Należą do nich masy termoplastyczne i masy chemoutwardzalne stosowane na zimno. Dla linii strukturalnych i profilowanych grubość linii może wynosić 5 mm.</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Materiały prefabrykowane</w:t>
      </w:r>
      <w:r w:rsidRPr="00F97495">
        <w:rPr>
          <w:rFonts w:ascii="Times New Roman" w:hAnsi="Times New Roman"/>
          <w:spacing w:val="-3"/>
          <w:sz w:val="20"/>
        </w:rPr>
        <w:t xml:space="preserve"> - materiały, które łączy się z powierzchnią drogi przez klejenie, wtapianie, wbudowanie lub w inny sposób. Zalicza się do nich masy termoplastyczne w arkuszach do wtapiania oraz taśmy do </w:t>
      </w:r>
      <w:proofErr w:type="spellStart"/>
      <w:r w:rsidRPr="00F97495">
        <w:rPr>
          <w:rFonts w:ascii="Times New Roman" w:hAnsi="Times New Roman"/>
          <w:spacing w:val="-3"/>
          <w:sz w:val="20"/>
        </w:rPr>
        <w:t>oznakowań</w:t>
      </w:r>
      <w:proofErr w:type="spellEnd"/>
      <w:r w:rsidRPr="00F97495">
        <w:rPr>
          <w:rFonts w:ascii="Times New Roman" w:hAnsi="Times New Roman"/>
          <w:spacing w:val="-3"/>
          <w:sz w:val="20"/>
        </w:rPr>
        <w:t xml:space="preserve"> tymczasowych (żółte) i trwałych (białe).</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Punktowe elementy odblaskowe</w:t>
      </w:r>
      <w:r w:rsidRPr="00F97495">
        <w:rPr>
          <w:rFonts w:ascii="Times New Roman" w:hAnsi="Times New Roman"/>
          <w:spacing w:val="-3"/>
          <w:sz w:val="20"/>
        </w:rPr>
        <w:t xml:space="preserve"> - urządzenia prowadzenia poziomego, o</w:t>
      </w:r>
      <w:bookmarkStart w:id="0" w:name="_GoBack"/>
      <w:bookmarkEnd w:id="0"/>
      <w:r w:rsidRPr="00F97495">
        <w:rPr>
          <w:rFonts w:ascii="Times New Roman" w:hAnsi="Times New Roman"/>
          <w:spacing w:val="-3"/>
          <w:sz w:val="20"/>
        </w:rPr>
        <w:t xml:space="preserve">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Kulki szklane</w:t>
      </w:r>
      <w:r w:rsidRPr="00F97495">
        <w:rPr>
          <w:rFonts w:ascii="Times New Roman" w:hAnsi="Times New Roman"/>
          <w:spacing w:val="-3"/>
          <w:sz w:val="20"/>
        </w:rPr>
        <w:t xml:space="preserv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Kruszywo przeciwpoślizgowe</w:t>
      </w:r>
      <w:r w:rsidRPr="00F97495">
        <w:rPr>
          <w:rFonts w:ascii="Times New Roman" w:hAnsi="Times New Roman"/>
          <w:spacing w:val="-3"/>
          <w:sz w:val="20"/>
        </w:rPr>
        <w:t xml:space="preserve"> – twarde ziarna pochodzenia naturalnego lub sztucznego stosowane do zapewnienia własności przeciwpoślizgowych poziomym </w:t>
      </w:r>
      <w:proofErr w:type="spellStart"/>
      <w:r w:rsidRPr="00F97495">
        <w:rPr>
          <w:rFonts w:ascii="Times New Roman" w:hAnsi="Times New Roman"/>
          <w:spacing w:val="-3"/>
          <w:sz w:val="20"/>
        </w:rPr>
        <w:t>oznakowaniom</w:t>
      </w:r>
      <w:proofErr w:type="spellEnd"/>
      <w:r w:rsidRPr="00F97495">
        <w:rPr>
          <w:rFonts w:ascii="Times New Roman" w:hAnsi="Times New Roman"/>
          <w:spacing w:val="-3"/>
          <w:sz w:val="20"/>
        </w:rPr>
        <w:t xml:space="preserve"> dróg, stosowane samo lub w mieszaninie z kulkami szklanymi.</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Oznakowanie nowe</w:t>
      </w:r>
      <w:r w:rsidRPr="00F97495">
        <w:rPr>
          <w:rFonts w:ascii="Times New Roman" w:hAnsi="Times New Roman"/>
          <w:spacing w:val="-3"/>
          <w:sz w:val="20"/>
        </w:rPr>
        <w:t xml:space="preserve"> – oznakowanie, w którym zakończył się czas schnięcia i nie upłynęło 30 dni od wykonania oznakowania. Pomiary właściwości oznakowania należy wykonywać od 14 do 30 dnia po wykonaniu oznakowania.</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Tymczasowe oznakowanie drogowe</w:t>
      </w:r>
      <w:r w:rsidRPr="00F97495">
        <w:rPr>
          <w:rFonts w:ascii="Times New Roman" w:hAnsi="Times New Roman"/>
          <w:spacing w:val="-3"/>
          <w:sz w:val="20"/>
        </w:rPr>
        <w:t xml:space="preserve"> - oznakowanie z materiału o barwie żółtej, którego czas użytkowania wynosi do 3 miesięcy lub do czasu zakończenia robót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Pozostałe określenia są zgodne z obowiązującymi, odpowiednimi polskimi normami oraz </w:t>
      </w:r>
      <w:r w:rsidR="0086572E">
        <w:rPr>
          <w:rFonts w:ascii="Times New Roman" w:hAnsi="Times New Roman"/>
          <w:sz w:val="20"/>
        </w:rPr>
        <w:t>SST</w:t>
      </w:r>
      <w:r w:rsidRPr="00F97495">
        <w:rPr>
          <w:rFonts w:ascii="Times New Roman" w:hAnsi="Times New Roman"/>
          <w:sz w:val="20"/>
        </w:rPr>
        <w:t xml:space="preserve"> </w:t>
      </w:r>
    </w:p>
    <w:p w:rsidR="00752889" w:rsidRPr="00F97495" w:rsidRDefault="009D2E16" w:rsidP="005E378D">
      <w:pPr>
        <w:jc w:val="both"/>
        <w:rPr>
          <w:rFonts w:ascii="Times New Roman" w:hAnsi="Times New Roman"/>
          <w:b/>
          <w:sz w:val="20"/>
        </w:rPr>
      </w:pPr>
      <w:r w:rsidRPr="00F97495">
        <w:rPr>
          <w:rFonts w:ascii="Times New Roman" w:hAnsi="Times New Roman"/>
          <w:sz w:val="20"/>
        </w:rPr>
        <w:t>D-M.00.00.00. „Wymagania ogólne”.</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2. Materiały</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Ogólne wymagania dotyczące materiałów, ich pozyskiwania i składowania podano w </w:t>
      </w:r>
      <w:r w:rsidR="0086572E">
        <w:rPr>
          <w:rFonts w:ascii="Times New Roman" w:hAnsi="Times New Roman"/>
          <w:spacing w:val="-3"/>
          <w:sz w:val="20"/>
        </w:rPr>
        <w:t>SST</w:t>
      </w:r>
      <w:r w:rsidRPr="00F97495">
        <w:rPr>
          <w:rFonts w:ascii="Times New Roman" w:hAnsi="Times New Roman"/>
          <w:spacing w:val="-3"/>
          <w:sz w:val="20"/>
        </w:rPr>
        <w:t xml:space="preserve"> </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D-M.00.00.00. "Wymagania ogólne".</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Materiały stosowane przez Wykonawcę do poziomego oznakowania dróg powinny spełniać warunki postawione w rozporządzeniu Ministra Infrastruktury – Załącznik nr 2 do Rozporządzenia z dnia 3 lipca 2003 (Dz.U. nr 220, poz. 2181). </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Producenci powinni oznakować wyroby znakiem budowlanym B, zgodnie z rozporządzeniem Ministra Infrastruktury z dnia 11 sierpnia 2004 (Dz.U. nr 198 poz. 2041), co oznacza wystawienie deklaracji zgodności z aprobatą techniczną (np. dla farb oraz mas chemoutwardzalnych i termoplastycznych) lub znakiem CE, zgodnie </w:t>
      </w:r>
      <w:r w:rsidRPr="00F97495">
        <w:rPr>
          <w:rFonts w:ascii="Times New Roman" w:hAnsi="Times New Roman"/>
          <w:sz w:val="20"/>
        </w:rPr>
        <w:lastRenderedPageBreak/>
        <w:t>z rozporządzeniem Ministra Infrastruktury, co oznacza wystawienie deklaracji zgodności z normą zharmonizowaną (np. dla kulek szklanych i punktowych elementów odblaskowych).</w:t>
      </w:r>
    </w:p>
    <w:p w:rsidR="00752889" w:rsidRPr="00F97495" w:rsidRDefault="009D2E16" w:rsidP="005E378D">
      <w:pPr>
        <w:jc w:val="both"/>
        <w:rPr>
          <w:rFonts w:ascii="Times New Roman" w:hAnsi="Times New Roman"/>
          <w:b/>
          <w:sz w:val="20"/>
        </w:rPr>
      </w:pPr>
      <w:r w:rsidRPr="00F97495">
        <w:rPr>
          <w:rFonts w:ascii="Times New Roman" w:hAnsi="Times New Roman"/>
          <w:b/>
          <w:sz w:val="20"/>
        </w:rPr>
        <w:t>2.1. Badanie materiałów, których jakość budzi wątpliwość</w:t>
      </w:r>
    </w:p>
    <w:p w:rsidR="00752889" w:rsidRPr="00F97495" w:rsidRDefault="009D2E16" w:rsidP="005E378D">
      <w:pPr>
        <w:jc w:val="both"/>
        <w:rPr>
          <w:rFonts w:ascii="Times New Roman" w:hAnsi="Times New Roman"/>
          <w:sz w:val="20"/>
        </w:rPr>
      </w:pPr>
      <w:r w:rsidRPr="00F97495">
        <w:rPr>
          <w:rFonts w:ascii="Times New Roman" w:hAnsi="Times New Roman"/>
          <w:sz w:val="20"/>
        </w:rPr>
        <w:t>Wykonawca powinien przeprowadzić dodatkowe badania tych materiałów, które budzą wątpliwości jego lub Inżyniera co, do jakości, w celu stwierdzenia czy odpowiadają one wymaganiom określonym w aprobacie technicznej. Badania te Wykonawca zleci  akredytowanemu laboratorium drogowemu. Badania powinny być wykonane zgodnie z PN-EN 1871 lub Warunkami Technicznymi POD-97.</w:t>
      </w:r>
    </w:p>
    <w:p w:rsidR="00752889" w:rsidRPr="00F97495" w:rsidRDefault="009D2E16" w:rsidP="005E378D">
      <w:pPr>
        <w:jc w:val="both"/>
        <w:rPr>
          <w:rFonts w:ascii="Times New Roman" w:hAnsi="Times New Roman"/>
          <w:b/>
          <w:sz w:val="20"/>
        </w:rPr>
      </w:pPr>
      <w:r w:rsidRPr="00F97495">
        <w:rPr>
          <w:rFonts w:ascii="Times New Roman" w:hAnsi="Times New Roman"/>
          <w:b/>
          <w:sz w:val="20"/>
        </w:rPr>
        <w:t>2.2. Materiały do oznakowania grubowarstwowego</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Jako materiały do znakowania grubowarstwowego należy użyć masy chemoutwardzalne stosowane na zimno lub masy termoplastyczne.</w:t>
      </w:r>
    </w:p>
    <w:p w:rsidR="00752889" w:rsidRPr="00F97495" w:rsidRDefault="009D2E16" w:rsidP="005E378D">
      <w:pPr>
        <w:jc w:val="both"/>
        <w:rPr>
          <w:rFonts w:ascii="Times New Roman" w:hAnsi="Times New Roman"/>
          <w:sz w:val="20"/>
        </w:rPr>
      </w:pPr>
      <w:r w:rsidRPr="00F97495">
        <w:rPr>
          <w:rFonts w:ascii="Times New Roman" w:hAnsi="Times New Roman"/>
          <w:spacing w:val="-3"/>
          <w:sz w:val="20"/>
        </w:rPr>
        <w:t xml:space="preserve"> </w:t>
      </w:r>
      <w:r w:rsidRPr="00F97495">
        <w:rPr>
          <w:rFonts w:ascii="Times New Roman" w:hAnsi="Times New Roman"/>
          <w:sz w:val="20"/>
        </w:rPr>
        <w:t>Masy chemoutwardzalne powinny być substancjami jedno- lub dwuskładnikowymi, mieszanymi ze sobą w proporcjach ustalonych przez producenta i nakładanymi na nawierzchnię odpowiednim aplikatorem. Masy te powinny tworzyć warstwę kohezyjną w wyniku reakcji chemicznej.</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Właściwości materiałów do oznakowania grubowarstwowego i wykonanych elementów określa Aprobata Techniczna.  </w:t>
      </w:r>
    </w:p>
    <w:p w:rsidR="00752889" w:rsidRPr="00F97495" w:rsidRDefault="009D2E16" w:rsidP="005E378D">
      <w:pPr>
        <w:jc w:val="both"/>
        <w:rPr>
          <w:rFonts w:ascii="Times New Roman" w:hAnsi="Times New Roman"/>
          <w:b/>
          <w:sz w:val="20"/>
        </w:rPr>
      </w:pPr>
      <w:r w:rsidRPr="00F97495">
        <w:rPr>
          <w:rFonts w:ascii="Times New Roman" w:hAnsi="Times New Roman"/>
          <w:b/>
          <w:sz w:val="20"/>
        </w:rPr>
        <w:t>2.3. Materiały do oznakowania cienkowarstwowego</w:t>
      </w:r>
    </w:p>
    <w:p w:rsidR="00752889" w:rsidRPr="00F97495" w:rsidRDefault="009D2E16" w:rsidP="005E378D">
      <w:pPr>
        <w:jc w:val="both"/>
        <w:rPr>
          <w:rFonts w:ascii="Times New Roman" w:hAnsi="Times New Roman"/>
          <w:sz w:val="20"/>
        </w:rPr>
      </w:pPr>
      <w:r w:rsidRPr="00F97495">
        <w:rPr>
          <w:rFonts w:ascii="Times New Roman" w:hAnsi="Times New Roman"/>
          <w:sz w:val="20"/>
        </w:rPr>
        <w:t>Materiałami do wykonywania oznakowania cienkowarstwowego powinny być farby nakładane warstwą grubości od 0,4 mm do 0,8 mm (na mokro). Powinny to być ciekłe produkty zawierające ciała stałe zdyspergowane w roztworze żywicy syntetycznej w rozpuszczalniku organicznym lub w wodzie, które mogą występować w układach jedno- lub wieloskładnikowych.</w:t>
      </w:r>
    </w:p>
    <w:p w:rsidR="00752889" w:rsidRPr="00F97495" w:rsidRDefault="009D2E16" w:rsidP="005E378D">
      <w:pPr>
        <w:jc w:val="both"/>
        <w:rPr>
          <w:rFonts w:ascii="Times New Roman" w:hAnsi="Times New Roman"/>
          <w:sz w:val="20"/>
        </w:rPr>
      </w:pPr>
      <w:r w:rsidRPr="00F97495">
        <w:rPr>
          <w:rFonts w:ascii="Times New Roman" w:hAnsi="Times New Roman"/>
          <w:sz w:val="20"/>
        </w:rPr>
        <w:t>Podczas nakładania farb, do znakowania cienkowarstwowego, na nawierzchnię pędzlem, wałkiem lub przez natrysk, powinny one tworzyć warstwę kohezyjną w procesie odparowania i/lub w procesie chemicznym.</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Właściwości fizyczne poszczególnych materiałów do poziomego oznakowania cienkowarstwowego określają aprobaty techniczne. </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2.4. Kulki szklane</w:t>
      </w:r>
    </w:p>
    <w:p w:rsidR="00752889" w:rsidRPr="00F97495" w:rsidRDefault="009D2E16" w:rsidP="005E378D">
      <w:pPr>
        <w:jc w:val="both"/>
        <w:rPr>
          <w:rFonts w:ascii="Times New Roman" w:hAnsi="Times New Roman"/>
          <w:sz w:val="20"/>
        </w:rPr>
      </w:pPr>
      <w:r w:rsidRPr="00F97495">
        <w:rPr>
          <w:rFonts w:ascii="Times New Roman" w:hAnsi="Times New Roman"/>
          <w:sz w:val="20"/>
        </w:rPr>
        <w:t>Materiały w postaci kulek szklanych refleksyjnych do posypywania lub narzucania pod ciśnieniem na materiały do oznakowania powinny zapewniać widzialność w nocy poprzez odbicie powrotne w kierunku pojazdu wiązki światła wysyłanej przez reflektory pojazdu.</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w:t>
      </w:r>
      <w:smartTag w:uri="urn:schemas-microsoft-com:office:smarttags" w:element="metricconverter">
        <w:smartTagPr>
          <w:attr w:name="ProductID" w:val="1 mm"/>
        </w:smartTagPr>
        <w:r w:rsidRPr="00F97495">
          <w:rPr>
            <w:rFonts w:ascii="Times New Roman" w:hAnsi="Times New Roman"/>
            <w:sz w:val="20"/>
          </w:rPr>
          <w:t>1 mm</w:t>
        </w:r>
      </w:smartTag>
      <w:r w:rsidRPr="00F97495">
        <w:rPr>
          <w:rFonts w:ascii="Times New Roman" w:hAnsi="Times New Roman"/>
          <w:sz w:val="20"/>
        </w:rPr>
        <w:t xml:space="preserve"> oraz 30 % w przypadku kulek o maksymalnej średnicy równej i większej niż </w:t>
      </w:r>
      <w:smartTag w:uri="urn:schemas-microsoft-com:office:smarttags" w:element="metricconverter">
        <w:smartTagPr>
          <w:attr w:name="ProductID" w:val="1 mm"/>
        </w:smartTagPr>
        <w:r w:rsidRPr="00F97495">
          <w:rPr>
            <w:rFonts w:ascii="Times New Roman" w:hAnsi="Times New Roman"/>
            <w:sz w:val="20"/>
          </w:rPr>
          <w:t>1 mm</w:t>
        </w:r>
      </w:smartTag>
      <w:r w:rsidRPr="00F97495">
        <w:rPr>
          <w:rFonts w:ascii="Times New Roman" w:hAnsi="Times New Roman"/>
          <w:sz w:val="20"/>
        </w:rPr>
        <w:t>. Krzywa uziarnienia powinna mieścić się w krzywych granicznych podanych w wymaganiach aprobaty technicznej wyrobu lub w certyfikacie CE.</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Kulki szklane </w:t>
      </w:r>
      <w:proofErr w:type="spellStart"/>
      <w:r w:rsidRPr="00F97495">
        <w:rPr>
          <w:rFonts w:ascii="Times New Roman" w:hAnsi="Times New Roman"/>
          <w:sz w:val="20"/>
        </w:rPr>
        <w:t>hydrofobizowane</w:t>
      </w:r>
      <w:proofErr w:type="spellEnd"/>
      <w:r w:rsidRPr="00F97495">
        <w:rPr>
          <w:rFonts w:ascii="Times New Roman" w:hAnsi="Times New Roman"/>
          <w:sz w:val="20"/>
        </w:rPr>
        <w:t xml:space="preserve"> powinny ponadto wykazywać stopień </w:t>
      </w:r>
      <w:proofErr w:type="spellStart"/>
      <w:r w:rsidRPr="00F97495">
        <w:rPr>
          <w:rFonts w:ascii="Times New Roman" w:hAnsi="Times New Roman"/>
          <w:sz w:val="20"/>
        </w:rPr>
        <w:t>hydrofobizacji</w:t>
      </w:r>
      <w:proofErr w:type="spellEnd"/>
      <w:r w:rsidRPr="00F97495">
        <w:rPr>
          <w:rFonts w:ascii="Times New Roman" w:hAnsi="Times New Roman"/>
          <w:sz w:val="20"/>
        </w:rPr>
        <w:t xml:space="preserve"> co najmniej 80%. </w:t>
      </w:r>
    </w:p>
    <w:p w:rsidR="00752889" w:rsidRPr="00F97495" w:rsidRDefault="009D2E16" w:rsidP="005E378D">
      <w:pPr>
        <w:jc w:val="both"/>
        <w:rPr>
          <w:rFonts w:ascii="Times New Roman" w:hAnsi="Times New Roman"/>
          <w:sz w:val="20"/>
        </w:rPr>
      </w:pPr>
      <w:r w:rsidRPr="00F97495">
        <w:rPr>
          <w:rFonts w:ascii="Times New Roman" w:hAnsi="Times New Roman"/>
          <w:sz w:val="20"/>
        </w:rPr>
        <w:t>Wymagania i metody badań kulek szklanych podano w PN-EN 1423.</w:t>
      </w:r>
    </w:p>
    <w:p w:rsidR="00752889" w:rsidRPr="00F97495" w:rsidRDefault="009D2E16" w:rsidP="005E378D">
      <w:pPr>
        <w:jc w:val="both"/>
        <w:rPr>
          <w:rFonts w:ascii="Times New Roman" w:hAnsi="Times New Roman"/>
          <w:sz w:val="20"/>
        </w:rPr>
      </w:pPr>
      <w:r w:rsidRPr="00F97495">
        <w:rPr>
          <w:rFonts w:ascii="Times New Roman" w:hAnsi="Times New Roman"/>
          <w:sz w:val="20"/>
        </w:rPr>
        <w:t>Właściwości kulek szklanych określają odpowiednie aprobaty techniczne, lub certyfikaty „CE”.</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 xml:space="preserve">2.5. Materiał </w:t>
      </w:r>
      <w:proofErr w:type="spellStart"/>
      <w:r w:rsidRPr="00F97495">
        <w:rPr>
          <w:rFonts w:ascii="Times New Roman" w:hAnsi="Times New Roman"/>
          <w:b/>
          <w:bCs/>
          <w:spacing w:val="-3"/>
          <w:sz w:val="20"/>
        </w:rPr>
        <w:t>uszorstniający</w:t>
      </w:r>
      <w:proofErr w:type="spellEnd"/>
      <w:r w:rsidRPr="00F97495">
        <w:rPr>
          <w:rFonts w:ascii="Times New Roman" w:hAnsi="Times New Roman"/>
          <w:b/>
          <w:bCs/>
          <w:spacing w:val="-3"/>
          <w:sz w:val="20"/>
        </w:rPr>
        <w:t xml:space="preserve"> oznakowanie</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Materiał </w:t>
      </w:r>
      <w:proofErr w:type="spellStart"/>
      <w:r w:rsidRPr="00F97495">
        <w:rPr>
          <w:rFonts w:ascii="Times New Roman" w:hAnsi="Times New Roman"/>
          <w:sz w:val="20"/>
        </w:rPr>
        <w:t>uszorstniający</w:t>
      </w:r>
      <w:proofErr w:type="spellEnd"/>
      <w:r w:rsidRPr="00F97495">
        <w:rPr>
          <w:rFonts w:ascii="Times New Roman" w:hAnsi="Times New Roman"/>
          <w:sz w:val="20"/>
        </w:rPr>
        <w:t xml:space="preserve"> oznakowanie powinien składać się z naturalnego lub sztucznego twardego kruszywa (np. krystobalitu), stosowanego w celu zapewnienia oznakowaniu odpowiedniej szorstkości (właściwości antypoślizgowych). Materiał </w:t>
      </w:r>
      <w:proofErr w:type="spellStart"/>
      <w:r w:rsidRPr="00F97495">
        <w:rPr>
          <w:rFonts w:ascii="Times New Roman" w:hAnsi="Times New Roman"/>
          <w:sz w:val="20"/>
        </w:rPr>
        <w:t>uszorstniający</w:t>
      </w:r>
      <w:proofErr w:type="spellEnd"/>
      <w:r w:rsidRPr="00F97495">
        <w:rPr>
          <w:rFonts w:ascii="Times New Roman" w:hAnsi="Times New Roman"/>
          <w:sz w:val="20"/>
        </w:rPr>
        <w:t xml:space="preserve"> nie może zawierać więcej niż 1% cząstek mniejszych niż 90 mm. Potrzeba stosowania materiału </w:t>
      </w:r>
      <w:proofErr w:type="spellStart"/>
      <w:r w:rsidRPr="00F97495">
        <w:rPr>
          <w:rFonts w:ascii="Times New Roman" w:hAnsi="Times New Roman"/>
          <w:sz w:val="20"/>
        </w:rPr>
        <w:t>uszorstniającego</w:t>
      </w:r>
      <w:proofErr w:type="spellEnd"/>
      <w:r w:rsidRPr="00F97495">
        <w:rPr>
          <w:rFonts w:ascii="Times New Roman" w:hAnsi="Times New Roman"/>
          <w:sz w:val="20"/>
        </w:rPr>
        <w:t xml:space="preserve"> powinna być określona w </w:t>
      </w:r>
      <w:proofErr w:type="spellStart"/>
      <w:r w:rsidRPr="00F97495">
        <w:rPr>
          <w:rFonts w:ascii="Times New Roman" w:hAnsi="Times New Roman"/>
          <w:sz w:val="20"/>
        </w:rPr>
        <w:t>STWiORB</w:t>
      </w:r>
      <w:proofErr w:type="spellEnd"/>
      <w:r w:rsidRPr="00F97495">
        <w:rPr>
          <w:rFonts w:ascii="Times New Roman" w:hAnsi="Times New Roman"/>
          <w:sz w:val="20"/>
        </w:rPr>
        <w:t>. Konieczność jego użycia zachodzi w przypadku potrzeby uzyskania wskaźnika szorstkości oznakowania  SRT ≥ 50.</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Materiał </w:t>
      </w:r>
      <w:proofErr w:type="spellStart"/>
      <w:r w:rsidRPr="00F97495">
        <w:rPr>
          <w:rFonts w:ascii="Times New Roman" w:hAnsi="Times New Roman"/>
          <w:sz w:val="20"/>
        </w:rPr>
        <w:t>uszorstniający</w:t>
      </w:r>
      <w:proofErr w:type="spellEnd"/>
      <w:r w:rsidRPr="00F97495">
        <w:rPr>
          <w:rFonts w:ascii="Times New Roman" w:hAnsi="Times New Roman"/>
          <w:sz w:val="20"/>
        </w:rPr>
        <w:t xml:space="preserve"> (kruszywo przeciwpoślizgowe) oraz mieszanina kulek szklanych z materiałem </w:t>
      </w:r>
      <w:proofErr w:type="spellStart"/>
      <w:r w:rsidRPr="00F97495">
        <w:rPr>
          <w:rFonts w:ascii="Times New Roman" w:hAnsi="Times New Roman"/>
          <w:sz w:val="20"/>
        </w:rPr>
        <w:t>uszorstniającym</w:t>
      </w:r>
      <w:proofErr w:type="spellEnd"/>
      <w:r w:rsidRPr="00F97495">
        <w:rPr>
          <w:rFonts w:ascii="Times New Roman" w:hAnsi="Times New Roman"/>
          <w:sz w:val="20"/>
        </w:rPr>
        <w:t xml:space="preserve"> powinny odpowiadać wymaganiom określonym w aprobacie technicznej. </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 xml:space="preserve">2.6. Punktowe elementy odblaskowe </w:t>
      </w:r>
    </w:p>
    <w:p w:rsidR="00752889" w:rsidRPr="00F97495" w:rsidRDefault="009D2E16" w:rsidP="005E378D">
      <w:pPr>
        <w:jc w:val="both"/>
        <w:rPr>
          <w:rFonts w:ascii="Times New Roman" w:hAnsi="Times New Roman"/>
          <w:sz w:val="20"/>
        </w:rPr>
      </w:pPr>
      <w:r w:rsidRPr="00F97495">
        <w:rPr>
          <w:rFonts w:ascii="Times New Roman" w:hAnsi="Times New Roman"/>
          <w:sz w:val="20"/>
        </w:rPr>
        <w:t>Do wykonania robót należy stosować punktowe elementy odblaskowe typu A (</w:t>
      </w:r>
      <w:proofErr w:type="spellStart"/>
      <w:r w:rsidRPr="00F97495">
        <w:rPr>
          <w:rFonts w:ascii="Times New Roman" w:hAnsi="Times New Roman"/>
          <w:sz w:val="20"/>
        </w:rPr>
        <w:t>peo</w:t>
      </w:r>
      <w:proofErr w:type="spellEnd"/>
      <w:r w:rsidRPr="00F97495">
        <w:rPr>
          <w:rFonts w:ascii="Times New Roman" w:hAnsi="Times New Roman"/>
          <w:sz w:val="20"/>
        </w:rPr>
        <w:t xml:space="preserve"> niezginający ; jest to sztywny </w:t>
      </w:r>
      <w:proofErr w:type="spellStart"/>
      <w:r w:rsidRPr="00F97495">
        <w:rPr>
          <w:rFonts w:ascii="Times New Roman" w:hAnsi="Times New Roman"/>
          <w:sz w:val="20"/>
        </w:rPr>
        <w:t>peo</w:t>
      </w:r>
      <w:proofErr w:type="spellEnd"/>
      <w:r w:rsidRPr="00F97495">
        <w:rPr>
          <w:rFonts w:ascii="Times New Roman" w:hAnsi="Times New Roman"/>
          <w:sz w:val="20"/>
        </w:rPr>
        <w:t xml:space="preserve"> nie przeznaczony do uginania się pod ruchem) koloru białego i czerwonego, plastikowe z osłoną przed ścieraniem, przyklejane do nawierzchni. </w:t>
      </w:r>
    </w:p>
    <w:p w:rsidR="00752889" w:rsidRPr="00F97495" w:rsidRDefault="009D2E16" w:rsidP="005E378D">
      <w:pPr>
        <w:jc w:val="both"/>
        <w:rPr>
          <w:rFonts w:ascii="Times New Roman" w:hAnsi="Times New Roman"/>
          <w:bCs/>
          <w:sz w:val="20"/>
        </w:rPr>
      </w:pPr>
      <w:r w:rsidRPr="00F97495">
        <w:rPr>
          <w:rFonts w:ascii="Times New Roman" w:hAnsi="Times New Roman"/>
          <w:bCs/>
          <w:sz w:val="20"/>
        </w:rPr>
        <w:t xml:space="preserve">Wymiary punktowych elementów odblaskowych: </w:t>
      </w:r>
    </w:p>
    <w:p w:rsidR="00752889" w:rsidRPr="00F97495" w:rsidRDefault="009D2E16" w:rsidP="005E378D">
      <w:pPr>
        <w:pStyle w:val="Akapitzlist"/>
        <w:numPr>
          <w:ilvl w:val="0"/>
          <w:numId w:val="23"/>
        </w:numPr>
        <w:ind w:hanging="153"/>
        <w:jc w:val="both"/>
        <w:rPr>
          <w:rFonts w:ascii="Times New Roman" w:hAnsi="Times New Roman"/>
          <w:sz w:val="20"/>
        </w:rPr>
      </w:pPr>
      <w:r w:rsidRPr="00F97495">
        <w:rPr>
          <w:rFonts w:ascii="Times New Roman" w:hAnsi="Times New Roman"/>
          <w:sz w:val="20"/>
        </w:rPr>
        <w:t xml:space="preserve">wysokość części wystającej ponad powierzchnię nawierzchni drogi od </w:t>
      </w:r>
      <w:smartTag w:uri="urn:schemas-microsoft-com:office:smarttags" w:element="metricconverter">
        <w:smartTagPr>
          <w:attr w:name="ProductID" w:val="15 mm"/>
        </w:smartTagPr>
        <w:r w:rsidRPr="00F97495">
          <w:rPr>
            <w:rFonts w:ascii="Times New Roman" w:hAnsi="Times New Roman"/>
            <w:sz w:val="20"/>
          </w:rPr>
          <w:t>15 mm</w:t>
        </w:r>
      </w:smartTag>
      <w:r w:rsidRPr="00F97495">
        <w:rPr>
          <w:rFonts w:ascii="Times New Roman" w:hAnsi="Times New Roman"/>
          <w:sz w:val="20"/>
        </w:rPr>
        <w:t xml:space="preserve"> do </w:t>
      </w:r>
      <w:smartTag w:uri="urn:schemas-microsoft-com:office:smarttags" w:element="metricconverter">
        <w:smartTagPr>
          <w:attr w:name="ProductID" w:val="20 mm"/>
        </w:smartTagPr>
        <w:r w:rsidRPr="00F97495">
          <w:rPr>
            <w:rFonts w:ascii="Times New Roman" w:hAnsi="Times New Roman"/>
            <w:sz w:val="20"/>
          </w:rPr>
          <w:t>20 mm</w:t>
        </w:r>
      </w:smartTag>
      <w:r w:rsidRPr="00F97495">
        <w:rPr>
          <w:rFonts w:ascii="Times New Roman" w:hAnsi="Times New Roman"/>
          <w:sz w:val="20"/>
        </w:rPr>
        <w:t>.</w:t>
      </w:r>
    </w:p>
    <w:p w:rsidR="00752889" w:rsidRPr="00F97495" w:rsidRDefault="009D2E16" w:rsidP="005E378D">
      <w:pPr>
        <w:pStyle w:val="Akapitzlist"/>
        <w:numPr>
          <w:ilvl w:val="0"/>
          <w:numId w:val="23"/>
        </w:numPr>
        <w:ind w:hanging="153"/>
        <w:jc w:val="both"/>
        <w:rPr>
          <w:rFonts w:ascii="Times New Roman" w:hAnsi="Times New Roman"/>
          <w:sz w:val="20"/>
        </w:rPr>
      </w:pPr>
      <w:r w:rsidRPr="00F97495">
        <w:rPr>
          <w:rFonts w:ascii="Times New Roman" w:hAnsi="Times New Roman"/>
          <w:sz w:val="20"/>
        </w:rPr>
        <w:t xml:space="preserve">maksymalne poziome wymiary punktowych elementów odblaskowych po ich instalacji na powierzchni nawierzchni drogowej: w kierunku ruchu długość </w:t>
      </w:r>
      <w:smartTag w:uri="urn:schemas-microsoft-com:office:smarttags" w:element="metricconverter">
        <w:smartTagPr>
          <w:attr w:name="ProductID" w:val="250 mm"/>
        </w:smartTagPr>
        <w:r w:rsidRPr="00F97495">
          <w:rPr>
            <w:rFonts w:ascii="Times New Roman" w:hAnsi="Times New Roman"/>
            <w:sz w:val="20"/>
          </w:rPr>
          <w:t>250 mm</w:t>
        </w:r>
      </w:smartTag>
      <w:r w:rsidRPr="00F97495">
        <w:rPr>
          <w:rFonts w:ascii="Times New Roman" w:hAnsi="Times New Roman"/>
          <w:sz w:val="20"/>
        </w:rPr>
        <w:t xml:space="preserve">, szerokość </w:t>
      </w:r>
      <w:smartTag w:uri="urn:schemas-microsoft-com:office:smarttags" w:element="metricconverter">
        <w:smartTagPr>
          <w:attr w:name="ProductID" w:val="190 mm"/>
        </w:smartTagPr>
        <w:r w:rsidRPr="00F97495">
          <w:rPr>
            <w:rFonts w:ascii="Times New Roman" w:hAnsi="Times New Roman"/>
            <w:sz w:val="20"/>
          </w:rPr>
          <w:t>190 mm</w:t>
        </w:r>
      </w:smartTag>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Punktowe elementy odblaskowe powinny zapewniać widzialność w nocy, a także w czasie opadów deszczu wg PN-EN 1463-1.</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Materiał, z którego wykonano punktowy element odblaskowy, powinien wykazywać odporność na ściskanie w temp od –25 do +60 </w:t>
      </w:r>
      <w:r w:rsidRPr="00F97495">
        <w:rPr>
          <w:rFonts w:ascii="Times New Roman" w:hAnsi="Times New Roman"/>
          <w:sz w:val="20"/>
        </w:rPr>
        <w:sym w:font="Symbol" w:char="F0B0"/>
      </w:r>
      <w:r w:rsidRPr="00F97495">
        <w:rPr>
          <w:rFonts w:ascii="Times New Roman" w:hAnsi="Times New Roman"/>
          <w:sz w:val="20"/>
        </w:rPr>
        <w:t xml:space="preserve">C, co najmniej siłą 60 </w:t>
      </w:r>
      <w:proofErr w:type="spellStart"/>
      <w:r w:rsidRPr="00F97495">
        <w:rPr>
          <w:rFonts w:ascii="Times New Roman" w:hAnsi="Times New Roman"/>
          <w:sz w:val="20"/>
        </w:rPr>
        <w:t>kN</w:t>
      </w:r>
      <w:proofErr w:type="spellEnd"/>
      <w:r w:rsidRPr="00F97495">
        <w:rPr>
          <w:rFonts w:ascii="Times New Roman" w:hAnsi="Times New Roman"/>
          <w:sz w:val="20"/>
        </w:rPr>
        <w:t>.</w:t>
      </w:r>
    </w:p>
    <w:p w:rsid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2.7. Przechowywanie i składowanie materiałów</w:t>
      </w:r>
    </w:p>
    <w:p w:rsidR="00752889" w:rsidRPr="00F97495" w:rsidRDefault="009D2E16" w:rsidP="005E378D">
      <w:pPr>
        <w:jc w:val="both"/>
        <w:rPr>
          <w:rFonts w:ascii="Times New Roman" w:hAnsi="Times New Roman"/>
          <w:b/>
          <w:bCs/>
          <w:spacing w:val="-3"/>
          <w:sz w:val="20"/>
        </w:rPr>
      </w:pPr>
      <w:r w:rsidRPr="00F97495">
        <w:rPr>
          <w:rFonts w:ascii="Times New Roman" w:hAnsi="Times New Roman"/>
          <w:spacing w:val="-3"/>
          <w:sz w:val="20"/>
        </w:rPr>
        <w:lastRenderedPageBreak/>
        <w:t>Materiały do oznakowania cienko- i grubowarstwowego nawierzchni powinny zachować stałość swoich właściwości chemicznych i fizykochemicznych przez okres co najmniej 6 miesięcy składowania w warunkach określonych przez producenta.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Materiały do poziomego oznakowania dróg należy przechowywać w magazynach odpowiadających zaleceniom producenta, zwłaszcza zabezpieczających je od napromieniowania słonecznego, opadów i w temperaturze, dla: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a)     farb wodorozcieńczalnych od 5</w:t>
      </w:r>
      <w:r w:rsidRPr="00F97495">
        <w:rPr>
          <w:rFonts w:ascii="Times New Roman" w:hAnsi="Times New Roman"/>
          <w:spacing w:val="-3"/>
          <w:sz w:val="20"/>
          <w:vertAlign w:val="superscript"/>
        </w:rPr>
        <w:t>o</w:t>
      </w:r>
      <w:r w:rsidRPr="00F97495">
        <w:rPr>
          <w:rFonts w:ascii="Times New Roman" w:hAnsi="Times New Roman"/>
          <w:spacing w:val="-3"/>
          <w:sz w:val="20"/>
        </w:rPr>
        <w:t>C do 40</w:t>
      </w:r>
      <w:r w:rsidRPr="00F97495">
        <w:rPr>
          <w:rFonts w:ascii="Times New Roman" w:hAnsi="Times New Roman"/>
          <w:spacing w:val="-3"/>
          <w:sz w:val="20"/>
          <w:vertAlign w:val="superscript"/>
        </w:rPr>
        <w:t>o</w:t>
      </w:r>
      <w:r w:rsidRPr="00F97495">
        <w:rPr>
          <w:rFonts w:ascii="Times New Roman" w:hAnsi="Times New Roman"/>
          <w:spacing w:val="-3"/>
          <w:sz w:val="20"/>
        </w:rPr>
        <w:t>C,</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b)    farb rozpuszczalnikowych od -5</w:t>
      </w:r>
      <w:r w:rsidRPr="00F97495">
        <w:rPr>
          <w:rFonts w:ascii="Times New Roman" w:hAnsi="Times New Roman"/>
          <w:spacing w:val="-3"/>
          <w:sz w:val="20"/>
          <w:vertAlign w:val="superscript"/>
        </w:rPr>
        <w:t>o</w:t>
      </w:r>
      <w:r w:rsidRPr="00F97495">
        <w:rPr>
          <w:rFonts w:ascii="Times New Roman" w:hAnsi="Times New Roman"/>
          <w:spacing w:val="-3"/>
          <w:sz w:val="20"/>
        </w:rPr>
        <w:t>C do 25</w:t>
      </w:r>
      <w:r w:rsidRPr="00F97495">
        <w:rPr>
          <w:rFonts w:ascii="Times New Roman" w:hAnsi="Times New Roman"/>
          <w:spacing w:val="-3"/>
          <w:sz w:val="20"/>
          <w:vertAlign w:val="superscript"/>
        </w:rPr>
        <w:t>o</w:t>
      </w:r>
      <w:r w:rsidRPr="00F97495">
        <w:rPr>
          <w:rFonts w:ascii="Times New Roman" w:hAnsi="Times New Roman"/>
          <w:spacing w:val="-3"/>
          <w:sz w:val="20"/>
        </w:rPr>
        <w:t>C,</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c)     pozostałych materiałów - poniżej 40</w:t>
      </w:r>
      <w:r w:rsidRPr="00F97495">
        <w:rPr>
          <w:rFonts w:ascii="Times New Roman" w:hAnsi="Times New Roman"/>
          <w:spacing w:val="-3"/>
          <w:sz w:val="20"/>
          <w:vertAlign w:val="superscript"/>
        </w:rPr>
        <w:t>o</w:t>
      </w:r>
      <w:r w:rsidRPr="00F97495">
        <w:rPr>
          <w:rFonts w:ascii="Times New Roman" w:hAnsi="Times New Roman"/>
          <w:spacing w:val="-3"/>
          <w:sz w:val="20"/>
        </w:rPr>
        <w:t>C.</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3. Sprzęt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Ogólne wymagania dotyczące sprzętu podano w </w:t>
      </w:r>
      <w:r w:rsidR="00294739">
        <w:rPr>
          <w:rFonts w:ascii="Times New Roman" w:hAnsi="Times New Roman"/>
          <w:sz w:val="20"/>
        </w:rPr>
        <w:t>SST</w:t>
      </w:r>
      <w:r w:rsidRPr="00F97495">
        <w:rPr>
          <w:rFonts w:ascii="Times New Roman" w:hAnsi="Times New Roman"/>
          <w:sz w:val="20"/>
        </w:rPr>
        <w:t xml:space="preserve"> D-M.00.00.00. "Wymagania ogólne".</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Do wykonania oznakowania poziomego należy stosować następujący sprzęt:</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układarki mas chemoutwardzalnych lub termoplastycznych,</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kotły do rozgrzewania masy,</w:t>
      </w:r>
    </w:p>
    <w:p w:rsidR="00752889" w:rsidRPr="00F97495" w:rsidRDefault="009D2E16" w:rsidP="005E378D">
      <w:pPr>
        <w:jc w:val="both"/>
        <w:rPr>
          <w:rFonts w:ascii="Times New Roman" w:hAnsi="Times New Roman"/>
          <w:spacing w:val="-3"/>
          <w:sz w:val="20"/>
        </w:rPr>
      </w:pPr>
      <w:proofErr w:type="spellStart"/>
      <w:r w:rsidRPr="00F97495">
        <w:rPr>
          <w:rFonts w:ascii="Times New Roman" w:hAnsi="Times New Roman"/>
          <w:spacing w:val="-3"/>
          <w:sz w:val="20"/>
        </w:rPr>
        <w:t>malowarki</w:t>
      </w:r>
      <w:proofErr w:type="spellEnd"/>
      <w:r w:rsidRPr="00F97495">
        <w:rPr>
          <w:rFonts w:ascii="Times New Roman" w:hAnsi="Times New Roman"/>
          <w:spacing w:val="-3"/>
          <w:sz w:val="20"/>
        </w:rPr>
        <w:t xml:space="preserve"> zintegrowane z systemem zmechanizowanego posypywania </w:t>
      </w:r>
      <w:proofErr w:type="spellStart"/>
      <w:r w:rsidRPr="00F97495">
        <w:rPr>
          <w:rFonts w:ascii="Times New Roman" w:hAnsi="Times New Roman"/>
          <w:spacing w:val="-3"/>
          <w:sz w:val="20"/>
        </w:rPr>
        <w:t>mikrokulkami</w:t>
      </w:r>
      <w:proofErr w:type="spellEnd"/>
      <w:r w:rsidRPr="00F97495">
        <w:rPr>
          <w:rFonts w:ascii="Times New Roman" w:hAnsi="Times New Roman"/>
          <w:spacing w:val="-3"/>
          <w:sz w:val="20"/>
        </w:rPr>
        <w:t xml:space="preserve"> szklanym.</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Znakowanie podłużne musi być wykonywane wyłącznie sprzętem mechanicznym.</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Znakowanie poprzeczne może być wykonywane przy użyciu szablonów.</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Zestaw sprzętu powinien posiadać możliwość regulacji wydajności nanoszonych materiałów oraz gwarantować równomierność ich podawania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Do oczyszczenia znakowanej powierzchni można użyć szczotek mechanicznych oraz sprężarek.</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4. Transport</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Ogólne wymagania dotyczące transportu podano w </w:t>
      </w:r>
      <w:r w:rsidR="00294739">
        <w:rPr>
          <w:rFonts w:ascii="Times New Roman" w:hAnsi="Times New Roman"/>
          <w:spacing w:val="-3"/>
          <w:sz w:val="20"/>
        </w:rPr>
        <w:t>SST</w:t>
      </w:r>
      <w:r w:rsidRPr="00F97495">
        <w:rPr>
          <w:rFonts w:ascii="Times New Roman" w:hAnsi="Times New Roman"/>
          <w:spacing w:val="-3"/>
          <w:sz w:val="20"/>
        </w:rPr>
        <w:t xml:space="preserve"> D-M.00.00.00. "Wymagania ogólne".</w:t>
      </w:r>
    </w:p>
    <w:p w:rsidR="00752889" w:rsidRPr="00F97495" w:rsidRDefault="009D2E16" w:rsidP="005E378D">
      <w:pPr>
        <w:jc w:val="both"/>
        <w:rPr>
          <w:rFonts w:ascii="Times New Roman" w:hAnsi="Times New Roman"/>
          <w:sz w:val="20"/>
        </w:rPr>
      </w:pPr>
      <w:r w:rsidRPr="00F97495">
        <w:rPr>
          <w:rFonts w:ascii="Times New Roman" w:hAnsi="Times New Roman"/>
          <w:sz w:val="20"/>
        </w:rPr>
        <w:t>Wykonawca jest zobowiązany do stosowania jedynie takich środków transportu, które nie wpłyną niekorzystnie na jakość wykonywanych robót.</w:t>
      </w:r>
    </w:p>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znakowania dróg należy przewozić w pojemnikach zapewniających szczelność, bezpieczny transport i zachowanie wymaganych właściwości materiałów. Pojemniki powinny być oznakowane zgodnie z normą PN-0-79252.</w:t>
      </w:r>
    </w:p>
    <w:p w:rsidR="00752889" w:rsidRPr="00F97495" w:rsidRDefault="009D2E16" w:rsidP="005E378D">
      <w:pPr>
        <w:jc w:val="both"/>
        <w:rPr>
          <w:rFonts w:ascii="Times New Roman" w:hAnsi="Times New Roman"/>
          <w:sz w:val="20"/>
        </w:rPr>
      </w:pPr>
      <w:r w:rsidRPr="00F97495">
        <w:rPr>
          <w:rFonts w:ascii="Times New Roman" w:hAnsi="Times New Roman"/>
          <w:sz w:val="20"/>
        </w:rPr>
        <w:t>Materiały do znakowania poziomego należy przewozić krytymi środkami transportowymi, chroniąc opakowania przed uszkodzeniem mechanicznym, zgodnie z PN-C-81400 oraz zgodnie z prawem przewozowym.</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5. Wykonanie Robót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Ogólne zasady wykonywania Robót podano w </w:t>
      </w:r>
      <w:r w:rsidR="00294739">
        <w:rPr>
          <w:rFonts w:ascii="Times New Roman" w:hAnsi="Times New Roman"/>
          <w:sz w:val="20"/>
        </w:rPr>
        <w:t>SST</w:t>
      </w:r>
      <w:r w:rsidRPr="00F97495">
        <w:rPr>
          <w:rFonts w:ascii="Times New Roman" w:hAnsi="Times New Roman"/>
          <w:sz w:val="20"/>
        </w:rPr>
        <w:t xml:space="preserve"> D-M.00.00.00. "Wymagania ogólne".</w:t>
      </w:r>
    </w:p>
    <w:p w:rsidR="00752889" w:rsidRPr="00F97495" w:rsidRDefault="009D2E16" w:rsidP="005E378D">
      <w:pPr>
        <w:jc w:val="both"/>
        <w:rPr>
          <w:rFonts w:ascii="Times New Roman" w:hAnsi="Times New Roman"/>
          <w:b/>
          <w:spacing w:val="-3"/>
          <w:sz w:val="20"/>
        </w:rPr>
      </w:pPr>
      <w:r w:rsidRPr="00F97495">
        <w:rPr>
          <w:rFonts w:ascii="Times New Roman" w:hAnsi="Times New Roman"/>
          <w:b/>
          <w:bCs/>
          <w:spacing w:val="-3"/>
          <w:sz w:val="20"/>
        </w:rPr>
        <w:t>5.1. Wymagania dotyczące bezpieczeństwa i higieny pracy</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Przed przystąpieniem wykonania oznakowanie poziomego z użyciem mas chemoutwardzalnych lub termoplastycznych należy zapoznać się z instrukcją producenta, a w szczególności ostrzeżeniami dotyczącymi zagrożeń dla zdrowia, sposobami stosowania materiałów chemicznych. </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5.2. Warunki atmosferyczne</w:t>
      </w:r>
    </w:p>
    <w:p w:rsidR="00752889" w:rsidRPr="00F97495" w:rsidRDefault="009D2E16" w:rsidP="005E378D">
      <w:pPr>
        <w:jc w:val="both"/>
        <w:rPr>
          <w:rFonts w:ascii="Times New Roman" w:hAnsi="Times New Roman"/>
          <w:sz w:val="20"/>
        </w:rPr>
      </w:pPr>
      <w:r w:rsidRPr="00F97495">
        <w:rPr>
          <w:rFonts w:ascii="Times New Roman" w:hAnsi="Times New Roman"/>
          <w:sz w:val="20"/>
        </w:rPr>
        <w:t>W czasie wykonywania oznakowania temperatura nawierzchni i powietrza powinna wynosić co najmniej 10</w:t>
      </w:r>
      <w:r w:rsidRPr="00F97495">
        <w:rPr>
          <w:rFonts w:ascii="Times New Roman" w:hAnsi="Times New Roman"/>
          <w:sz w:val="20"/>
          <w:vertAlign w:val="superscript"/>
        </w:rPr>
        <w:t>o</w:t>
      </w:r>
      <w:r w:rsidRPr="00F97495">
        <w:rPr>
          <w:rFonts w:ascii="Times New Roman" w:hAnsi="Times New Roman"/>
          <w:sz w:val="20"/>
        </w:rPr>
        <w:t>C, a wilgotność względna powietrza powinna być zgodna z zaleceniami producenta lub wynosić co najwyżej 85%.</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5.3. Przygotowanie podłoża do wykonania znakowania</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Przed wykonaniem znakowania poziomego należy oczyścić powierzchnię nawierzchni z pyłu, kurzu, smarów, olejów i innych zanieczyszczeń, przy użyciu sprzętu wymienionego w </w:t>
      </w:r>
      <w:r w:rsidR="00294739">
        <w:rPr>
          <w:rFonts w:ascii="Times New Roman" w:hAnsi="Times New Roman"/>
          <w:sz w:val="20"/>
        </w:rPr>
        <w:t>SST</w:t>
      </w:r>
      <w:r w:rsidRPr="00F97495">
        <w:rPr>
          <w:rFonts w:ascii="Times New Roman" w:hAnsi="Times New Roman"/>
          <w:sz w:val="20"/>
        </w:rPr>
        <w:t xml:space="preserve"> i zaakceptowanego przez Inżyniera. </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Powierzchnia nawierzchni przygotowana do wykonania oznakowania poziomego musi być czysta i sucha. </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5.4. Jednorodność nawierzchni znakowanej</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Poprawność wykonania znakowania wymaga jednorodności nawierzchni znakowanej. Nierównomierności i albo miejsca łatania nawierzchni, które nie wyróżniają się od starej nawierzchni i nie mają większego rozmiaru niż 15% powierzchni znakowanej, uznaje się za powierzchnie jednorodne. </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 xml:space="preserve">5.5. </w:t>
      </w:r>
      <w:proofErr w:type="spellStart"/>
      <w:r w:rsidRPr="00F97495">
        <w:rPr>
          <w:rFonts w:ascii="Times New Roman" w:hAnsi="Times New Roman"/>
          <w:b/>
          <w:bCs/>
          <w:spacing w:val="-3"/>
          <w:sz w:val="20"/>
        </w:rPr>
        <w:t>Przedznakowanie</w:t>
      </w:r>
      <w:proofErr w:type="spellEnd"/>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Do wykonania </w:t>
      </w:r>
      <w:proofErr w:type="spellStart"/>
      <w:r w:rsidRPr="00F97495">
        <w:rPr>
          <w:rFonts w:ascii="Times New Roman" w:hAnsi="Times New Roman"/>
          <w:sz w:val="20"/>
        </w:rPr>
        <w:t>przedznakowania</w:t>
      </w:r>
      <w:proofErr w:type="spellEnd"/>
      <w:r w:rsidRPr="00F97495">
        <w:rPr>
          <w:rFonts w:ascii="Times New Roman" w:hAnsi="Times New Roman"/>
          <w:sz w:val="20"/>
        </w:rPr>
        <w:t xml:space="preserve"> można stosować nietrwałą farbę, np. farbę silnie rozcieńczoną rozpuszczalnikiem. Zaleca się wykonywanie </w:t>
      </w:r>
      <w:proofErr w:type="spellStart"/>
      <w:r w:rsidRPr="00F97495">
        <w:rPr>
          <w:rFonts w:ascii="Times New Roman" w:hAnsi="Times New Roman"/>
          <w:sz w:val="20"/>
        </w:rPr>
        <w:t>przedznakowania</w:t>
      </w:r>
      <w:proofErr w:type="spellEnd"/>
      <w:r w:rsidRPr="00F97495">
        <w:rPr>
          <w:rFonts w:ascii="Times New Roman" w:hAnsi="Times New Roman"/>
          <w:sz w:val="20"/>
        </w:rPr>
        <w:t xml:space="preserve"> w postaci cienkich linii lub kropek. Początek i koniec znakowania należy zaznaczyć małą kreską poprzeczną.</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5.6. Odcinek próbny</w:t>
      </w:r>
    </w:p>
    <w:p w:rsidR="00752889" w:rsidRPr="00F97495" w:rsidRDefault="009D2E16" w:rsidP="005E378D">
      <w:pPr>
        <w:jc w:val="both"/>
        <w:rPr>
          <w:rFonts w:ascii="Times New Roman" w:hAnsi="Times New Roman"/>
          <w:color w:val="FF0000"/>
          <w:spacing w:val="-3"/>
          <w:sz w:val="20"/>
        </w:rPr>
      </w:pPr>
      <w:r w:rsidRPr="00F97495">
        <w:rPr>
          <w:rFonts w:ascii="Times New Roman" w:hAnsi="Times New Roman"/>
          <w:spacing w:val="-3"/>
          <w:sz w:val="20"/>
        </w:rPr>
        <w:t>Przed przystąpieniem do robót Wykonawca powinien wykonać odcinek próbny w miejscu określonym przez Inżyniera</w:t>
      </w:r>
      <w:r w:rsidRPr="00F97495">
        <w:rPr>
          <w:rFonts w:ascii="Times New Roman" w:hAnsi="Times New Roman"/>
          <w:color w:val="FF0000"/>
          <w:spacing w:val="-3"/>
          <w:sz w:val="20"/>
        </w:rPr>
        <w:t xml:space="preserve">. </w:t>
      </w:r>
      <w:r w:rsidRPr="00F97495">
        <w:rPr>
          <w:rFonts w:ascii="Times New Roman" w:hAnsi="Times New Roman"/>
          <w:spacing w:val="-3"/>
          <w:sz w:val="20"/>
        </w:rPr>
        <w:t xml:space="preserve">Długość odcinka próbnego nie powinna być mniejsza niż 300 </w:t>
      </w:r>
      <w:proofErr w:type="spellStart"/>
      <w:r w:rsidRPr="00F97495">
        <w:rPr>
          <w:rFonts w:ascii="Times New Roman" w:hAnsi="Times New Roman"/>
          <w:spacing w:val="-3"/>
          <w:sz w:val="20"/>
        </w:rPr>
        <w:t>mb</w:t>
      </w:r>
      <w:proofErr w:type="spellEnd"/>
      <w:r w:rsidRPr="00F97495">
        <w:rPr>
          <w:rFonts w:ascii="Times New Roman" w:hAnsi="Times New Roman"/>
          <w:spacing w:val="-3"/>
          <w:sz w:val="20"/>
        </w:rPr>
        <w:t xml:space="preserve"> zawierającego linie segregacyjne oraz linie krawędziowe.</w:t>
      </w:r>
      <w:r w:rsidRPr="00F97495">
        <w:rPr>
          <w:rFonts w:ascii="Times New Roman" w:hAnsi="Times New Roman"/>
          <w:color w:val="FF0000"/>
          <w:spacing w:val="-3"/>
          <w:sz w:val="20"/>
        </w:rPr>
        <w:t xml:space="preserve"> </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Na odcinku próbnym należy:</w:t>
      </w:r>
    </w:p>
    <w:p w:rsidR="00752889" w:rsidRPr="00F97495" w:rsidRDefault="009D2E16" w:rsidP="005E378D">
      <w:pPr>
        <w:jc w:val="both"/>
        <w:rPr>
          <w:rFonts w:ascii="Times New Roman" w:hAnsi="Times New Roman"/>
          <w:spacing w:val="-3"/>
          <w:sz w:val="20"/>
        </w:rPr>
      </w:pPr>
      <w:r w:rsidRPr="00F97495">
        <w:rPr>
          <w:rFonts w:ascii="Times New Roman" w:hAnsi="Times New Roman"/>
          <w:b/>
          <w:bCs/>
          <w:spacing w:val="-3"/>
          <w:sz w:val="20"/>
          <w:u w:val="single"/>
        </w:rPr>
        <w:t>sprawdzić ilość wbudowanej masy wraz z kulkami</w:t>
      </w:r>
      <w:r w:rsidRPr="00F97495">
        <w:rPr>
          <w:rFonts w:ascii="Times New Roman" w:hAnsi="Times New Roman"/>
          <w:spacing w:val="-3"/>
          <w:sz w:val="20"/>
        </w:rPr>
        <w:t xml:space="preserve">  na 1m² powierzchni oznakowania na próbce z blachy  o wymiarach 240x100x0,5mm, trwale ocechowanej, posiadającą  określoną  tarę. Cała powierzchnia płytki musi być pokryta aplikowanym materiałem. Ilość wbudowanego materiału musi być zgodna z Aprobatą Techniczną. Ilość wbudowanej masy wraz z kulkami powinna zapewnić wymaganą grubość dla oznakowania grubowarstwowego.</w:t>
      </w:r>
    </w:p>
    <w:p w:rsidR="00752889" w:rsidRPr="00F97495" w:rsidRDefault="009D2E16" w:rsidP="005E378D">
      <w:pPr>
        <w:jc w:val="both"/>
        <w:rPr>
          <w:rFonts w:ascii="Times New Roman" w:hAnsi="Times New Roman"/>
          <w:sz w:val="20"/>
        </w:rPr>
      </w:pPr>
      <w:r w:rsidRPr="00F97495">
        <w:rPr>
          <w:rFonts w:ascii="Times New Roman" w:hAnsi="Times New Roman"/>
          <w:b/>
          <w:bCs/>
          <w:sz w:val="20"/>
          <w:u w:val="single"/>
        </w:rPr>
        <w:t>sprawdzić widzialność w dzień</w:t>
      </w:r>
      <w:r w:rsidRPr="00F97495">
        <w:rPr>
          <w:rFonts w:ascii="Times New Roman" w:hAnsi="Times New Roman"/>
          <w:sz w:val="20"/>
        </w:rPr>
        <w:t xml:space="preserve"> tj. wykonać pomiary barwy i współczynnika luminancji β lub </w:t>
      </w:r>
      <w:proofErr w:type="spellStart"/>
      <w:r w:rsidRPr="00F97495">
        <w:rPr>
          <w:rFonts w:ascii="Times New Roman" w:hAnsi="Times New Roman"/>
          <w:sz w:val="20"/>
        </w:rPr>
        <w:t>Qd</w:t>
      </w:r>
      <w:proofErr w:type="spellEnd"/>
      <w:r w:rsidRPr="00F97495">
        <w:rPr>
          <w:rFonts w:ascii="Times New Roman" w:hAnsi="Times New Roman"/>
          <w:sz w:val="20"/>
        </w:rPr>
        <w:t xml:space="preserve"> z częstotliwością 1 pomiar na linii segregacyjnej i 2 pomiary na liniach krawędziowych. Jeden (1) pomiar oznacza wykonanie 5 uwidocznionych odczytów (współrzędnych chromatyczności </w:t>
      </w:r>
      <w:proofErr w:type="spellStart"/>
      <w:r w:rsidRPr="00F97495">
        <w:rPr>
          <w:rFonts w:ascii="Times New Roman" w:hAnsi="Times New Roman"/>
          <w:sz w:val="20"/>
        </w:rPr>
        <w:t>x,y</w:t>
      </w:r>
      <w:proofErr w:type="spellEnd"/>
      <w:r w:rsidRPr="00F97495">
        <w:rPr>
          <w:rFonts w:ascii="Times New Roman" w:hAnsi="Times New Roman"/>
          <w:sz w:val="20"/>
        </w:rPr>
        <w:t xml:space="preserve"> i współczynnika luminancji ß ) na tej samej linii i z niewielkim przesunięciem lokalizacji. </w:t>
      </w:r>
    </w:p>
    <w:p w:rsidR="00752889" w:rsidRPr="00F97495" w:rsidRDefault="009D2E16" w:rsidP="005E378D">
      <w:pPr>
        <w:jc w:val="both"/>
        <w:rPr>
          <w:rFonts w:ascii="Times New Roman" w:hAnsi="Times New Roman"/>
          <w:sz w:val="20"/>
        </w:rPr>
      </w:pPr>
      <w:r w:rsidRPr="00F97495">
        <w:rPr>
          <w:rFonts w:ascii="Times New Roman" w:hAnsi="Times New Roman"/>
          <w:sz w:val="20"/>
        </w:rPr>
        <w:lastRenderedPageBreak/>
        <w:t xml:space="preserve">Wyniki współrzędnych chromatyczności </w:t>
      </w:r>
      <w:proofErr w:type="spellStart"/>
      <w:r w:rsidRPr="00F97495">
        <w:rPr>
          <w:rFonts w:ascii="Times New Roman" w:hAnsi="Times New Roman"/>
          <w:sz w:val="20"/>
        </w:rPr>
        <w:t>x,y</w:t>
      </w:r>
      <w:proofErr w:type="spellEnd"/>
      <w:r w:rsidRPr="00F97495">
        <w:rPr>
          <w:rFonts w:ascii="Times New Roman" w:hAnsi="Times New Roman"/>
          <w:sz w:val="20"/>
        </w:rPr>
        <w:t xml:space="preserve"> należy nanieść na wykres i sprawdzić czy mieszczą się w polu zdefiniowanym dla koloru białego. </w:t>
      </w:r>
      <w:r w:rsidRPr="00F97495">
        <w:rPr>
          <w:rFonts w:ascii="Times New Roman" w:hAnsi="Times New Roman"/>
          <w:bCs/>
          <w:sz w:val="20"/>
          <w:u w:val="single"/>
        </w:rPr>
        <w:t>Wszystkie pomiary współrzędnych x, y muszą mieścić się w polu  koloru białego. W przypadku nie spełnienia tego wymagania oznakowanie nie może być dopuszczone do wbudowania na drodze</w:t>
      </w:r>
      <w:r w:rsidRPr="00F97495">
        <w:rPr>
          <w:rFonts w:ascii="Times New Roman" w:hAnsi="Times New Roman"/>
          <w:bCs/>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Wielkość współczynnika luminancji β jest średnią z pięciu pomiarów i musi spełniać wymagania jak dla nowego oznakowania zgodnie z Aprobatą Techniczną.</w:t>
      </w:r>
    </w:p>
    <w:p w:rsidR="00752889" w:rsidRPr="00F97495" w:rsidRDefault="009D2E16" w:rsidP="005E378D">
      <w:pPr>
        <w:jc w:val="both"/>
        <w:rPr>
          <w:rFonts w:ascii="Times New Roman" w:hAnsi="Times New Roman"/>
          <w:sz w:val="20"/>
        </w:rPr>
      </w:pPr>
      <w:r w:rsidRPr="00F97495">
        <w:rPr>
          <w:rFonts w:ascii="Times New Roman" w:hAnsi="Times New Roman"/>
          <w:sz w:val="20"/>
        </w:rPr>
        <w:t>Oznakowanie poziome winno spełniać wymagania Dz.U.nr 220 poz. 2181 załącznik nr.2 na sucho, jak i wymagania określone na mokro w PN EN 1436 dla danej klasy oznakowania poziomego. Pomiar oznakowania poziomego wykonywany jest niezależnie od metody pomiaru ( pomiar urządzeniem punktowym lub pomiar dynamiczny)  zgodnie z kierunkiem ruchu pojazdów.</w:t>
      </w:r>
    </w:p>
    <w:p w:rsidR="00752889" w:rsidRPr="00F97495" w:rsidRDefault="009D2E16" w:rsidP="005E378D">
      <w:pPr>
        <w:jc w:val="both"/>
        <w:rPr>
          <w:rFonts w:ascii="Times New Roman" w:hAnsi="Times New Roman"/>
          <w:sz w:val="20"/>
        </w:rPr>
      </w:pPr>
      <w:r w:rsidRPr="00F97495">
        <w:rPr>
          <w:rFonts w:ascii="Times New Roman" w:hAnsi="Times New Roman"/>
          <w:b/>
          <w:bCs/>
          <w:sz w:val="20"/>
          <w:u w:val="single"/>
        </w:rPr>
        <w:t>sprawdzić widzialność w nocy</w:t>
      </w:r>
      <w:r w:rsidRPr="00F97495">
        <w:rPr>
          <w:rFonts w:ascii="Times New Roman" w:hAnsi="Times New Roman"/>
          <w:b/>
          <w:bCs/>
          <w:sz w:val="20"/>
        </w:rPr>
        <w:t xml:space="preserve"> </w:t>
      </w:r>
      <w:r w:rsidRPr="00F97495">
        <w:rPr>
          <w:rFonts w:ascii="Times New Roman" w:hAnsi="Times New Roman"/>
          <w:bCs/>
          <w:sz w:val="20"/>
        </w:rPr>
        <w:t>poprzez</w:t>
      </w: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      -  </w:t>
      </w:r>
      <w:r w:rsidRPr="00F97495">
        <w:rPr>
          <w:rFonts w:ascii="Times New Roman" w:hAnsi="Times New Roman"/>
          <w:b/>
          <w:bCs/>
          <w:sz w:val="20"/>
        </w:rPr>
        <w:t>ocenę wizualną nocą</w:t>
      </w:r>
      <w:r w:rsidRPr="00F97495">
        <w:rPr>
          <w:rFonts w:ascii="Times New Roman" w:hAnsi="Times New Roman"/>
          <w:sz w:val="20"/>
        </w:rPr>
        <w:t xml:space="preserve"> równomierności odblasku na całej szerokości linii w całym przekroju drogi.  Oznakowanie musi być jednorodne i nie powinno posiadać żadnych plam, etc.    </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      -  </w:t>
      </w:r>
      <w:r w:rsidRPr="00F97495">
        <w:rPr>
          <w:rFonts w:ascii="Times New Roman" w:hAnsi="Times New Roman"/>
          <w:b/>
          <w:bCs/>
          <w:sz w:val="20"/>
        </w:rPr>
        <w:t>pomiar odblasku</w:t>
      </w:r>
      <w:r w:rsidRPr="00F97495">
        <w:rPr>
          <w:rFonts w:ascii="Times New Roman" w:hAnsi="Times New Roman"/>
          <w:sz w:val="20"/>
        </w:rPr>
        <w:t xml:space="preserve"> wykonywany z częstotliwością 1pomiar  na linii segregacyjnej oraz 2 pomiary na liniach krawędziowych  w przekroju drogi. Jeden (1) pomiar oznacza wykonanie 3 uwidocznionych odczytów na tej samej linii i z niewielkim przesunięciem lokalizacji. Wynik stanowi średnia z trzech odczytów i musi spełniać wymagania jak dla nowego oznakowania zgodnie z Aprobatą Techniczną.  </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Wyniki uzyskane z odcinka próbnego są przedmiotem oceny Inżyniera. Na podstawie wyników uzyskanych na odcinku próbnym Inżynier podejmie decyzję o dopuszczeniu do układania masy na wykonywanym odcinku drogi.</w:t>
      </w:r>
    </w:p>
    <w:p w:rsidR="00752889" w:rsidRPr="00F97495" w:rsidRDefault="009D2E16" w:rsidP="005E378D">
      <w:pPr>
        <w:jc w:val="both"/>
        <w:rPr>
          <w:rFonts w:ascii="Times New Roman" w:hAnsi="Times New Roman"/>
          <w:sz w:val="20"/>
        </w:rPr>
      </w:pPr>
      <w:r w:rsidRPr="00F97495">
        <w:rPr>
          <w:rFonts w:ascii="Times New Roman" w:hAnsi="Times New Roman"/>
          <w:sz w:val="20"/>
        </w:rPr>
        <w:t>Oznakowanie poziome winno spełniać wymagania Dz.U.nr 220 poz. 2181 załącznik nr.2 na sucho, jak i wymagania określone na mokro w PN EN 1436 dla danej klasy oznakowania poziomego. Pomiar oznakowania poziomego wykonywany jest niezależnie od metody pomiaru ( pomiar urządzeniem punktowym lub pomiar dynamiczny)  zgodnie z kierunkiem ruchu .</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5.7. Wykonanie oznakowania poziomego grubowarstwowego masami chemoutwardzalnymi</w:t>
      </w:r>
    </w:p>
    <w:p w:rsidR="00752889" w:rsidRPr="00F97495" w:rsidRDefault="009D2E16" w:rsidP="005E378D">
      <w:pPr>
        <w:jc w:val="both"/>
        <w:rPr>
          <w:rFonts w:ascii="Times New Roman" w:hAnsi="Times New Roman"/>
          <w:sz w:val="20"/>
        </w:rPr>
      </w:pPr>
      <w:r w:rsidRPr="00F97495">
        <w:rPr>
          <w:rFonts w:ascii="Times New Roman" w:hAnsi="Times New Roman"/>
          <w:sz w:val="20"/>
        </w:rPr>
        <w:t>Wykonanie znakowania powinno być zgodne z zaleceniami producenta materiałów, a w przypadku ich braku lub niepełnych danych – zgodne z poniższymi wskazaniami.</w:t>
      </w:r>
    </w:p>
    <w:p w:rsidR="00752889" w:rsidRPr="00F97495" w:rsidRDefault="009D2E16" w:rsidP="005E378D">
      <w:pPr>
        <w:jc w:val="both"/>
        <w:rPr>
          <w:rFonts w:ascii="Times New Roman" w:hAnsi="Times New Roman"/>
          <w:sz w:val="20"/>
        </w:rPr>
      </w:pPr>
      <w:r w:rsidRPr="00F97495">
        <w:rPr>
          <w:rFonts w:ascii="Times New Roman" w:hAnsi="Times New Roman"/>
          <w:sz w:val="20"/>
        </w:rPr>
        <w:t>Przed wykonaniem oznakowania grubowarstwowego o strukturze regularnej należy wykonać podkładu z np. farby białej.</w:t>
      </w:r>
    </w:p>
    <w:p w:rsidR="00752889" w:rsidRPr="00F97495" w:rsidRDefault="009D2E16" w:rsidP="005E378D">
      <w:pPr>
        <w:jc w:val="both"/>
        <w:rPr>
          <w:rFonts w:ascii="Times New Roman" w:hAnsi="Times New Roman"/>
          <w:sz w:val="20"/>
        </w:rPr>
      </w:pPr>
      <w:r w:rsidRPr="00F97495">
        <w:rPr>
          <w:rFonts w:ascii="Times New Roman" w:hAnsi="Times New Roman"/>
          <w:sz w:val="20"/>
        </w:rPr>
        <w:t>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20%.</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F97495">
        <w:rPr>
          <w:rFonts w:ascii="Times New Roman" w:hAnsi="Times New Roman"/>
          <w:sz w:val="20"/>
        </w:rPr>
        <w:t>uszorstniającym</w:t>
      </w:r>
      <w:proofErr w:type="spellEnd"/>
      <w:r w:rsidRPr="00F97495">
        <w:rPr>
          <w:rFonts w:ascii="Times New Roman" w:hAnsi="Times New Roman"/>
          <w:sz w:val="20"/>
        </w:rPr>
        <w:t xml:space="preserve">. W przypadku mniejszych prac, wielkość, wydajność i jakość sprzętu należy dostosować do ich zakresu i rozmiaru. </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u w:val="single"/>
        </w:rPr>
        <w:t>UWAGA: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w:t>
      </w:r>
    </w:p>
    <w:p w:rsidR="00752889" w:rsidRPr="00F97495" w:rsidRDefault="009D2E16" w:rsidP="005E378D">
      <w:pPr>
        <w:jc w:val="both"/>
        <w:rPr>
          <w:rFonts w:ascii="Times New Roman" w:hAnsi="Times New Roman"/>
          <w:b/>
          <w:spacing w:val="-3"/>
          <w:sz w:val="20"/>
        </w:rPr>
      </w:pPr>
      <w:r w:rsidRPr="00F97495">
        <w:rPr>
          <w:rFonts w:ascii="Times New Roman" w:hAnsi="Times New Roman"/>
          <w:b/>
          <w:bCs/>
          <w:spacing w:val="-3"/>
          <w:sz w:val="20"/>
        </w:rPr>
        <w:t>5.8. Wykonanie oznakowania poziomego cienkowarstwowego</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Bezpośrednio przed naniesieniem farba musi być bardzo dobrze rozmieszana i doprowadzona do lepkości roboczej, zgodnie z zaleceniami producenta. Przy rozkładaniu farby musi być zagwarantowane równomierne rozłożenie materiału znakującego, utrzymanie grubości warstwy, ilości </w:t>
      </w:r>
      <w:proofErr w:type="spellStart"/>
      <w:r w:rsidRPr="00F97495">
        <w:rPr>
          <w:rFonts w:ascii="Times New Roman" w:hAnsi="Times New Roman"/>
          <w:sz w:val="20"/>
        </w:rPr>
        <w:t>mikrokulek</w:t>
      </w:r>
      <w:proofErr w:type="spellEnd"/>
      <w:r w:rsidRPr="00F97495">
        <w:rPr>
          <w:rFonts w:ascii="Times New Roman" w:hAnsi="Times New Roman"/>
          <w:sz w:val="20"/>
        </w:rPr>
        <w:t xml:space="preserve"> szklanych jak i geometria oraz równe krawędzie znakowania.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20 %.</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Warstwa elementów odblaskowych musi być rozłożona równomiernie na całej powierzchni malowania i dawać jednolity efekt odblasku w porze nocnej. </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5.9. Wykonanie znakowanie punktowymi elementami odblaskowymi</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Wykonanie znakowania powinno być zgodne z zaleceniami producenta materiałów, a w przypadku ich braku – zgodnie z poniższymi wskazaniami.</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Przy wykonywaniu znakowania punktowymi elementami odblaskowymi należy zwracać szczególną uwagę na staranne mocowanie elementów do podłoża, od czego zależy trwałość oznakowania.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Nie wolno zmieniać ustalonego przez producenta rodzaju kleju z uwagi na możliwość uzyskania różnej jego przyczepności do nawierzchni i do materiałów, z których wykonano punktowe elementy odblaskowe.</w:t>
      </w:r>
    </w:p>
    <w:p w:rsidR="00752889" w:rsidRPr="00F97495" w:rsidRDefault="009D2E16" w:rsidP="005E378D">
      <w:pPr>
        <w:jc w:val="both"/>
        <w:rPr>
          <w:rFonts w:ascii="Times New Roman" w:hAnsi="Times New Roman"/>
          <w:sz w:val="20"/>
        </w:rPr>
      </w:pPr>
      <w:r w:rsidRPr="00F97495">
        <w:rPr>
          <w:rFonts w:ascii="Times New Roman" w:hAnsi="Times New Roman"/>
          <w:sz w:val="20"/>
        </w:rPr>
        <w:lastRenderedPageBreak/>
        <w:t xml:space="preserve">Punktowe elementy odblaskowe umieszcza się </w:t>
      </w:r>
      <w:r w:rsidRPr="00F97495">
        <w:rPr>
          <w:rFonts w:ascii="Times New Roman" w:hAnsi="Times New Roman"/>
          <w:color w:val="000000"/>
          <w:sz w:val="20"/>
        </w:rPr>
        <w:t>przy linii krawędziowej od jej strony wewnętrznej i nie mogą być naklejane na linie</w:t>
      </w:r>
      <w:r w:rsidRPr="00F97495">
        <w:rPr>
          <w:rFonts w:ascii="Times New Roman" w:hAnsi="Times New Roman"/>
          <w:sz w:val="20"/>
        </w:rPr>
        <w:t>. Należy dążyć, aby elementy odblaskowe umieszczane przy poszczególnych liniach znajdowały się w tym samym przekroju poprzecznym drogi.</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Odległość pomiędzy zamocowanymi punktowymi elementami odblaskowymi powinna być zgodna z projektem organizacji ruchu.</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5.10. Wykonanie oznakowania tymczasowego</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Materiały stosowane do wykonywania oznakowania tymczasowego powinny także posiadać aprobaty techniczne, a producent powinien wystawiać deklarację zgodności.</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6. Kontrola jakości Robót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Ogólne zasady kontroli jakości Robót podano w </w:t>
      </w:r>
      <w:r w:rsidR="00294739">
        <w:rPr>
          <w:rFonts w:ascii="Times New Roman" w:hAnsi="Times New Roman"/>
          <w:sz w:val="20"/>
        </w:rPr>
        <w:t>SST</w:t>
      </w:r>
      <w:r w:rsidRPr="00F97495">
        <w:rPr>
          <w:rFonts w:ascii="Times New Roman" w:hAnsi="Times New Roman"/>
          <w:sz w:val="20"/>
        </w:rPr>
        <w:t xml:space="preserve"> D-M.00.00.00. "Wymagania ogólne".</w:t>
      </w:r>
    </w:p>
    <w:p w:rsidR="00752889" w:rsidRPr="00F97495" w:rsidRDefault="009D2E16" w:rsidP="005E378D">
      <w:pPr>
        <w:jc w:val="both"/>
        <w:rPr>
          <w:rFonts w:ascii="Times New Roman" w:hAnsi="Times New Roman"/>
          <w:b/>
          <w:spacing w:val="-3"/>
          <w:sz w:val="20"/>
        </w:rPr>
      </w:pPr>
      <w:r w:rsidRPr="00F97495">
        <w:rPr>
          <w:rFonts w:ascii="Times New Roman" w:hAnsi="Times New Roman"/>
          <w:b/>
          <w:bCs/>
          <w:spacing w:val="-3"/>
          <w:sz w:val="20"/>
        </w:rPr>
        <w:t>6.1. Kontrola jakości materiałów</w:t>
      </w:r>
    </w:p>
    <w:p w:rsidR="00752889" w:rsidRPr="00F97495" w:rsidRDefault="009D2E16" w:rsidP="005E378D">
      <w:pPr>
        <w:jc w:val="both"/>
        <w:rPr>
          <w:rFonts w:ascii="Times New Roman" w:hAnsi="Times New Roman"/>
          <w:sz w:val="20"/>
        </w:rPr>
      </w:pPr>
      <w:r w:rsidRPr="00F97495">
        <w:rPr>
          <w:rFonts w:ascii="Times New Roman" w:hAnsi="Times New Roman"/>
          <w:sz w:val="20"/>
        </w:rPr>
        <w:t>Przed przystąpieniem do robót Wykonawca powinien:</w:t>
      </w:r>
    </w:p>
    <w:p w:rsidR="00752889" w:rsidRPr="00F97495" w:rsidRDefault="009D2E16" w:rsidP="005E378D">
      <w:pPr>
        <w:jc w:val="both"/>
        <w:rPr>
          <w:rFonts w:ascii="Times New Roman" w:hAnsi="Times New Roman"/>
          <w:sz w:val="20"/>
        </w:rPr>
      </w:pPr>
      <w:r w:rsidRPr="00F97495">
        <w:rPr>
          <w:rFonts w:ascii="Times New Roman" w:hAnsi="Times New Roman"/>
          <w:sz w:val="20"/>
        </w:rPr>
        <w:t>uzyskać wymagane dokumenty, dopuszczające wyroby budowlane do obrotu i powszechnego stosowania (certyfikaty zgodności, deklarację właściwości użytkowych, ew. badania materiałów wykonane przez dostawców itp.),</w:t>
      </w:r>
    </w:p>
    <w:p w:rsidR="00752889" w:rsidRPr="00F97495" w:rsidRDefault="009D2E16" w:rsidP="005E378D">
      <w:pPr>
        <w:jc w:val="both"/>
        <w:rPr>
          <w:rFonts w:ascii="Times New Roman" w:hAnsi="Times New Roman"/>
          <w:sz w:val="20"/>
        </w:rPr>
      </w:pPr>
      <w:r w:rsidRPr="00F97495">
        <w:rPr>
          <w:rFonts w:ascii="Times New Roman" w:hAnsi="Times New Roman"/>
          <w:sz w:val="20"/>
        </w:rPr>
        <w:t>sprawdzić  cechy zewnętrzne  gotowych materiałów.</w:t>
      </w:r>
    </w:p>
    <w:p w:rsidR="00752889" w:rsidRPr="00F97495" w:rsidRDefault="009D2E16" w:rsidP="005E378D">
      <w:pPr>
        <w:jc w:val="both"/>
        <w:rPr>
          <w:rFonts w:ascii="Times New Roman" w:hAnsi="Times New Roman"/>
          <w:sz w:val="20"/>
        </w:rPr>
      </w:pPr>
      <w:r w:rsidRPr="00F97495">
        <w:rPr>
          <w:rFonts w:ascii="Times New Roman" w:hAnsi="Times New Roman"/>
          <w:sz w:val="20"/>
        </w:rPr>
        <w:t>Wszystkie dokumenty oraz wyniki badań Wykonawca przedstawia Inżynierowi do akceptacji.</w:t>
      </w:r>
    </w:p>
    <w:p w:rsidR="00752889" w:rsidRPr="00F97495" w:rsidRDefault="009D2E16" w:rsidP="005E378D">
      <w:pPr>
        <w:jc w:val="both"/>
        <w:rPr>
          <w:rFonts w:ascii="Times New Roman" w:hAnsi="Times New Roman"/>
          <w:sz w:val="20"/>
        </w:rPr>
      </w:pPr>
      <w:r w:rsidRPr="00F97495">
        <w:rPr>
          <w:rFonts w:ascii="Times New Roman" w:hAnsi="Times New Roman"/>
          <w:spacing w:val="-3"/>
          <w:sz w:val="20"/>
        </w:rPr>
        <w:t xml:space="preserve">Ponadto Wykonawca jest zobowiązany dostarczyć próbniki z naniesionymi wzorcami oznakowania </w:t>
      </w:r>
      <w:r w:rsidRPr="00F97495">
        <w:rPr>
          <w:rFonts w:ascii="Times New Roman" w:hAnsi="Times New Roman"/>
          <w:sz w:val="20"/>
        </w:rPr>
        <w:t>na blasze (300x250x0,8mm), po jednym dla każdego rodzaju materiału. Próbniki muszą być wykonane zgodnie z Aprobatą Techniczną (wagowe zużycie materiału, wzorzec struktury wykonywanego oznakowania).</w:t>
      </w:r>
    </w:p>
    <w:p w:rsidR="00752889" w:rsidRPr="00F97495" w:rsidRDefault="009D2E16" w:rsidP="005E378D">
      <w:pPr>
        <w:jc w:val="both"/>
        <w:rPr>
          <w:rFonts w:ascii="Times New Roman" w:hAnsi="Times New Roman"/>
          <w:sz w:val="20"/>
        </w:rPr>
      </w:pPr>
      <w:r w:rsidRPr="00F97495">
        <w:rPr>
          <w:rFonts w:ascii="Times New Roman" w:hAnsi="Times New Roman"/>
          <w:sz w:val="20"/>
        </w:rPr>
        <w:t>Zawartość składników lotnych (rozpuszczalników organicznych) nie powinna przekraczać 25% (m/m) w postaci gotowej do aplikacji w materiałach do znakowania.</w:t>
      </w:r>
    </w:p>
    <w:p w:rsidR="00752889" w:rsidRPr="00F97495" w:rsidRDefault="009D2E16" w:rsidP="005E378D">
      <w:pPr>
        <w:jc w:val="both"/>
        <w:rPr>
          <w:rFonts w:ascii="Times New Roman" w:hAnsi="Times New Roman"/>
          <w:sz w:val="20"/>
        </w:rPr>
      </w:pPr>
      <w:r w:rsidRPr="00F97495">
        <w:rPr>
          <w:rFonts w:ascii="Times New Roman" w:hAnsi="Times New Roman"/>
          <w:sz w:val="20"/>
        </w:rPr>
        <w:t>Nie dopuszcza się stosowania materiałów zawierających rozpuszczalnik aromatyczny (jak np. toluen, ksylen) w ilości większej niż 8%. Nie dopuszcza się stosowania materiałów zawierających benzen i rozpuszczalniki chlorowane.</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 xml:space="preserve">6.2. Badanie przygotowania podłoża i </w:t>
      </w:r>
      <w:proofErr w:type="spellStart"/>
      <w:r w:rsidRPr="00F97495">
        <w:rPr>
          <w:rFonts w:ascii="Times New Roman" w:hAnsi="Times New Roman"/>
          <w:b/>
          <w:bCs/>
          <w:spacing w:val="-3"/>
          <w:sz w:val="20"/>
        </w:rPr>
        <w:t>przedznakowania</w:t>
      </w:r>
      <w:proofErr w:type="spellEnd"/>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Powierzchnia jezdni przed wykonaniem znakowania poziomego musi być całkowicie czysta i sucha. </w:t>
      </w:r>
      <w:proofErr w:type="spellStart"/>
      <w:r w:rsidRPr="00F97495">
        <w:rPr>
          <w:rFonts w:ascii="Times New Roman" w:hAnsi="Times New Roman"/>
          <w:sz w:val="20"/>
        </w:rPr>
        <w:t>Przedznakowanie</w:t>
      </w:r>
      <w:proofErr w:type="spellEnd"/>
      <w:r w:rsidRPr="00F97495">
        <w:rPr>
          <w:rFonts w:ascii="Times New Roman" w:hAnsi="Times New Roman"/>
          <w:sz w:val="20"/>
        </w:rPr>
        <w:t xml:space="preserve"> powinno być wykonane zgodnie z wymaganiami punktu 5.5.</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6.3. Badania wykonania oznakowania poziomego</w:t>
      </w:r>
    </w:p>
    <w:p w:rsidR="00752889" w:rsidRPr="00F97495" w:rsidRDefault="009D2E16" w:rsidP="005E378D">
      <w:pPr>
        <w:jc w:val="both"/>
        <w:rPr>
          <w:rFonts w:ascii="Times New Roman" w:hAnsi="Times New Roman"/>
          <w:b/>
          <w:bCs/>
          <w:spacing w:val="-3"/>
          <w:sz w:val="20"/>
        </w:rPr>
      </w:pPr>
      <w:r w:rsidRPr="00F97495">
        <w:rPr>
          <w:rFonts w:ascii="Times New Roman" w:hAnsi="Times New Roman"/>
          <w:b/>
          <w:bCs/>
          <w:spacing w:val="-3"/>
          <w:sz w:val="20"/>
        </w:rPr>
        <w:t xml:space="preserve">6.3.1. </w:t>
      </w:r>
      <w:r w:rsidRPr="00F97495">
        <w:rPr>
          <w:rFonts w:ascii="Times New Roman" w:hAnsi="Times New Roman"/>
          <w:bCs/>
          <w:spacing w:val="-3"/>
          <w:sz w:val="20"/>
        </w:rPr>
        <w:t>Zasady</w:t>
      </w:r>
    </w:p>
    <w:p w:rsidR="00752889" w:rsidRPr="00F97495" w:rsidRDefault="009D2E16" w:rsidP="005E378D">
      <w:pPr>
        <w:jc w:val="both"/>
        <w:rPr>
          <w:rFonts w:ascii="Times New Roman" w:hAnsi="Times New Roman"/>
          <w:sz w:val="20"/>
        </w:rPr>
      </w:pPr>
      <w:r w:rsidRPr="00F97495">
        <w:rPr>
          <w:rFonts w:ascii="Times New Roman" w:hAnsi="Times New Roman"/>
          <w:sz w:val="20"/>
        </w:rPr>
        <w:t>Badania parametrów oznakowania poziomego należy przeprowadzać metodą dynamiczną z użyciem reflektometru mobilnego, lub aparatami ręcznymi (metoda statyczna). Wymagania sprecyzowano w celu określenia właściwości oznakowania dróg po jego wykonaniu oraz w czasie użytkowania. Wymagania określa się kilkoma parametrami reprezentującymi różne aspekty właściwości oznakowania dróg według Dz.U.nr 220 poz. 2181 załącznik nr.2 , PN-EN 1436 i PN-EN 1436:2000/A1.</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Badania wstępne, dla których określono pierwsze wymaganie, są wykonywane w celu kontroli przed odbiorem. Powinny być wykonane w terminie od 14 do 30 dnia po wykonaniu a następnie kontrolowane w okresie gwarancyjnym. </w:t>
      </w:r>
    </w:p>
    <w:p w:rsidR="00752889" w:rsidRPr="00F97495" w:rsidRDefault="009D2E16" w:rsidP="005E378D">
      <w:pPr>
        <w:jc w:val="both"/>
        <w:rPr>
          <w:rFonts w:ascii="Times New Roman" w:hAnsi="Times New Roman"/>
          <w:sz w:val="20"/>
        </w:rPr>
      </w:pPr>
      <w:r w:rsidRPr="00F97495">
        <w:rPr>
          <w:rFonts w:ascii="Times New Roman" w:hAnsi="Times New Roman"/>
          <w:b/>
          <w:sz w:val="20"/>
        </w:rPr>
        <w:t>6.3.2.</w:t>
      </w:r>
      <w:r w:rsidRPr="00F97495">
        <w:rPr>
          <w:rFonts w:ascii="Times New Roman" w:hAnsi="Times New Roman"/>
          <w:sz w:val="20"/>
        </w:rPr>
        <w:t xml:space="preserve"> Częstotliwość wykonywania badań</w:t>
      </w:r>
    </w:p>
    <w:p w:rsidR="00752889" w:rsidRPr="00F97495" w:rsidRDefault="009D2E16" w:rsidP="005E378D">
      <w:pPr>
        <w:jc w:val="both"/>
        <w:rPr>
          <w:rFonts w:ascii="Times New Roman" w:hAnsi="Times New Roman"/>
          <w:sz w:val="20"/>
        </w:rPr>
      </w:pPr>
      <w:r w:rsidRPr="00F97495">
        <w:rPr>
          <w:rFonts w:ascii="Times New Roman" w:hAnsi="Times New Roman"/>
          <w:sz w:val="20"/>
        </w:rPr>
        <w:t>Wykonawca wykonując znakowanie poziome przeprowadza przed rozpoczęciem każdej pracy oraz w czasie jej wykonywania, co najmniej raz dziennie, następujące badania:</w:t>
      </w:r>
    </w:p>
    <w:p w:rsidR="00752889" w:rsidRPr="00F97495" w:rsidRDefault="009D2E16" w:rsidP="005E378D">
      <w:pPr>
        <w:jc w:val="both"/>
        <w:rPr>
          <w:rFonts w:ascii="Times New Roman" w:hAnsi="Times New Roman"/>
          <w:sz w:val="20"/>
        </w:rPr>
      </w:pPr>
      <w:r w:rsidRPr="00F97495">
        <w:rPr>
          <w:rFonts w:ascii="Times New Roman" w:hAnsi="Times New Roman"/>
          <w:sz w:val="20"/>
        </w:rPr>
        <w:t>a) przed rozpoczęciem pracy:</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sprawdzenie oznakowania opakowań,</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wizualną ocenę stanu materiału, w zakresie jego jednorodności i widocznych wad,</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pomiar wilgotności względnej powietrza,</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pomiar temperatury powietrza i nawierzchni,</w:t>
      </w:r>
    </w:p>
    <w:p w:rsidR="00752889" w:rsidRPr="00F97495" w:rsidRDefault="009D2E16" w:rsidP="005E378D">
      <w:pPr>
        <w:jc w:val="both"/>
        <w:rPr>
          <w:rFonts w:ascii="Times New Roman" w:hAnsi="Times New Roman"/>
          <w:sz w:val="20"/>
        </w:rPr>
      </w:pPr>
      <w:r w:rsidRPr="00F97495">
        <w:rPr>
          <w:rFonts w:ascii="Times New Roman" w:hAnsi="Times New Roman"/>
          <w:sz w:val="20"/>
        </w:rPr>
        <w:t>b) w czasie wykonywania pracy:</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pomiar czasu stygnięcia masy – wg Aprobaty Technicznej,</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wizualną ocenę równomierności rozłożenia kulek szklanych,</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pomiar grubości warstwy oznakowania – co najmniej 1 badanie na 1 km każdej linii,</w:t>
      </w:r>
    </w:p>
    <w:p w:rsidR="00752889" w:rsidRPr="005E378D" w:rsidRDefault="009D2E16" w:rsidP="005E378D">
      <w:pPr>
        <w:pStyle w:val="Akapitzlist"/>
        <w:numPr>
          <w:ilvl w:val="0"/>
          <w:numId w:val="27"/>
        </w:numPr>
        <w:jc w:val="both"/>
        <w:rPr>
          <w:rFonts w:ascii="Times New Roman" w:hAnsi="Times New Roman"/>
          <w:sz w:val="20"/>
        </w:rPr>
      </w:pPr>
      <w:r w:rsidRPr="005E378D">
        <w:rPr>
          <w:rFonts w:ascii="Times New Roman" w:hAnsi="Times New Roman"/>
          <w:sz w:val="20"/>
        </w:rPr>
        <w:t>pomiar poziomych wymiarów oznakowania, na zgodność z Dokumentacją Projektową i Załącznikiem Nr 2 do rozporządzenia Ministra Infrastruktury z dnia 3 lipca 2003 (</w:t>
      </w:r>
      <w:proofErr w:type="spellStart"/>
      <w:r w:rsidRPr="005E378D">
        <w:rPr>
          <w:rFonts w:ascii="Times New Roman" w:hAnsi="Times New Roman"/>
          <w:sz w:val="20"/>
        </w:rPr>
        <w:t>DzU</w:t>
      </w:r>
      <w:proofErr w:type="spellEnd"/>
      <w:r w:rsidRPr="005E378D">
        <w:rPr>
          <w:rFonts w:ascii="Times New Roman" w:hAnsi="Times New Roman"/>
          <w:sz w:val="20"/>
        </w:rPr>
        <w:t xml:space="preserve">. Nr 220 z dnia 23 grudnia 2003, poz. 2181) </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c) kontrola wykonanego oznakowania </w:t>
      </w:r>
    </w:p>
    <w:p w:rsidR="00752889" w:rsidRPr="005E378D" w:rsidRDefault="009D2E16" w:rsidP="005E378D">
      <w:pPr>
        <w:pStyle w:val="Akapitzlist"/>
        <w:numPr>
          <w:ilvl w:val="0"/>
          <w:numId w:val="27"/>
        </w:numPr>
        <w:ind w:hanging="153"/>
        <w:jc w:val="both"/>
        <w:rPr>
          <w:rFonts w:ascii="Times New Roman" w:hAnsi="Times New Roman"/>
          <w:sz w:val="20"/>
        </w:rPr>
      </w:pPr>
      <w:r w:rsidRPr="005E378D">
        <w:rPr>
          <w:rFonts w:ascii="Times New Roman" w:hAnsi="Times New Roman"/>
          <w:sz w:val="20"/>
        </w:rPr>
        <w:t xml:space="preserve">widzialność w nocy widzialność w dzień </w:t>
      </w:r>
    </w:p>
    <w:p w:rsidR="00752889" w:rsidRPr="005E378D" w:rsidRDefault="009D2E16" w:rsidP="005E378D">
      <w:pPr>
        <w:pStyle w:val="Akapitzlist"/>
        <w:numPr>
          <w:ilvl w:val="0"/>
          <w:numId w:val="27"/>
        </w:numPr>
        <w:ind w:hanging="153"/>
        <w:jc w:val="both"/>
        <w:rPr>
          <w:rFonts w:ascii="Times New Roman" w:hAnsi="Times New Roman"/>
          <w:sz w:val="20"/>
        </w:rPr>
      </w:pPr>
      <w:r w:rsidRPr="005E378D">
        <w:rPr>
          <w:rFonts w:ascii="Times New Roman" w:hAnsi="Times New Roman"/>
          <w:sz w:val="20"/>
        </w:rPr>
        <w:lastRenderedPageBreak/>
        <w:t xml:space="preserve">szorstkości </w:t>
      </w:r>
    </w:p>
    <w:p w:rsidR="00752889" w:rsidRPr="005E378D" w:rsidRDefault="009D2E16" w:rsidP="005E378D">
      <w:pPr>
        <w:pStyle w:val="Akapitzlist"/>
        <w:numPr>
          <w:ilvl w:val="0"/>
          <w:numId w:val="27"/>
        </w:numPr>
        <w:ind w:hanging="153"/>
        <w:jc w:val="both"/>
        <w:rPr>
          <w:rFonts w:ascii="Times New Roman" w:hAnsi="Times New Roman"/>
          <w:sz w:val="20"/>
        </w:rPr>
      </w:pPr>
      <w:r w:rsidRPr="005E378D">
        <w:rPr>
          <w:rFonts w:ascii="Times New Roman" w:hAnsi="Times New Roman"/>
          <w:sz w:val="20"/>
        </w:rPr>
        <w:t>określenia barwy czyli oznaczenie składowych trójchromatycznych x, y przy zdefiniowanym źródle światła (2 pomiary określające pole barwy), odpowiadających wymaganiom podanym w PN-EN 1436.</w:t>
      </w: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Protokół z przeprowadzonych badań wraz z jedną próbką na blasze (300x250x0,8mm) Wykonawca powinien przechować do czasu upływu okresu gwarancji.</w:t>
      </w:r>
    </w:p>
    <w:p w:rsidR="00752889" w:rsidRPr="00F97495" w:rsidRDefault="009D2E16" w:rsidP="005E378D">
      <w:pPr>
        <w:jc w:val="both"/>
        <w:rPr>
          <w:rFonts w:ascii="Times New Roman" w:hAnsi="Times New Roman"/>
          <w:sz w:val="20"/>
        </w:rPr>
      </w:pPr>
      <w:r w:rsidRPr="00F97495">
        <w:rPr>
          <w:rFonts w:ascii="Times New Roman" w:hAnsi="Times New Roman"/>
          <w:sz w:val="20"/>
        </w:rPr>
        <w:t>Do odbioru i w przypadku wątpliwości dotyczących wykonania oznakowania poziomego, Inżynier może zlecić wykonanie badań:</w:t>
      </w:r>
    </w:p>
    <w:p w:rsidR="00752889" w:rsidRPr="00F97495" w:rsidRDefault="009D2E16" w:rsidP="005E378D">
      <w:pPr>
        <w:pStyle w:val="Akapitzlist"/>
        <w:numPr>
          <w:ilvl w:val="0"/>
          <w:numId w:val="24"/>
        </w:numPr>
        <w:ind w:hanging="153"/>
        <w:jc w:val="both"/>
        <w:rPr>
          <w:rFonts w:ascii="Times New Roman" w:hAnsi="Times New Roman"/>
          <w:sz w:val="20"/>
        </w:rPr>
      </w:pPr>
      <w:r w:rsidRPr="00F97495">
        <w:rPr>
          <w:rFonts w:ascii="Times New Roman" w:hAnsi="Times New Roman"/>
          <w:sz w:val="20"/>
        </w:rPr>
        <w:t>widzialności w nocy,</w:t>
      </w:r>
    </w:p>
    <w:p w:rsidR="00752889" w:rsidRPr="00F97495" w:rsidRDefault="009D2E16" w:rsidP="005E378D">
      <w:pPr>
        <w:pStyle w:val="Akapitzlist"/>
        <w:numPr>
          <w:ilvl w:val="0"/>
          <w:numId w:val="24"/>
        </w:numPr>
        <w:ind w:hanging="153"/>
        <w:jc w:val="both"/>
        <w:rPr>
          <w:rFonts w:ascii="Times New Roman" w:hAnsi="Times New Roman"/>
          <w:sz w:val="20"/>
        </w:rPr>
      </w:pPr>
      <w:r w:rsidRPr="00F97495">
        <w:rPr>
          <w:rFonts w:ascii="Times New Roman" w:hAnsi="Times New Roman"/>
          <w:sz w:val="20"/>
        </w:rPr>
        <w:t>widzialności w dzień,</w:t>
      </w:r>
    </w:p>
    <w:p w:rsidR="00752889" w:rsidRPr="00F97495" w:rsidRDefault="009D2E16" w:rsidP="005E378D">
      <w:pPr>
        <w:pStyle w:val="Akapitzlist"/>
        <w:numPr>
          <w:ilvl w:val="0"/>
          <w:numId w:val="24"/>
        </w:numPr>
        <w:ind w:hanging="153"/>
        <w:jc w:val="both"/>
        <w:rPr>
          <w:rFonts w:ascii="Times New Roman" w:hAnsi="Times New Roman"/>
          <w:sz w:val="20"/>
        </w:rPr>
      </w:pPr>
      <w:r w:rsidRPr="00F97495">
        <w:rPr>
          <w:rFonts w:ascii="Times New Roman" w:hAnsi="Times New Roman"/>
          <w:sz w:val="20"/>
        </w:rPr>
        <w:t>szorstkości,</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odpowiadających wymaganiom podanym w punkcie 6.3.3 i wykonanych według metod określonych w Warunkach technicznych Dz.U.nr 220 poz. 2181 załącznik nr.2 ,POD-97 PN-EN 1436 i PN-EN 1436:2000/A1. </w:t>
      </w:r>
    </w:p>
    <w:p w:rsidR="00752889" w:rsidRPr="00F97495" w:rsidRDefault="009D2E16" w:rsidP="005E378D">
      <w:pPr>
        <w:jc w:val="both"/>
        <w:rPr>
          <w:rFonts w:ascii="Times New Roman" w:hAnsi="Times New Roman"/>
          <w:sz w:val="20"/>
        </w:rPr>
      </w:pPr>
      <w:r w:rsidRPr="00F97495">
        <w:rPr>
          <w:rFonts w:ascii="Times New Roman" w:hAnsi="Times New Roman"/>
          <w:sz w:val="20"/>
        </w:rPr>
        <w:t>W przypadku uzyskania rozbieżnych wyników pomiarów uzyskanych przez Zamawiającego i Wykonawcę należy przeprowadzić pomiary komisyjne przy udziale przedstawicieli Zamawiającego oraz Wykonawcy.</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 przypadku konieczności wykonywania pomiarów na otwartych do ruchu odcinkach dróg o dopuszczalnej prędkości </w:t>
      </w:r>
      <w:r w:rsidRPr="00F97495">
        <w:rPr>
          <w:rFonts w:ascii="Times New Roman" w:hAnsi="Times New Roman"/>
          <w:sz w:val="20"/>
        </w:rPr>
        <w:sym w:font="Symbol" w:char="F0B3"/>
      </w:r>
      <w:r w:rsidRPr="00F97495">
        <w:rPr>
          <w:rFonts w:ascii="Times New Roman" w:hAnsi="Times New Roman"/>
          <w:sz w:val="20"/>
        </w:rPr>
        <w:t>100 km/h należy ograniczyć je do linii krawędziowych zewnętrznych w przypadku wykonywania pomiarów aparatami ręcznymi, ze względu na bezpieczeństwo wykonujących pomiary.</w:t>
      </w:r>
    </w:p>
    <w:p w:rsidR="00752889" w:rsidRPr="00F97495" w:rsidRDefault="009D2E16" w:rsidP="005E378D">
      <w:pPr>
        <w:jc w:val="both"/>
        <w:rPr>
          <w:rFonts w:ascii="Times New Roman" w:hAnsi="Times New Roman"/>
          <w:sz w:val="20"/>
        </w:rPr>
      </w:pPr>
      <w:r w:rsidRPr="00F97495">
        <w:rPr>
          <w:rFonts w:ascii="Times New Roman" w:hAnsi="Times New Roman"/>
          <w:sz w:val="20"/>
        </w:rPr>
        <w:t>Metodą referencyjną wykonania pomiarów współczynnika odblaskowości i współczynnika luminancji jest metoda dynamiczna, umożliwiająca zebranie parametrów oznakowania dla wszystkich typów linii. Dopuszcza się wykonanie pomiarów przy pomocy aparatów ręcznych.</w:t>
      </w:r>
    </w:p>
    <w:p w:rsidR="00752889" w:rsidRPr="00F97495" w:rsidRDefault="009D2E16" w:rsidP="005E378D">
      <w:pPr>
        <w:jc w:val="both"/>
        <w:rPr>
          <w:rFonts w:ascii="Times New Roman" w:hAnsi="Times New Roman"/>
          <w:sz w:val="20"/>
        </w:rPr>
      </w:pPr>
      <w:r w:rsidRPr="00F97495">
        <w:rPr>
          <w:rFonts w:ascii="Times New Roman" w:hAnsi="Times New Roman"/>
          <w:sz w:val="20"/>
        </w:rPr>
        <w:t>W przypadku wykonywania pomiarów współczynnika odblaskowości i współczynników luminancji aparatami ręcznymi częstotliwość pomiarów należy dostosować do długości badanego odcinka, zgodnie z tablicą 1. W każdym z mierzonych punktów należy wykonać po 5 odczytów współczynnika odblasku i po 3 odczyty współczynników luminancji w odległości jeden od drugiego minimum 1 m.</w:t>
      </w:r>
    </w:p>
    <w:p w:rsidR="00752889" w:rsidRPr="00F97495" w:rsidRDefault="00752889" w:rsidP="005E378D">
      <w:pPr>
        <w:jc w:val="both"/>
        <w:rPr>
          <w:rFonts w:ascii="Times New Roman" w:hAnsi="Times New Roman"/>
          <w:sz w:val="10"/>
          <w:szCs w:val="10"/>
        </w:rPr>
      </w:pPr>
    </w:p>
    <w:p w:rsidR="00752889" w:rsidRPr="00F97495" w:rsidRDefault="009D2E16" w:rsidP="005E378D">
      <w:pPr>
        <w:jc w:val="both"/>
        <w:rPr>
          <w:rFonts w:ascii="Times New Roman" w:hAnsi="Times New Roman"/>
          <w:sz w:val="20"/>
        </w:rPr>
      </w:pPr>
      <w:r w:rsidRPr="00F97495">
        <w:rPr>
          <w:rFonts w:ascii="Times New Roman" w:hAnsi="Times New Roman"/>
          <w:sz w:val="20"/>
        </w:rPr>
        <w:t>Częstotliwość pomiarów współczynników odblaskowości i luminancji aparatami ręcznymi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1995"/>
        <w:gridCol w:w="2126"/>
        <w:gridCol w:w="1559"/>
      </w:tblGrid>
      <w:tr w:rsidR="00752889" w:rsidRPr="00F97495">
        <w:tc>
          <w:tcPr>
            <w:tcW w:w="567" w:type="dxa"/>
            <w:tcBorders>
              <w:bottom w:val="double" w:sz="4" w:space="0" w:color="auto"/>
            </w:tcBorders>
            <w:vAlign w:val="center"/>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Lp.</w:t>
            </w:r>
          </w:p>
        </w:tc>
        <w:tc>
          <w:tcPr>
            <w:tcW w:w="1995" w:type="dxa"/>
            <w:tcBorders>
              <w:bottom w:val="double" w:sz="4" w:space="0" w:color="auto"/>
            </w:tcBorders>
            <w:vAlign w:val="center"/>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Długość odcinka, km</w:t>
            </w:r>
          </w:p>
        </w:tc>
        <w:tc>
          <w:tcPr>
            <w:tcW w:w="2126" w:type="dxa"/>
            <w:tcBorders>
              <w:bottom w:val="double" w:sz="4" w:space="0" w:color="auto"/>
            </w:tcBorders>
            <w:vAlign w:val="center"/>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 xml:space="preserve">Częstotliwość </w:t>
            </w:r>
            <w:proofErr w:type="spellStart"/>
            <w:r w:rsidRPr="00F97495">
              <w:rPr>
                <w:rFonts w:ascii="Times New Roman" w:hAnsi="Times New Roman"/>
                <w:bCs/>
                <w:sz w:val="20"/>
              </w:rPr>
              <w:t>pomiarów,maksymalnie</w:t>
            </w:r>
            <w:proofErr w:type="spellEnd"/>
            <w:r w:rsidRPr="00F97495">
              <w:rPr>
                <w:rFonts w:ascii="Times New Roman" w:hAnsi="Times New Roman"/>
                <w:bCs/>
                <w:sz w:val="20"/>
              </w:rPr>
              <w:t xml:space="preserve"> </w:t>
            </w:r>
          </w:p>
        </w:tc>
        <w:tc>
          <w:tcPr>
            <w:tcW w:w="1559" w:type="dxa"/>
            <w:tcBorders>
              <w:bottom w:val="double" w:sz="4" w:space="0" w:color="auto"/>
            </w:tcBorders>
            <w:vAlign w:val="center"/>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Minimalna ilość pomiarów</w:t>
            </w:r>
          </w:p>
        </w:tc>
      </w:tr>
      <w:tr w:rsidR="00752889" w:rsidRPr="00F97495">
        <w:tc>
          <w:tcPr>
            <w:tcW w:w="567" w:type="dxa"/>
            <w:tcBorders>
              <w:top w:val="double" w:sz="4" w:space="0" w:color="auto"/>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1</w:t>
            </w:r>
          </w:p>
        </w:tc>
        <w:tc>
          <w:tcPr>
            <w:tcW w:w="1995" w:type="dxa"/>
            <w:tcBorders>
              <w:top w:val="double" w:sz="4" w:space="0" w:color="auto"/>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od 0 do 3</w:t>
            </w:r>
          </w:p>
        </w:tc>
        <w:tc>
          <w:tcPr>
            <w:tcW w:w="2126" w:type="dxa"/>
            <w:tcBorders>
              <w:top w:val="double" w:sz="4" w:space="0" w:color="auto"/>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od 0,1 do 0,5 km</w:t>
            </w:r>
          </w:p>
        </w:tc>
        <w:tc>
          <w:tcPr>
            <w:tcW w:w="1559" w:type="dxa"/>
            <w:tcBorders>
              <w:top w:val="double" w:sz="4" w:space="0" w:color="auto"/>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3-6</w:t>
            </w:r>
          </w:p>
        </w:tc>
      </w:tr>
      <w:tr w:rsidR="00752889" w:rsidRPr="00F97495">
        <w:tc>
          <w:tcPr>
            <w:tcW w:w="567" w:type="dxa"/>
          </w:tcPr>
          <w:p w:rsidR="00752889" w:rsidRPr="00F97495" w:rsidRDefault="009D2E16" w:rsidP="005E378D">
            <w:pPr>
              <w:jc w:val="both"/>
              <w:rPr>
                <w:rFonts w:ascii="Times New Roman" w:hAnsi="Times New Roman"/>
                <w:sz w:val="20"/>
              </w:rPr>
            </w:pPr>
            <w:r w:rsidRPr="00F97495">
              <w:rPr>
                <w:rFonts w:ascii="Times New Roman" w:hAnsi="Times New Roman"/>
                <w:sz w:val="20"/>
              </w:rPr>
              <w:t>2</w:t>
            </w:r>
          </w:p>
        </w:tc>
        <w:tc>
          <w:tcPr>
            <w:tcW w:w="1995" w:type="dxa"/>
          </w:tcPr>
          <w:p w:rsidR="00752889" w:rsidRPr="00F97495" w:rsidRDefault="009D2E16" w:rsidP="005E378D">
            <w:pPr>
              <w:jc w:val="both"/>
              <w:rPr>
                <w:rFonts w:ascii="Times New Roman" w:hAnsi="Times New Roman"/>
                <w:sz w:val="20"/>
              </w:rPr>
            </w:pPr>
            <w:r w:rsidRPr="00F97495">
              <w:rPr>
                <w:rFonts w:ascii="Times New Roman" w:hAnsi="Times New Roman"/>
                <w:sz w:val="20"/>
              </w:rPr>
              <w:t>od 3 do 10</w:t>
            </w:r>
          </w:p>
        </w:tc>
        <w:tc>
          <w:tcPr>
            <w:tcW w:w="2126" w:type="dxa"/>
          </w:tcPr>
          <w:p w:rsidR="00752889" w:rsidRPr="00F97495" w:rsidRDefault="009D2E16" w:rsidP="005E378D">
            <w:pPr>
              <w:jc w:val="both"/>
              <w:rPr>
                <w:rFonts w:ascii="Times New Roman" w:hAnsi="Times New Roman"/>
                <w:sz w:val="20"/>
              </w:rPr>
            </w:pPr>
            <w:r w:rsidRPr="00F97495">
              <w:rPr>
                <w:rFonts w:ascii="Times New Roman" w:hAnsi="Times New Roman"/>
                <w:sz w:val="20"/>
              </w:rPr>
              <w:t>co 1 km</w:t>
            </w:r>
          </w:p>
        </w:tc>
        <w:tc>
          <w:tcPr>
            <w:tcW w:w="1559" w:type="dxa"/>
          </w:tcPr>
          <w:p w:rsidR="00752889" w:rsidRPr="00F97495" w:rsidRDefault="009D2E16" w:rsidP="005E378D">
            <w:pPr>
              <w:jc w:val="both"/>
              <w:rPr>
                <w:rFonts w:ascii="Times New Roman" w:hAnsi="Times New Roman"/>
                <w:sz w:val="20"/>
              </w:rPr>
            </w:pPr>
            <w:r w:rsidRPr="00F97495">
              <w:rPr>
                <w:rFonts w:ascii="Times New Roman" w:hAnsi="Times New Roman"/>
                <w:sz w:val="20"/>
              </w:rPr>
              <w:t>11</w:t>
            </w:r>
          </w:p>
        </w:tc>
      </w:tr>
      <w:tr w:rsidR="00752889" w:rsidRPr="00F97495">
        <w:tc>
          <w:tcPr>
            <w:tcW w:w="567" w:type="dxa"/>
          </w:tcPr>
          <w:p w:rsidR="00752889" w:rsidRPr="00F97495" w:rsidRDefault="009D2E16" w:rsidP="005E378D">
            <w:pPr>
              <w:jc w:val="both"/>
              <w:rPr>
                <w:rFonts w:ascii="Times New Roman" w:hAnsi="Times New Roman"/>
                <w:sz w:val="20"/>
              </w:rPr>
            </w:pPr>
            <w:r w:rsidRPr="00F97495">
              <w:rPr>
                <w:rFonts w:ascii="Times New Roman" w:hAnsi="Times New Roman"/>
                <w:sz w:val="20"/>
              </w:rPr>
              <w:t>3</w:t>
            </w:r>
          </w:p>
        </w:tc>
        <w:tc>
          <w:tcPr>
            <w:tcW w:w="1995" w:type="dxa"/>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od 10 do 20 </w:t>
            </w:r>
          </w:p>
        </w:tc>
        <w:tc>
          <w:tcPr>
            <w:tcW w:w="2126" w:type="dxa"/>
          </w:tcPr>
          <w:p w:rsidR="00752889" w:rsidRPr="00F97495" w:rsidRDefault="009D2E16" w:rsidP="005E378D">
            <w:pPr>
              <w:jc w:val="both"/>
              <w:rPr>
                <w:rFonts w:ascii="Times New Roman" w:hAnsi="Times New Roman"/>
                <w:sz w:val="20"/>
              </w:rPr>
            </w:pPr>
            <w:r w:rsidRPr="00F97495">
              <w:rPr>
                <w:rFonts w:ascii="Times New Roman" w:hAnsi="Times New Roman"/>
                <w:sz w:val="20"/>
              </w:rPr>
              <w:t>co 2 km</w:t>
            </w:r>
          </w:p>
        </w:tc>
        <w:tc>
          <w:tcPr>
            <w:tcW w:w="1559" w:type="dxa"/>
          </w:tcPr>
          <w:p w:rsidR="00752889" w:rsidRPr="00F97495" w:rsidRDefault="009D2E16" w:rsidP="005E378D">
            <w:pPr>
              <w:jc w:val="both"/>
              <w:rPr>
                <w:rFonts w:ascii="Times New Roman" w:hAnsi="Times New Roman"/>
                <w:sz w:val="20"/>
              </w:rPr>
            </w:pPr>
            <w:r w:rsidRPr="00F97495">
              <w:rPr>
                <w:rFonts w:ascii="Times New Roman" w:hAnsi="Times New Roman"/>
                <w:sz w:val="20"/>
              </w:rPr>
              <w:t>11</w:t>
            </w:r>
          </w:p>
        </w:tc>
      </w:tr>
      <w:tr w:rsidR="00752889" w:rsidRPr="00F97495">
        <w:tc>
          <w:tcPr>
            <w:tcW w:w="567" w:type="dxa"/>
          </w:tcPr>
          <w:p w:rsidR="00752889" w:rsidRPr="00F97495" w:rsidRDefault="009D2E16" w:rsidP="005E378D">
            <w:pPr>
              <w:jc w:val="both"/>
              <w:rPr>
                <w:rFonts w:ascii="Times New Roman" w:hAnsi="Times New Roman"/>
                <w:sz w:val="20"/>
              </w:rPr>
            </w:pPr>
            <w:r w:rsidRPr="00F97495">
              <w:rPr>
                <w:rFonts w:ascii="Times New Roman" w:hAnsi="Times New Roman"/>
                <w:sz w:val="20"/>
              </w:rPr>
              <w:t>4</w:t>
            </w:r>
          </w:p>
        </w:tc>
        <w:tc>
          <w:tcPr>
            <w:tcW w:w="1995" w:type="dxa"/>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od 20 do 30    </w:t>
            </w:r>
          </w:p>
        </w:tc>
        <w:tc>
          <w:tcPr>
            <w:tcW w:w="2126" w:type="dxa"/>
          </w:tcPr>
          <w:p w:rsidR="00752889" w:rsidRPr="00F97495" w:rsidRDefault="009D2E16" w:rsidP="005E378D">
            <w:pPr>
              <w:jc w:val="both"/>
              <w:rPr>
                <w:rFonts w:ascii="Times New Roman" w:hAnsi="Times New Roman"/>
                <w:sz w:val="20"/>
              </w:rPr>
            </w:pPr>
            <w:r w:rsidRPr="00F97495">
              <w:rPr>
                <w:rFonts w:ascii="Times New Roman" w:hAnsi="Times New Roman"/>
                <w:sz w:val="20"/>
              </w:rPr>
              <w:t>co 3 km</w:t>
            </w:r>
          </w:p>
        </w:tc>
        <w:tc>
          <w:tcPr>
            <w:tcW w:w="1559" w:type="dxa"/>
          </w:tcPr>
          <w:p w:rsidR="00752889" w:rsidRPr="00F97495" w:rsidRDefault="009D2E16" w:rsidP="005E378D">
            <w:pPr>
              <w:jc w:val="both"/>
              <w:rPr>
                <w:rFonts w:ascii="Times New Roman" w:hAnsi="Times New Roman"/>
                <w:sz w:val="20"/>
              </w:rPr>
            </w:pPr>
            <w:r w:rsidRPr="00F97495">
              <w:rPr>
                <w:rFonts w:ascii="Times New Roman" w:hAnsi="Times New Roman"/>
                <w:sz w:val="20"/>
              </w:rPr>
              <w:t>11</w:t>
            </w:r>
          </w:p>
        </w:tc>
      </w:tr>
      <w:tr w:rsidR="00752889" w:rsidRPr="00F97495">
        <w:tc>
          <w:tcPr>
            <w:tcW w:w="567" w:type="dxa"/>
          </w:tcPr>
          <w:p w:rsidR="00752889" w:rsidRPr="00F97495" w:rsidRDefault="009D2E16" w:rsidP="005E378D">
            <w:pPr>
              <w:jc w:val="both"/>
              <w:rPr>
                <w:rFonts w:ascii="Times New Roman" w:hAnsi="Times New Roman"/>
                <w:sz w:val="20"/>
              </w:rPr>
            </w:pPr>
            <w:r w:rsidRPr="00F97495">
              <w:rPr>
                <w:rFonts w:ascii="Times New Roman" w:hAnsi="Times New Roman"/>
                <w:sz w:val="20"/>
              </w:rPr>
              <w:t>5</w:t>
            </w:r>
          </w:p>
        </w:tc>
        <w:tc>
          <w:tcPr>
            <w:tcW w:w="1995" w:type="dxa"/>
          </w:tcPr>
          <w:p w:rsidR="00752889" w:rsidRPr="00F97495" w:rsidRDefault="009D2E16" w:rsidP="005E378D">
            <w:pPr>
              <w:jc w:val="both"/>
              <w:rPr>
                <w:rFonts w:ascii="Times New Roman" w:hAnsi="Times New Roman"/>
                <w:sz w:val="20"/>
              </w:rPr>
            </w:pPr>
            <w:r w:rsidRPr="00F97495">
              <w:rPr>
                <w:rFonts w:ascii="Times New Roman" w:hAnsi="Times New Roman"/>
                <w:sz w:val="20"/>
              </w:rPr>
              <w:t>powyżej 30</w:t>
            </w:r>
          </w:p>
        </w:tc>
        <w:tc>
          <w:tcPr>
            <w:tcW w:w="2126" w:type="dxa"/>
          </w:tcPr>
          <w:p w:rsidR="00752889" w:rsidRPr="00F97495" w:rsidRDefault="009D2E16" w:rsidP="005E378D">
            <w:pPr>
              <w:jc w:val="both"/>
              <w:rPr>
                <w:rFonts w:ascii="Times New Roman" w:hAnsi="Times New Roman"/>
                <w:sz w:val="20"/>
              </w:rPr>
            </w:pPr>
            <w:r w:rsidRPr="00F97495">
              <w:rPr>
                <w:rFonts w:ascii="Times New Roman" w:hAnsi="Times New Roman"/>
                <w:sz w:val="20"/>
              </w:rPr>
              <w:t>co 4 km</w:t>
            </w:r>
          </w:p>
        </w:tc>
        <w:tc>
          <w:tcPr>
            <w:tcW w:w="1559" w:type="dxa"/>
          </w:tcPr>
          <w:p w:rsidR="00752889" w:rsidRPr="00F97495" w:rsidRDefault="009D2E16" w:rsidP="005E378D">
            <w:pPr>
              <w:jc w:val="both"/>
              <w:rPr>
                <w:rFonts w:ascii="Times New Roman" w:hAnsi="Times New Roman"/>
                <w:sz w:val="20"/>
              </w:rPr>
            </w:pPr>
            <w:r w:rsidRPr="00F97495">
              <w:rPr>
                <w:rFonts w:ascii="Times New Roman" w:hAnsi="Times New Roman"/>
                <w:sz w:val="20"/>
              </w:rPr>
              <w:t>&gt; 11</w:t>
            </w:r>
          </w:p>
        </w:tc>
      </w:tr>
    </w:tbl>
    <w:p w:rsidR="00752889" w:rsidRPr="00F97495" w:rsidRDefault="00752889" w:rsidP="005E378D">
      <w:pPr>
        <w:jc w:val="both"/>
        <w:rPr>
          <w:rFonts w:ascii="Times New Roman" w:hAnsi="Times New Roman"/>
          <w:sz w:val="10"/>
          <w:szCs w:val="10"/>
        </w:rPr>
      </w:pPr>
    </w:p>
    <w:p w:rsidR="00752889" w:rsidRPr="00F97495" w:rsidRDefault="009D2E16" w:rsidP="005E378D">
      <w:pPr>
        <w:jc w:val="both"/>
        <w:rPr>
          <w:rFonts w:ascii="Times New Roman" w:hAnsi="Times New Roman"/>
          <w:sz w:val="20"/>
        </w:rPr>
      </w:pPr>
      <w:r w:rsidRPr="00F97495">
        <w:rPr>
          <w:rFonts w:ascii="Times New Roman" w:hAnsi="Times New Roman"/>
          <w:sz w:val="20"/>
        </w:rPr>
        <w:t>Wartość wskaźnika szorstkości zaleca się oznaczyć w 2 – 4 punktach oznakowania odcinka.</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6.3.3.</w:t>
      </w:r>
      <w:r w:rsidRPr="00F97495">
        <w:rPr>
          <w:rFonts w:ascii="Times New Roman" w:hAnsi="Times New Roman"/>
          <w:spacing w:val="-3"/>
          <w:sz w:val="20"/>
        </w:rPr>
        <w:t xml:space="preserve"> Wymagania dla wykonanego oznakowania</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6.3.3.1.</w:t>
      </w:r>
      <w:r w:rsidRPr="00F97495">
        <w:rPr>
          <w:rFonts w:ascii="Times New Roman" w:hAnsi="Times New Roman"/>
          <w:spacing w:val="-3"/>
          <w:sz w:val="20"/>
        </w:rPr>
        <w:t xml:space="preserve"> Widzialność w dzień</w:t>
      </w:r>
    </w:p>
    <w:p w:rsidR="00752889" w:rsidRPr="00F97495" w:rsidRDefault="009D2E16" w:rsidP="005E378D">
      <w:pPr>
        <w:jc w:val="both"/>
        <w:rPr>
          <w:rFonts w:ascii="Times New Roman" w:hAnsi="Times New Roman"/>
          <w:sz w:val="20"/>
        </w:rPr>
      </w:pPr>
      <w:r w:rsidRPr="00F97495">
        <w:rPr>
          <w:rFonts w:ascii="Times New Roman" w:hAnsi="Times New Roman"/>
          <w:sz w:val="20"/>
        </w:rPr>
        <w:t>Widzialność oznakowania w dzień jest określona współczynnikiem luminancji b i barwą oznakowania wyrażoną współrzędnymi chromatyczności.</w:t>
      </w:r>
    </w:p>
    <w:p w:rsidR="00752889" w:rsidRPr="00F97495" w:rsidRDefault="009D2E16" w:rsidP="005E378D">
      <w:pPr>
        <w:jc w:val="both"/>
        <w:rPr>
          <w:rFonts w:ascii="Times New Roman" w:hAnsi="Times New Roman"/>
          <w:sz w:val="20"/>
        </w:rPr>
      </w:pPr>
      <w:r w:rsidRPr="00F97495">
        <w:rPr>
          <w:rFonts w:ascii="Times New Roman" w:hAnsi="Times New Roman"/>
          <w:sz w:val="20"/>
        </w:rPr>
        <w:t>Barwa oznakowania powinna być określona wg PN-EN 1436 przez współrzędne chromatyczności x i y, które dla suchego oznakowania powinny leżeć w obszarze zdefiniowanym przez cztery punkty narożne podane w tablicy 2 i rysunku nr 1 w normie PN-EN 1436.</w:t>
      </w:r>
    </w:p>
    <w:p w:rsidR="00752889" w:rsidRPr="00F97495" w:rsidRDefault="00752889" w:rsidP="005E378D">
      <w:pPr>
        <w:jc w:val="both"/>
        <w:rPr>
          <w:rFonts w:ascii="Times New Roman" w:hAnsi="Times New Roman"/>
          <w:b/>
          <w:spacing w:val="-3"/>
          <w:sz w:val="10"/>
          <w:szCs w:val="10"/>
        </w:rPr>
      </w:pP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Tablica 2. Punkty narożne obszarów chromatyczności </w:t>
      </w:r>
      <w:proofErr w:type="spellStart"/>
      <w:r w:rsidRPr="00F97495">
        <w:rPr>
          <w:rFonts w:ascii="Times New Roman" w:hAnsi="Times New Roman"/>
          <w:sz w:val="20"/>
        </w:rPr>
        <w:t>oznakowań</w:t>
      </w:r>
      <w:proofErr w:type="spellEnd"/>
      <w:r w:rsidRPr="00F97495">
        <w:rPr>
          <w:rFonts w:ascii="Times New Roman" w:hAnsi="Times New Roman"/>
          <w:sz w:val="20"/>
        </w:rPr>
        <w:t xml:space="preserve"> dróg</w:t>
      </w:r>
    </w:p>
    <w:tbl>
      <w:tblPr>
        <w:tblW w:w="8143" w:type="dxa"/>
        <w:tblCellMar>
          <w:left w:w="157" w:type="dxa"/>
          <w:right w:w="157" w:type="dxa"/>
        </w:tblCellMar>
        <w:tblLook w:val="04A0" w:firstRow="1" w:lastRow="0" w:firstColumn="1" w:lastColumn="0" w:noHBand="0" w:noVBand="1"/>
      </w:tblPr>
      <w:tblGrid>
        <w:gridCol w:w="3134"/>
        <w:gridCol w:w="567"/>
        <w:gridCol w:w="1110"/>
        <w:gridCol w:w="1111"/>
        <w:gridCol w:w="1110"/>
        <w:gridCol w:w="1111"/>
      </w:tblGrid>
      <w:tr w:rsidR="00752889" w:rsidRPr="00F97495">
        <w:trPr>
          <w:trHeight w:val="398"/>
        </w:trPr>
        <w:tc>
          <w:tcPr>
            <w:tcW w:w="3701" w:type="dxa"/>
            <w:gridSpan w:val="2"/>
            <w:tcBorders>
              <w:top w:val="single" w:sz="6" w:space="0" w:color="auto"/>
              <w:left w:val="single" w:sz="6" w:space="0" w:color="auto"/>
              <w:bottom w:val="double" w:sz="4" w:space="0" w:color="auto"/>
              <w:right w:val="nil"/>
            </w:tcBorders>
            <w:noWrap/>
            <w:hideMark/>
          </w:tcPr>
          <w:p w:rsidR="00752889" w:rsidRPr="00F97495" w:rsidRDefault="009D2E16" w:rsidP="005E378D">
            <w:pPr>
              <w:jc w:val="both"/>
              <w:rPr>
                <w:rFonts w:ascii="Times New Roman" w:hAnsi="Times New Roman"/>
                <w:bCs/>
                <w:spacing w:val="-3"/>
                <w:sz w:val="20"/>
              </w:rPr>
            </w:pPr>
            <w:r w:rsidRPr="00F97495">
              <w:rPr>
                <w:rFonts w:ascii="Times New Roman" w:hAnsi="Times New Roman"/>
                <w:bCs/>
                <w:spacing w:val="-3"/>
                <w:sz w:val="20"/>
              </w:rPr>
              <w:t>Punkt narożny nr</w:t>
            </w:r>
          </w:p>
        </w:tc>
        <w:tc>
          <w:tcPr>
            <w:tcW w:w="1110" w:type="dxa"/>
            <w:tcBorders>
              <w:top w:val="single" w:sz="6" w:space="0" w:color="auto"/>
              <w:left w:val="single" w:sz="6" w:space="0" w:color="auto"/>
              <w:bottom w:val="double" w:sz="4" w:space="0" w:color="auto"/>
              <w:right w:val="nil"/>
            </w:tcBorders>
            <w:noWrap/>
            <w:hideMark/>
          </w:tcPr>
          <w:p w:rsidR="00752889" w:rsidRPr="00F97495" w:rsidRDefault="009D2E16" w:rsidP="005E378D">
            <w:pPr>
              <w:jc w:val="both"/>
              <w:rPr>
                <w:rFonts w:ascii="Times New Roman" w:hAnsi="Times New Roman"/>
                <w:bCs/>
                <w:spacing w:val="-3"/>
                <w:sz w:val="20"/>
              </w:rPr>
            </w:pPr>
            <w:r w:rsidRPr="00F97495">
              <w:rPr>
                <w:rFonts w:ascii="Times New Roman" w:hAnsi="Times New Roman"/>
                <w:bCs/>
                <w:spacing w:val="-3"/>
                <w:sz w:val="20"/>
              </w:rPr>
              <w:t>1</w:t>
            </w:r>
          </w:p>
        </w:tc>
        <w:tc>
          <w:tcPr>
            <w:tcW w:w="1111" w:type="dxa"/>
            <w:tcBorders>
              <w:top w:val="single" w:sz="6" w:space="0" w:color="auto"/>
              <w:left w:val="single" w:sz="6" w:space="0" w:color="auto"/>
              <w:bottom w:val="double" w:sz="4" w:space="0" w:color="auto"/>
              <w:right w:val="nil"/>
            </w:tcBorders>
            <w:noWrap/>
            <w:hideMark/>
          </w:tcPr>
          <w:p w:rsidR="00752889" w:rsidRPr="00F97495" w:rsidRDefault="009D2E16" w:rsidP="005E378D">
            <w:pPr>
              <w:jc w:val="both"/>
              <w:rPr>
                <w:rFonts w:ascii="Times New Roman" w:hAnsi="Times New Roman"/>
                <w:bCs/>
                <w:spacing w:val="-3"/>
                <w:sz w:val="20"/>
              </w:rPr>
            </w:pPr>
            <w:r w:rsidRPr="00F97495">
              <w:rPr>
                <w:rFonts w:ascii="Times New Roman" w:hAnsi="Times New Roman"/>
                <w:bCs/>
                <w:spacing w:val="-3"/>
                <w:sz w:val="20"/>
              </w:rPr>
              <w:t>2</w:t>
            </w:r>
          </w:p>
        </w:tc>
        <w:tc>
          <w:tcPr>
            <w:tcW w:w="1110" w:type="dxa"/>
            <w:tcBorders>
              <w:top w:val="single" w:sz="6" w:space="0" w:color="auto"/>
              <w:left w:val="single" w:sz="6" w:space="0" w:color="auto"/>
              <w:bottom w:val="double" w:sz="4" w:space="0" w:color="auto"/>
              <w:right w:val="nil"/>
            </w:tcBorders>
            <w:noWrap/>
            <w:hideMark/>
          </w:tcPr>
          <w:p w:rsidR="00752889" w:rsidRPr="00F97495" w:rsidRDefault="009D2E16" w:rsidP="005E378D">
            <w:pPr>
              <w:jc w:val="both"/>
              <w:rPr>
                <w:rFonts w:ascii="Times New Roman" w:hAnsi="Times New Roman"/>
                <w:bCs/>
                <w:spacing w:val="-3"/>
                <w:sz w:val="20"/>
              </w:rPr>
            </w:pPr>
            <w:r w:rsidRPr="00F97495">
              <w:rPr>
                <w:rFonts w:ascii="Times New Roman" w:hAnsi="Times New Roman"/>
                <w:bCs/>
                <w:spacing w:val="-3"/>
                <w:sz w:val="20"/>
              </w:rPr>
              <w:t>3</w:t>
            </w:r>
          </w:p>
        </w:tc>
        <w:tc>
          <w:tcPr>
            <w:tcW w:w="1111"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bCs/>
                <w:spacing w:val="-3"/>
                <w:sz w:val="20"/>
              </w:rPr>
            </w:pPr>
            <w:r w:rsidRPr="00F97495">
              <w:rPr>
                <w:rFonts w:ascii="Times New Roman" w:hAnsi="Times New Roman"/>
                <w:bCs/>
                <w:spacing w:val="-3"/>
                <w:sz w:val="20"/>
              </w:rPr>
              <w:t>4</w:t>
            </w:r>
          </w:p>
        </w:tc>
      </w:tr>
      <w:tr w:rsidR="00752889" w:rsidRPr="00F97495">
        <w:tc>
          <w:tcPr>
            <w:tcW w:w="3134" w:type="dxa"/>
            <w:tcBorders>
              <w:top w:val="double" w:sz="4"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Oznakowanie białe</w:t>
            </w:r>
          </w:p>
        </w:tc>
        <w:tc>
          <w:tcPr>
            <w:tcW w:w="567" w:type="dxa"/>
            <w:tcBorders>
              <w:top w:val="double" w:sz="4"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x</w:t>
            </w:r>
          </w:p>
        </w:tc>
        <w:tc>
          <w:tcPr>
            <w:tcW w:w="1110" w:type="dxa"/>
            <w:tcBorders>
              <w:top w:val="double" w:sz="4"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0,355</w:t>
            </w:r>
          </w:p>
        </w:tc>
        <w:tc>
          <w:tcPr>
            <w:tcW w:w="1111" w:type="dxa"/>
            <w:tcBorders>
              <w:top w:val="double" w:sz="4"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0,305</w:t>
            </w:r>
          </w:p>
        </w:tc>
        <w:tc>
          <w:tcPr>
            <w:tcW w:w="1110" w:type="dxa"/>
            <w:tcBorders>
              <w:top w:val="double" w:sz="4"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0,285</w:t>
            </w:r>
          </w:p>
        </w:tc>
        <w:tc>
          <w:tcPr>
            <w:tcW w:w="1111" w:type="dxa"/>
            <w:tcBorders>
              <w:top w:val="double" w:sz="4" w:space="0" w:color="auto"/>
              <w:left w:val="single" w:sz="6" w:space="0" w:color="auto"/>
              <w:bottom w:val="nil"/>
              <w:right w:val="single" w:sz="6" w:space="0" w:color="auto"/>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0,335</w:t>
            </w:r>
          </w:p>
        </w:tc>
      </w:tr>
      <w:tr w:rsidR="00752889" w:rsidRPr="00F97495">
        <w:tc>
          <w:tcPr>
            <w:tcW w:w="3134" w:type="dxa"/>
            <w:tcBorders>
              <w:top w:val="nil"/>
              <w:left w:val="single" w:sz="6" w:space="0" w:color="auto"/>
              <w:bottom w:val="nil"/>
              <w:right w:val="nil"/>
            </w:tcBorders>
            <w:noWrap/>
          </w:tcPr>
          <w:p w:rsidR="00752889" w:rsidRPr="00F97495" w:rsidRDefault="00752889" w:rsidP="005E378D">
            <w:pPr>
              <w:jc w:val="both"/>
              <w:rPr>
                <w:rFonts w:ascii="Times New Roman" w:hAnsi="Times New Roman"/>
                <w:spacing w:val="-3"/>
                <w:sz w:val="20"/>
              </w:rPr>
            </w:pPr>
          </w:p>
        </w:tc>
        <w:tc>
          <w:tcPr>
            <w:tcW w:w="567"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y</w:t>
            </w:r>
          </w:p>
        </w:tc>
        <w:tc>
          <w:tcPr>
            <w:tcW w:w="1110"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0,355</w:t>
            </w:r>
          </w:p>
        </w:tc>
        <w:tc>
          <w:tcPr>
            <w:tcW w:w="1111"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0,305</w:t>
            </w:r>
          </w:p>
        </w:tc>
        <w:tc>
          <w:tcPr>
            <w:tcW w:w="1110"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0,325</w:t>
            </w:r>
          </w:p>
        </w:tc>
        <w:tc>
          <w:tcPr>
            <w:tcW w:w="1111" w:type="dxa"/>
            <w:tcBorders>
              <w:top w:val="single" w:sz="6" w:space="0" w:color="auto"/>
              <w:left w:val="single" w:sz="6" w:space="0" w:color="auto"/>
              <w:bottom w:val="nil"/>
              <w:right w:val="single" w:sz="6" w:space="0" w:color="auto"/>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0,375</w:t>
            </w:r>
          </w:p>
        </w:tc>
      </w:tr>
      <w:tr w:rsidR="00752889" w:rsidRPr="00F97495">
        <w:tc>
          <w:tcPr>
            <w:tcW w:w="3134"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Oznakowanie żółte klasa Y1</w:t>
            </w:r>
          </w:p>
        </w:tc>
        <w:tc>
          <w:tcPr>
            <w:tcW w:w="567"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x</w:t>
            </w:r>
          </w:p>
        </w:tc>
        <w:tc>
          <w:tcPr>
            <w:tcW w:w="1110"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0,443</w:t>
            </w:r>
          </w:p>
        </w:tc>
        <w:tc>
          <w:tcPr>
            <w:tcW w:w="1111"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0,545</w:t>
            </w:r>
          </w:p>
        </w:tc>
        <w:tc>
          <w:tcPr>
            <w:tcW w:w="1110"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0,465</w:t>
            </w:r>
          </w:p>
        </w:tc>
        <w:tc>
          <w:tcPr>
            <w:tcW w:w="1111" w:type="dxa"/>
            <w:tcBorders>
              <w:top w:val="single" w:sz="6" w:space="0" w:color="auto"/>
              <w:left w:val="single" w:sz="6" w:space="0" w:color="auto"/>
              <w:bottom w:val="nil"/>
              <w:right w:val="single" w:sz="6" w:space="0" w:color="auto"/>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0,389</w:t>
            </w:r>
          </w:p>
        </w:tc>
      </w:tr>
      <w:tr w:rsidR="00752889" w:rsidRPr="00F97495">
        <w:tc>
          <w:tcPr>
            <w:tcW w:w="3134" w:type="dxa"/>
            <w:tcBorders>
              <w:top w:val="nil"/>
              <w:left w:val="single" w:sz="6" w:space="0" w:color="auto"/>
              <w:bottom w:val="single" w:sz="6" w:space="0" w:color="auto"/>
              <w:right w:val="nil"/>
            </w:tcBorders>
            <w:noWrap/>
          </w:tcPr>
          <w:p w:rsidR="00752889" w:rsidRPr="00F97495" w:rsidRDefault="00752889" w:rsidP="005E378D">
            <w:pPr>
              <w:jc w:val="both"/>
              <w:rPr>
                <w:rFonts w:ascii="Times New Roman" w:hAnsi="Times New Roman"/>
                <w:spacing w:val="-3"/>
                <w:sz w:val="20"/>
              </w:rPr>
            </w:pPr>
          </w:p>
        </w:tc>
        <w:tc>
          <w:tcPr>
            <w:tcW w:w="567" w:type="dxa"/>
            <w:tcBorders>
              <w:top w:val="single" w:sz="6"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y</w:t>
            </w:r>
          </w:p>
        </w:tc>
        <w:tc>
          <w:tcPr>
            <w:tcW w:w="1110" w:type="dxa"/>
            <w:tcBorders>
              <w:top w:val="single" w:sz="6"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0,399</w:t>
            </w:r>
          </w:p>
        </w:tc>
        <w:tc>
          <w:tcPr>
            <w:tcW w:w="1111" w:type="dxa"/>
            <w:tcBorders>
              <w:top w:val="single" w:sz="6"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0,455</w:t>
            </w:r>
          </w:p>
        </w:tc>
        <w:tc>
          <w:tcPr>
            <w:tcW w:w="1110" w:type="dxa"/>
            <w:tcBorders>
              <w:top w:val="single" w:sz="6"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0,535</w:t>
            </w:r>
          </w:p>
        </w:tc>
        <w:tc>
          <w:tcPr>
            <w:tcW w:w="1111"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0,431</w:t>
            </w:r>
          </w:p>
        </w:tc>
      </w:tr>
      <w:tr w:rsidR="00752889" w:rsidRPr="00F97495">
        <w:tc>
          <w:tcPr>
            <w:tcW w:w="3134" w:type="dxa"/>
            <w:tcBorders>
              <w:top w:val="single" w:sz="6" w:space="0" w:color="auto"/>
              <w:left w:val="single" w:sz="6" w:space="0" w:color="auto"/>
              <w:bottom w:val="nil"/>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Oznakowanie żółte klasa Y2</w:t>
            </w:r>
          </w:p>
        </w:tc>
        <w:tc>
          <w:tcPr>
            <w:tcW w:w="567" w:type="dxa"/>
            <w:tcBorders>
              <w:top w:val="single" w:sz="6" w:space="0" w:color="auto"/>
              <w:left w:val="single" w:sz="6" w:space="0" w:color="auto"/>
              <w:bottom w:val="single" w:sz="4"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x</w:t>
            </w:r>
          </w:p>
        </w:tc>
        <w:tc>
          <w:tcPr>
            <w:tcW w:w="1110" w:type="dxa"/>
            <w:tcBorders>
              <w:top w:val="single" w:sz="6" w:space="0" w:color="auto"/>
              <w:left w:val="single" w:sz="6" w:space="0" w:color="auto"/>
              <w:bottom w:val="single" w:sz="4"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0,494</w:t>
            </w:r>
          </w:p>
        </w:tc>
        <w:tc>
          <w:tcPr>
            <w:tcW w:w="1111" w:type="dxa"/>
            <w:tcBorders>
              <w:top w:val="single" w:sz="6" w:space="0" w:color="auto"/>
              <w:left w:val="single" w:sz="6" w:space="0" w:color="auto"/>
              <w:bottom w:val="single" w:sz="4"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0,545</w:t>
            </w:r>
          </w:p>
        </w:tc>
        <w:tc>
          <w:tcPr>
            <w:tcW w:w="1110" w:type="dxa"/>
            <w:tcBorders>
              <w:top w:val="single" w:sz="6" w:space="0" w:color="auto"/>
              <w:left w:val="single" w:sz="6" w:space="0" w:color="auto"/>
              <w:bottom w:val="single" w:sz="4"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0,465</w:t>
            </w:r>
          </w:p>
        </w:tc>
        <w:tc>
          <w:tcPr>
            <w:tcW w:w="1111"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0,427</w:t>
            </w:r>
          </w:p>
        </w:tc>
      </w:tr>
      <w:tr w:rsidR="00752889" w:rsidRPr="00F97495">
        <w:tc>
          <w:tcPr>
            <w:tcW w:w="3134" w:type="dxa"/>
            <w:tcBorders>
              <w:top w:val="nil"/>
              <w:left w:val="single" w:sz="6" w:space="0" w:color="auto"/>
              <w:bottom w:val="single" w:sz="6" w:space="0" w:color="auto"/>
              <w:right w:val="nil"/>
            </w:tcBorders>
            <w:noWrap/>
          </w:tcPr>
          <w:p w:rsidR="00752889" w:rsidRPr="00F97495" w:rsidRDefault="00752889" w:rsidP="005E378D">
            <w:pPr>
              <w:jc w:val="both"/>
              <w:rPr>
                <w:rFonts w:ascii="Times New Roman" w:hAnsi="Times New Roman"/>
                <w:spacing w:val="-3"/>
                <w:sz w:val="20"/>
              </w:rPr>
            </w:pPr>
          </w:p>
        </w:tc>
        <w:tc>
          <w:tcPr>
            <w:tcW w:w="567" w:type="dxa"/>
            <w:tcBorders>
              <w:top w:val="single" w:sz="4"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y</w:t>
            </w:r>
          </w:p>
        </w:tc>
        <w:tc>
          <w:tcPr>
            <w:tcW w:w="1110" w:type="dxa"/>
            <w:tcBorders>
              <w:top w:val="single" w:sz="4"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0,427</w:t>
            </w:r>
          </w:p>
        </w:tc>
        <w:tc>
          <w:tcPr>
            <w:tcW w:w="1111" w:type="dxa"/>
            <w:tcBorders>
              <w:top w:val="single" w:sz="4"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0,455</w:t>
            </w:r>
          </w:p>
        </w:tc>
        <w:tc>
          <w:tcPr>
            <w:tcW w:w="1110" w:type="dxa"/>
            <w:tcBorders>
              <w:top w:val="single" w:sz="4" w:space="0" w:color="auto"/>
              <w:left w:val="single" w:sz="6" w:space="0" w:color="auto"/>
              <w:bottom w:val="single" w:sz="6" w:space="0" w:color="auto"/>
              <w:right w:val="nil"/>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0,535</w:t>
            </w:r>
          </w:p>
        </w:tc>
        <w:tc>
          <w:tcPr>
            <w:tcW w:w="1111"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pacing w:val="-3"/>
                <w:sz w:val="20"/>
              </w:rPr>
            </w:pPr>
            <w:r w:rsidRPr="00F97495">
              <w:rPr>
                <w:rFonts w:ascii="Times New Roman" w:hAnsi="Times New Roman"/>
                <w:sz w:val="20"/>
                <w:lang w:val="en-US"/>
              </w:rPr>
              <w:t>0,483</w:t>
            </w:r>
          </w:p>
        </w:tc>
      </w:tr>
    </w:tbl>
    <w:p w:rsidR="00752889" w:rsidRPr="00F97495" w:rsidRDefault="00752889" w:rsidP="005E378D">
      <w:pPr>
        <w:jc w:val="both"/>
        <w:rPr>
          <w:rFonts w:ascii="Times New Roman" w:hAnsi="Times New Roman"/>
          <w:noProof/>
          <w:sz w:val="10"/>
          <w:szCs w:val="10"/>
        </w:rPr>
      </w:pP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Pomiar współczynnika luminancji b może być zastąpiony pomiarem współczynnika luminancji w świetle rozproszonym Qd, wg PN-EN 1436 (z pózniejszymi zmianami).</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Wymagania dla widzialności w dzień podano w tablicy 1 .</w:t>
      </w:r>
    </w:p>
    <w:p w:rsidR="00752889" w:rsidRPr="00F97495" w:rsidRDefault="009D2E16" w:rsidP="005E378D">
      <w:pPr>
        <w:jc w:val="both"/>
        <w:rPr>
          <w:rFonts w:ascii="Times New Roman" w:hAnsi="Times New Roman"/>
          <w:sz w:val="20"/>
        </w:rPr>
      </w:pPr>
      <w:r w:rsidRPr="00F97495">
        <w:rPr>
          <w:rFonts w:ascii="Times New Roman" w:hAnsi="Times New Roman"/>
          <w:sz w:val="20"/>
        </w:rPr>
        <w:t>Oznakowanie poziome winno spełniać wymagania Dz.U.nr 220 poz. 2181 załącznik nr.2 na sucho, jak i wymagania określone na mokro w PN EN 1436 dla danej klasy oznakowania poziomego. Pomiar oznakowania poziomego wykonywany jest niezależnie od metody pomiaru ( pomiar urządzeniem punktowym lub pomiar dynamiczny)  zgodnie z kierunkiem ruchu .</w:t>
      </w:r>
    </w:p>
    <w:p w:rsidR="00752889" w:rsidRPr="00F97495" w:rsidRDefault="009D2E16" w:rsidP="005E378D">
      <w:pPr>
        <w:jc w:val="both"/>
        <w:rPr>
          <w:rFonts w:ascii="Times New Roman" w:hAnsi="Times New Roman"/>
          <w:noProof/>
          <w:sz w:val="20"/>
        </w:rPr>
      </w:pPr>
      <w:r w:rsidRPr="00F97495">
        <w:rPr>
          <w:rFonts w:ascii="Times New Roman" w:hAnsi="Times New Roman"/>
          <w:b/>
          <w:noProof/>
          <w:sz w:val="20"/>
        </w:rPr>
        <w:t xml:space="preserve">6.3.3.2. </w:t>
      </w:r>
      <w:r w:rsidRPr="00F97495">
        <w:rPr>
          <w:rFonts w:ascii="Times New Roman" w:hAnsi="Times New Roman"/>
          <w:noProof/>
          <w:sz w:val="20"/>
        </w:rPr>
        <w:t>Widzialność w nocy</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lastRenderedPageBreak/>
        <w:t>Za miarę widzialności w nocy przyjęto powierzchniowy współczynnik odblasku RL, określany według PN-EN 1436 z uwzględnieniem podziału na klasy PN-EN 1436:2008.</w:t>
      </w:r>
    </w:p>
    <w:p w:rsidR="00752889" w:rsidRPr="00F97495" w:rsidRDefault="009D2E16" w:rsidP="005E378D">
      <w:pPr>
        <w:jc w:val="both"/>
        <w:rPr>
          <w:rFonts w:ascii="Times New Roman" w:hAnsi="Times New Roman"/>
          <w:strike/>
          <w:noProof/>
          <w:sz w:val="20"/>
        </w:rPr>
      </w:pPr>
      <w:r w:rsidRPr="00F97495">
        <w:rPr>
          <w:rFonts w:ascii="Times New Roman" w:hAnsi="Times New Roman"/>
          <w:noProof/>
          <w:sz w:val="20"/>
        </w:rPr>
        <w:t>Wymagania dla widzialności w nocy podano w tablicy 3.</w:t>
      </w:r>
    </w:p>
    <w:p w:rsidR="00752889" w:rsidRPr="00F97495" w:rsidRDefault="009D2E16" w:rsidP="005E378D">
      <w:pPr>
        <w:jc w:val="both"/>
        <w:rPr>
          <w:rFonts w:ascii="Times New Roman" w:hAnsi="Times New Roman"/>
          <w:sz w:val="20"/>
        </w:rPr>
      </w:pPr>
      <w:r w:rsidRPr="00F97495">
        <w:rPr>
          <w:rFonts w:ascii="Times New Roman" w:hAnsi="Times New Roman"/>
          <w:sz w:val="20"/>
        </w:rPr>
        <w:t>Oznakowanie poziome winno spełniać wymagania Dz.U.nr 220 poz. 2181 załącznik nr.2 na sucho, jak i wymagania określone na mokro w PN EN 1436 dla danej klasy oznakowania poziomego. Pomiar oznakowania poziomego wykonywany jest niezależnie od metody pomiaru ( pomiar urządzeniem punktowym lub pomiar dynamiczny)  zgodnie z kierunkiem ruchu .</w:t>
      </w:r>
    </w:p>
    <w:p w:rsidR="00752889" w:rsidRPr="00F97495" w:rsidRDefault="009D2E16" w:rsidP="005E378D">
      <w:pPr>
        <w:jc w:val="both"/>
        <w:rPr>
          <w:rFonts w:ascii="Times New Roman" w:hAnsi="Times New Roman"/>
          <w:noProof/>
          <w:sz w:val="20"/>
        </w:rPr>
      </w:pPr>
      <w:r w:rsidRPr="00F97495">
        <w:rPr>
          <w:rFonts w:ascii="Times New Roman" w:hAnsi="Times New Roman"/>
          <w:b/>
          <w:noProof/>
          <w:sz w:val="20"/>
        </w:rPr>
        <w:t>6.3.3.3.</w:t>
      </w:r>
      <w:r w:rsidRPr="00F97495">
        <w:rPr>
          <w:rFonts w:ascii="Times New Roman" w:hAnsi="Times New Roman"/>
          <w:noProof/>
          <w:sz w:val="20"/>
        </w:rPr>
        <w:t xml:space="preserve"> Szorstkość oznakowania</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Miarą szorstkości oznakowania jest wartość wskaźnika szorstkości SRT (Skid Resistance Tester) mierzona wahadłem angielskim, wg PN-EN 1436. Wartość SRT symuluje warunki, w których pojazd wyposażony w typowe opony hamuje z blokadą kół przy prędkości 50 km/h na mokrej nawierzchni.</w:t>
      </w:r>
    </w:p>
    <w:p w:rsidR="00752889" w:rsidRPr="00F97495" w:rsidRDefault="009D2E16" w:rsidP="005E378D">
      <w:pPr>
        <w:jc w:val="both"/>
        <w:rPr>
          <w:rFonts w:ascii="Times New Roman" w:hAnsi="Times New Roman"/>
          <w:noProof/>
          <w:color w:val="FF0000"/>
          <w:sz w:val="20"/>
        </w:rPr>
      </w:pPr>
      <w:r w:rsidRPr="00F97495">
        <w:rPr>
          <w:rFonts w:ascii="Times New Roman" w:hAnsi="Times New Roman"/>
          <w:noProof/>
          <w:sz w:val="20"/>
        </w:rPr>
        <w:t>Dopuszcza się pomiar właściwości przeciwpoślizgowych ozn poziom met. Dynamiczną</w:t>
      </w:r>
      <w:r w:rsidRPr="00F97495">
        <w:rPr>
          <w:rFonts w:ascii="Times New Roman" w:hAnsi="Times New Roman"/>
          <w:noProof/>
          <w:color w:val="FF0000"/>
          <w:sz w:val="20"/>
        </w:rPr>
        <w:t>.</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Wykonywanie pomiarów wskaźnika szorstkości SRT dotyczy oznakowań jednolitych, płaskich, wykonanych farbami, masami termoplastycznymi, masami chemoutwardzalnymi i taśmami. Pomiar na oznakowaniu strukturalnym jest, jeśli możliwy, to nie miarodajny. W przypadku oznakowania z wygarbieniami i punktowymi elementami odblaskowymi pomiar nie jest możliwy.</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 xml:space="preserve">Wymagania dla szorstkości oznakowania w nocy podano w tablicy 1 lub tablicy 2 w zależności o prędkości ruchu na drodze. </w:t>
      </w:r>
    </w:p>
    <w:p w:rsidR="00752889" w:rsidRPr="00F97495" w:rsidRDefault="009D2E16" w:rsidP="005E378D">
      <w:pPr>
        <w:jc w:val="both"/>
        <w:rPr>
          <w:rFonts w:ascii="Times New Roman" w:hAnsi="Times New Roman"/>
          <w:noProof/>
          <w:sz w:val="20"/>
        </w:rPr>
      </w:pPr>
      <w:r w:rsidRPr="00F97495">
        <w:rPr>
          <w:rFonts w:ascii="Times New Roman" w:hAnsi="Times New Roman"/>
          <w:b/>
          <w:noProof/>
          <w:sz w:val="20"/>
        </w:rPr>
        <w:t>6.3.3.4.</w:t>
      </w:r>
      <w:r w:rsidRPr="00F97495">
        <w:rPr>
          <w:rFonts w:ascii="Times New Roman" w:hAnsi="Times New Roman"/>
          <w:noProof/>
          <w:sz w:val="20"/>
        </w:rPr>
        <w:t xml:space="preserve"> Trwałość </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Trwałość oznakowania cienkowarstwowego oceniana jako stopień zuż</w:t>
      </w:r>
      <w:r w:rsidR="00F97495">
        <w:rPr>
          <w:rFonts w:ascii="Times New Roman" w:hAnsi="Times New Roman"/>
          <w:noProof/>
          <w:sz w:val="20"/>
        </w:rPr>
        <w:t xml:space="preserve">ycia w 10-stopniowej skali LCPC </w:t>
      </w:r>
      <w:r w:rsidRPr="00F97495">
        <w:rPr>
          <w:rFonts w:ascii="Times New Roman" w:hAnsi="Times New Roman"/>
          <w:noProof/>
          <w:sz w:val="20"/>
        </w:rPr>
        <w:t>okreś</w:t>
      </w:r>
      <w:r w:rsidR="00F97495">
        <w:rPr>
          <w:rFonts w:ascii="Times New Roman" w:hAnsi="Times New Roman"/>
          <w:noProof/>
          <w:sz w:val="20"/>
        </w:rPr>
        <w:t>lonej w POD-97</w:t>
      </w:r>
      <w:r w:rsidRPr="00F97495">
        <w:rPr>
          <w:rFonts w:ascii="Times New Roman" w:hAnsi="Times New Roman"/>
          <w:noProof/>
          <w:sz w:val="20"/>
        </w:rPr>
        <w:t>[9] powinna wynosić po 12-miesięcznym okresie eksploatacji oznakowania: co najmniej 6.</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Taka metoda oceny znajduje szczególnie zastosowanie do oceny przydatności materiałów do poziomego oznakowania dróg.</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W celach kontrolnych trwałość jest oceniana pośrednio przez sprawdzenie spełniania wymagań widoczności w dzień, w nocy i szorstkości.</w:t>
      </w:r>
    </w:p>
    <w:p w:rsidR="00752889" w:rsidRPr="00F97495" w:rsidRDefault="009D2E16" w:rsidP="005E378D">
      <w:pPr>
        <w:jc w:val="both"/>
        <w:rPr>
          <w:rFonts w:ascii="Times New Roman" w:hAnsi="Times New Roman"/>
          <w:noProof/>
          <w:sz w:val="20"/>
        </w:rPr>
      </w:pPr>
      <w:r w:rsidRPr="00F97495">
        <w:rPr>
          <w:rFonts w:ascii="Times New Roman" w:hAnsi="Times New Roman"/>
          <w:b/>
          <w:noProof/>
          <w:sz w:val="20"/>
        </w:rPr>
        <w:t>6.3.3.5.</w:t>
      </w:r>
      <w:r w:rsidRPr="00F97495">
        <w:rPr>
          <w:rFonts w:ascii="Times New Roman" w:hAnsi="Times New Roman"/>
          <w:noProof/>
          <w:sz w:val="20"/>
        </w:rPr>
        <w:t xml:space="preserve"> Czas schnięcia oznakowania (względnie czas do przejezdności oznakowania)</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Za czas schnięcia oznakowania przyjmuje się czas upływający między wykonaniem oznakowania a jego oddaniem do ruchu.</w:t>
      </w:r>
    </w:p>
    <w:p w:rsidR="00752889" w:rsidRPr="00F97495" w:rsidRDefault="009D2E16" w:rsidP="005E378D">
      <w:pPr>
        <w:jc w:val="both"/>
        <w:rPr>
          <w:rFonts w:ascii="Times New Roman" w:hAnsi="Times New Roman"/>
          <w:noProof/>
          <w:sz w:val="20"/>
        </w:rPr>
      </w:pPr>
      <w:r w:rsidRPr="00F97495">
        <w:rPr>
          <w:rFonts w:ascii="Times New Roman" w:hAnsi="Times New Roman"/>
          <w:noProof/>
          <w:sz w:val="20"/>
        </w:rPr>
        <w:t>Czas schnięcia oznakowania nie powinien przekraczać czasu gwarantowanego przez producenta, z tym że nie może przekraczać 2 godzin w przypadku wymalowań nocnych i 1 godziny w przypadku wymalowań dziennych. Metoda oznaczenia czasu schnięcia znajduje się w POD-97.</w:t>
      </w:r>
    </w:p>
    <w:p w:rsidR="00752889" w:rsidRPr="00F97495" w:rsidRDefault="009D2E16" w:rsidP="005E378D">
      <w:pPr>
        <w:jc w:val="both"/>
        <w:rPr>
          <w:rFonts w:ascii="Times New Roman" w:hAnsi="Times New Roman"/>
          <w:noProof/>
          <w:sz w:val="20"/>
        </w:rPr>
      </w:pPr>
      <w:r w:rsidRPr="00F97495">
        <w:rPr>
          <w:rFonts w:ascii="Times New Roman" w:hAnsi="Times New Roman"/>
          <w:b/>
          <w:noProof/>
          <w:sz w:val="20"/>
        </w:rPr>
        <w:t>6.3.3.6.</w:t>
      </w:r>
      <w:r w:rsidRPr="00F97495">
        <w:rPr>
          <w:rFonts w:ascii="Times New Roman" w:hAnsi="Times New Roman"/>
          <w:noProof/>
          <w:sz w:val="20"/>
        </w:rPr>
        <w:t xml:space="preserve"> Grubość oznakowania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Grubość oznakowania, tj. podwyższenie ponad górną powierzchnię nawierzchni, powinna wynosić dla: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oznakowania cienkowarstwowego (grubość na mokro bez kulek szklanych), co najwyżej 0,89 mm,</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oznakowania grubowarstwowego, co najmniej 0,90 mm i co najwyżej 5 mm,</w:t>
      </w:r>
    </w:p>
    <w:p w:rsidR="00752889" w:rsidRPr="00F97495" w:rsidRDefault="009D2E16" w:rsidP="005E378D">
      <w:pPr>
        <w:jc w:val="both"/>
        <w:rPr>
          <w:rFonts w:ascii="Times New Roman" w:hAnsi="Times New Roman"/>
          <w:noProof/>
          <w:sz w:val="20"/>
        </w:rPr>
      </w:pPr>
      <w:r w:rsidRPr="00F97495">
        <w:rPr>
          <w:rFonts w:ascii="Times New Roman" w:hAnsi="Times New Roman"/>
          <w:b/>
          <w:noProof/>
          <w:sz w:val="20"/>
        </w:rPr>
        <w:t>6.3.3.7.</w:t>
      </w:r>
      <w:r w:rsidRPr="00F97495">
        <w:rPr>
          <w:rFonts w:ascii="Times New Roman" w:hAnsi="Times New Roman"/>
          <w:noProof/>
          <w:sz w:val="20"/>
        </w:rPr>
        <w:t xml:space="preserve"> Zestawienie wymagań dla oznakowania poziomego</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W tablicy 3 podano zbiorcze zestawienie dla </w:t>
      </w:r>
      <w:proofErr w:type="spellStart"/>
      <w:r w:rsidRPr="00F97495">
        <w:rPr>
          <w:rFonts w:ascii="Times New Roman" w:hAnsi="Times New Roman"/>
          <w:spacing w:val="-3"/>
          <w:sz w:val="20"/>
        </w:rPr>
        <w:t>oznakowań</w:t>
      </w:r>
      <w:proofErr w:type="spellEnd"/>
      <w:r w:rsidRPr="00F97495">
        <w:rPr>
          <w:rFonts w:ascii="Times New Roman" w:hAnsi="Times New Roman"/>
          <w:spacing w:val="-3"/>
          <w:sz w:val="20"/>
        </w:rPr>
        <w:t xml:space="preserve"> na drogach ekspresowych oraz na drogach o prędkości ≥ 100 km/h lub o natężeniu ruchu &gt; 2 500 pojazdów rzeczywistych na dobę na pas. </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W tablicy 4 podano zbiorcze zestawienie dla </w:t>
      </w:r>
      <w:proofErr w:type="spellStart"/>
      <w:r w:rsidRPr="00F97495">
        <w:rPr>
          <w:rFonts w:ascii="Times New Roman" w:hAnsi="Times New Roman"/>
          <w:spacing w:val="-3"/>
          <w:sz w:val="20"/>
        </w:rPr>
        <w:t>oznakowań</w:t>
      </w:r>
      <w:proofErr w:type="spellEnd"/>
      <w:r w:rsidRPr="00F97495">
        <w:rPr>
          <w:rFonts w:ascii="Times New Roman" w:hAnsi="Times New Roman"/>
          <w:spacing w:val="-3"/>
          <w:sz w:val="20"/>
        </w:rPr>
        <w:t xml:space="preserve"> na pozostałych drogach.</w:t>
      </w:r>
    </w:p>
    <w:p w:rsidR="00752889" w:rsidRPr="00F97495" w:rsidRDefault="00752889" w:rsidP="005E378D">
      <w:pPr>
        <w:jc w:val="both"/>
        <w:rPr>
          <w:rFonts w:ascii="Times New Roman" w:hAnsi="Times New Roman"/>
          <w:sz w:val="10"/>
          <w:szCs w:val="10"/>
        </w:rPr>
      </w:pP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Tablica 3. Zbiorcze zestawienie wymagań dla </w:t>
      </w:r>
      <w:proofErr w:type="spellStart"/>
      <w:r w:rsidRPr="00F97495">
        <w:rPr>
          <w:rFonts w:ascii="Times New Roman" w:hAnsi="Times New Roman"/>
          <w:sz w:val="20"/>
        </w:rPr>
        <w:t>oznakowań</w:t>
      </w:r>
      <w:proofErr w:type="spellEnd"/>
      <w:r w:rsidRPr="00F97495">
        <w:rPr>
          <w:rFonts w:ascii="Times New Roman" w:hAnsi="Times New Roman"/>
          <w:sz w:val="20"/>
        </w:rPr>
        <w:t xml:space="preserve"> na drogach ekspresowych oraz na drogach o prędkości </w:t>
      </w:r>
      <w:r w:rsidRPr="00F97495">
        <w:rPr>
          <w:rFonts w:ascii="Times New Roman" w:hAnsi="Times New Roman"/>
          <w:sz w:val="20"/>
        </w:rPr>
        <w:sym w:font="Symbol" w:char="F0B3"/>
      </w:r>
      <w:r w:rsidRPr="00F97495">
        <w:rPr>
          <w:rFonts w:ascii="Times New Roman" w:hAnsi="Times New Roman"/>
          <w:sz w:val="20"/>
        </w:rPr>
        <w:t xml:space="preserve"> </w:t>
      </w:r>
      <w:smartTag w:uri="urn:schemas-microsoft-com:office:smarttags" w:element="metricconverter">
        <w:smartTagPr>
          <w:attr w:name="ProductID" w:val="100 km/h"/>
          <w:attr w:name="tabIndex" w:val="0"/>
          <w:attr w:name="style" w:val="BACKGROUND-IMAGE: url(res://ietag.dll/#34/#1001); BACKGROUND-REPEAT: repeat-x; BACKGROUND-POSITION: left bottom"/>
        </w:smartTagPr>
        <w:r w:rsidRPr="00F97495">
          <w:rPr>
            <w:rFonts w:ascii="Times New Roman" w:hAnsi="Times New Roman"/>
            <w:sz w:val="20"/>
          </w:rPr>
          <w:t>100 km/h</w:t>
        </w:r>
      </w:smartTag>
      <w:r w:rsidRPr="00F97495">
        <w:rPr>
          <w:rFonts w:ascii="Times New Roman" w:hAnsi="Times New Roman"/>
          <w:sz w:val="20"/>
        </w:rPr>
        <w:t xml:space="preserve"> lub o natężeniu ruchu &gt; 2 500 pojazdów rzeczywistych na dobę na pas</w:t>
      </w:r>
    </w:p>
    <w:tbl>
      <w:tblPr>
        <w:tblW w:w="90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5244"/>
        <w:gridCol w:w="1134"/>
        <w:gridCol w:w="1276"/>
        <w:gridCol w:w="924"/>
      </w:tblGrid>
      <w:tr w:rsidR="00752889" w:rsidRPr="00F97495">
        <w:trPr>
          <w:cantSplit/>
          <w:tblHeader/>
        </w:trPr>
        <w:tc>
          <w:tcPr>
            <w:tcW w:w="496"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Lp.</w:t>
            </w:r>
          </w:p>
        </w:tc>
        <w:tc>
          <w:tcPr>
            <w:tcW w:w="5244"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Właściwość</w:t>
            </w:r>
          </w:p>
        </w:tc>
        <w:tc>
          <w:tcPr>
            <w:tcW w:w="1134"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 xml:space="preserve">Jednostka </w:t>
            </w:r>
          </w:p>
        </w:tc>
        <w:tc>
          <w:tcPr>
            <w:tcW w:w="1276"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Wymagania</w:t>
            </w:r>
          </w:p>
        </w:tc>
        <w:tc>
          <w:tcPr>
            <w:tcW w:w="924"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Klasa</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1</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oznakowania nowego (w ciągu 14 - 30 dni po wykonaniu) w stanie suchym barwy:    </w:t>
            </w:r>
          </w:p>
          <w:p w:rsidR="00752889" w:rsidRPr="00F97495" w:rsidRDefault="009D2E16" w:rsidP="005E378D">
            <w:pPr>
              <w:jc w:val="both"/>
              <w:rPr>
                <w:rFonts w:ascii="Times New Roman" w:hAnsi="Times New Roman"/>
                <w:sz w:val="20"/>
              </w:rPr>
            </w:pPr>
            <w:r w:rsidRPr="00F97495">
              <w:rPr>
                <w:rFonts w:ascii="Times New Roman" w:hAnsi="Times New Roman"/>
                <w:sz w:val="20"/>
              </w:rPr>
              <w:t>białej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 tymczasowej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250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150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R4/5</w:t>
            </w:r>
          </w:p>
          <w:p w:rsidR="00752889" w:rsidRPr="00F97495" w:rsidRDefault="009D2E16" w:rsidP="005E378D">
            <w:pPr>
              <w:jc w:val="both"/>
              <w:rPr>
                <w:rFonts w:ascii="Times New Roman" w:hAnsi="Times New Roman"/>
                <w:sz w:val="20"/>
              </w:rPr>
            </w:pPr>
            <w:r w:rsidRPr="00F97495">
              <w:rPr>
                <w:rFonts w:ascii="Times New Roman" w:hAnsi="Times New Roman"/>
                <w:sz w:val="20"/>
              </w:rPr>
              <w:t>R3</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2</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oznakowania suchego po 30 dniach w całym okresie gwarancyjnym barwy białej</w:t>
            </w:r>
          </w:p>
        </w:tc>
        <w:tc>
          <w:tcPr>
            <w:tcW w:w="1134" w:type="dxa"/>
            <w:tcBorders>
              <w:top w:val="single" w:sz="6" w:space="0" w:color="auto"/>
              <w:left w:val="single" w:sz="6" w:space="0" w:color="auto"/>
              <w:bottom w:val="single" w:sz="6" w:space="0" w:color="auto"/>
              <w:right w:val="single" w:sz="6" w:space="0" w:color="auto"/>
            </w:tcBorders>
            <w:noWrap/>
            <w:vAlign w:val="center"/>
          </w:tcPr>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vAlign w:val="center"/>
          </w:tcPr>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200</w:t>
            </w:r>
          </w:p>
        </w:tc>
        <w:tc>
          <w:tcPr>
            <w:tcW w:w="924" w:type="dxa"/>
            <w:tcBorders>
              <w:top w:val="single" w:sz="6" w:space="0" w:color="auto"/>
              <w:left w:val="single" w:sz="6" w:space="0" w:color="auto"/>
              <w:bottom w:val="single" w:sz="6" w:space="0" w:color="auto"/>
              <w:right w:val="single" w:sz="6" w:space="0" w:color="auto"/>
            </w:tcBorders>
            <w:noWrap/>
            <w:vAlign w:val="center"/>
          </w:tcPr>
          <w:p w:rsidR="00752889" w:rsidRPr="00F97495" w:rsidRDefault="009D2E16" w:rsidP="005E378D">
            <w:pPr>
              <w:jc w:val="both"/>
              <w:rPr>
                <w:rFonts w:ascii="Times New Roman" w:hAnsi="Times New Roman"/>
                <w:sz w:val="20"/>
              </w:rPr>
            </w:pPr>
            <w:r w:rsidRPr="00F97495">
              <w:rPr>
                <w:rFonts w:ascii="Times New Roman" w:hAnsi="Times New Roman"/>
                <w:sz w:val="20"/>
              </w:rPr>
              <w:t>R4</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3</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grubowarstwowego strukturalnego oznakowania wilgotnego od 14 do 30 dnia po wykonaniu, barwy białej</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50</w:t>
            </w:r>
          </w:p>
        </w:tc>
        <w:tc>
          <w:tcPr>
            <w:tcW w:w="924"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RW3</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4</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grubowarstwowego strukturalnego oznakowania wilgotnego po 30 dniu od wykonania, barwy białej</w:t>
            </w:r>
          </w:p>
        </w:tc>
        <w:tc>
          <w:tcPr>
            <w:tcW w:w="1134" w:type="dxa"/>
            <w:tcBorders>
              <w:top w:val="single" w:sz="6" w:space="0" w:color="auto"/>
              <w:left w:val="single" w:sz="6" w:space="0" w:color="auto"/>
              <w:bottom w:val="single" w:sz="6" w:space="0" w:color="auto"/>
              <w:right w:val="single" w:sz="6" w:space="0" w:color="auto"/>
            </w:tcBorders>
            <w:noWrap/>
            <w:hideMark/>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hideMark/>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35</w:t>
            </w:r>
          </w:p>
        </w:tc>
        <w:tc>
          <w:tcPr>
            <w:tcW w:w="924" w:type="dxa"/>
            <w:tcBorders>
              <w:top w:val="single" w:sz="6" w:space="0" w:color="auto"/>
              <w:left w:val="single" w:sz="6" w:space="0" w:color="auto"/>
              <w:bottom w:val="single" w:sz="6" w:space="0" w:color="auto"/>
              <w:right w:val="single" w:sz="6" w:space="0" w:color="auto"/>
            </w:tcBorders>
            <w:noWrap/>
            <w:hideMark/>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RW2</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lastRenderedPageBreak/>
              <w:t>5</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t>
            </w:r>
            <w:r w:rsidRPr="00F97495">
              <w:rPr>
                <w:rFonts w:ascii="Times New Roman" w:hAnsi="Times New Roman"/>
                <w:sz w:val="20"/>
              </w:rPr>
              <w:sym w:font="Symbol" w:char="F062"/>
            </w:r>
            <w:r w:rsidRPr="00F97495">
              <w:rPr>
                <w:rFonts w:ascii="Times New Roman" w:hAnsi="Times New Roman"/>
                <w:sz w:val="20"/>
              </w:rPr>
              <w:t xml:space="preserve"> dla oznakowania nowego (od 14 do 30 dnia po wykonaniu)  barwy:</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asfaltowej</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betonowej</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żółtej </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0,40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0,50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0,30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B3</w:t>
            </w:r>
          </w:p>
          <w:p w:rsidR="00752889" w:rsidRPr="00F97495" w:rsidRDefault="009D2E16" w:rsidP="005E378D">
            <w:pPr>
              <w:jc w:val="both"/>
              <w:rPr>
                <w:rFonts w:ascii="Times New Roman" w:hAnsi="Times New Roman"/>
                <w:sz w:val="20"/>
              </w:rPr>
            </w:pPr>
            <w:r w:rsidRPr="00F97495">
              <w:rPr>
                <w:rFonts w:ascii="Times New Roman" w:hAnsi="Times New Roman"/>
                <w:sz w:val="20"/>
              </w:rPr>
              <w:t>B4</w:t>
            </w:r>
          </w:p>
          <w:p w:rsidR="00752889" w:rsidRPr="00F97495" w:rsidRDefault="009D2E16" w:rsidP="005E378D">
            <w:pPr>
              <w:jc w:val="both"/>
              <w:rPr>
                <w:rFonts w:ascii="Times New Roman" w:hAnsi="Times New Roman"/>
                <w:sz w:val="20"/>
              </w:rPr>
            </w:pPr>
            <w:r w:rsidRPr="00F97495">
              <w:rPr>
                <w:rFonts w:ascii="Times New Roman" w:hAnsi="Times New Roman"/>
                <w:sz w:val="20"/>
              </w:rPr>
              <w:t>B2</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6</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t>
            </w:r>
            <w:r w:rsidRPr="00F97495">
              <w:rPr>
                <w:rFonts w:ascii="Times New Roman" w:hAnsi="Times New Roman"/>
                <w:sz w:val="20"/>
              </w:rPr>
              <w:sym w:font="Symbol" w:char="F062"/>
            </w:r>
            <w:r w:rsidRPr="00F97495">
              <w:rPr>
                <w:rFonts w:ascii="Times New Roman" w:hAnsi="Times New Roman"/>
                <w:sz w:val="20"/>
              </w:rPr>
              <w:t xml:space="preserve"> dla oznakowania eksploatowanego (po 30 dniu od wykonania) barwy:</w:t>
            </w:r>
          </w:p>
          <w:p w:rsidR="00752889" w:rsidRPr="00F97495" w:rsidRDefault="009D2E16" w:rsidP="005E378D">
            <w:pPr>
              <w:jc w:val="both"/>
              <w:rPr>
                <w:rFonts w:ascii="Times New Roman" w:hAnsi="Times New Roman"/>
                <w:sz w:val="20"/>
              </w:rPr>
            </w:pPr>
            <w:r w:rsidRPr="00F97495">
              <w:rPr>
                <w:rFonts w:ascii="Times New Roman" w:hAnsi="Times New Roman"/>
                <w:sz w:val="20"/>
              </w:rPr>
              <w:t>- białej na nawierzchni asfaltowej</w:t>
            </w:r>
          </w:p>
          <w:p w:rsidR="00752889" w:rsidRPr="00F97495" w:rsidRDefault="009D2E16" w:rsidP="005E378D">
            <w:pPr>
              <w:jc w:val="both"/>
              <w:rPr>
                <w:rFonts w:ascii="Times New Roman" w:hAnsi="Times New Roman"/>
                <w:sz w:val="20"/>
              </w:rPr>
            </w:pPr>
            <w:r w:rsidRPr="00F97495">
              <w:rPr>
                <w:rFonts w:ascii="Times New Roman" w:hAnsi="Times New Roman"/>
                <w:sz w:val="20"/>
              </w:rPr>
              <w:t>- białej na nawierzchni betonowej</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 żółtej </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0,30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0,40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0,20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B2</w:t>
            </w:r>
          </w:p>
          <w:p w:rsidR="00752889" w:rsidRPr="00F97495" w:rsidRDefault="009D2E16" w:rsidP="005E378D">
            <w:pPr>
              <w:jc w:val="both"/>
              <w:rPr>
                <w:rFonts w:ascii="Times New Roman" w:hAnsi="Times New Roman"/>
                <w:sz w:val="20"/>
              </w:rPr>
            </w:pPr>
            <w:r w:rsidRPr="00F97495">
              <w:rPr>
                <w:rFonts w:ascii="Times New Roman" w:hAnsi="Times New Roman"/>
                <w:sz w:val="20"/>
              </w:rPr>
              <w:t>B3</w:t>
            </w:r>
          </w:p>
          <w:p w:rsidR="00752889" w:rsidRPr="00F97495" w:rsidRDefault="009D2E16" w:rsidP="005E378D">
            <w:pPr>
              <w:jc w:val="both"/>
              <w:rPr>
                <w:rFonts w:ascii="Times New Roman" w:hAnsi="Times New Roman"/>
                <w:sz w:val="20"/>
              </w:rPr>
            </w:pPr>
            <w:r w:rsidRPr="00F97495">
              <w:rPr>
                <w:rFonts w:ascii="Times New Roman" w:hAnsi="Times New Roman"/>
                <w:sz w:val="20"/>
              </w:rPr>
              <w:t>B1</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7</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 świetle rozproszonym </w:t>
            </w:r>
            <w:proofErr w:type="spellStart"/>
            <w:r w:rsidRPr="00F97495">
              <w:rPr>
                <w:rFonts w:ascii="Times New Roman" w:hAnsi="Times New Roman"/>
                <w:sz w:val="20"/>
              </w:rPr>
              <w:t>Qd</w:t>
            </w:r>
            <w:proofErr w:type="spellEnd"/>
            <w:r w:rsidRPr="00F97495">
              <w:rPr>
                <w:rFonts w:ascii="Times New Roman" w:hAnsi="Times New Roman"/>
                <w:sz w:val="20"/>
              </w:rPr>
              <w:t xml:space="preserve"> (alternatywnie do </w:t>
            </w:r>
            <w:r w:rsidRPr="00F97495">
              <w:rPr>
                <w:rFonts w:ascii="Times New Roman" w:hAnsi="Times New Roman"/>
                <w:sz w:val="20"/>
              </w:rPr>
              <w:sym w:font="Symbol" w:char="F062"/>
            </w:r>
            <w:r w:rsidRPr="00F97495">
              <w:rPr>
                <w:rFonts w:ascii="Times New Roman" w:hAnsi="Times New Roman"/>
                <w:sz w:val="20"/>
              </w:rPr>
              <w:t>) dla oznakowania nowego w ciągu od 14 do 30  dnia po wykonaniu, barwy:</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asfaltowej</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betonowej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lang w:val="en-US"/>
              </w:rPr>
            </w:pPr>
            <w:r w:rsidRPr="00F97495">
              <w:rPr>
                <w:rFonts w:ascii="Times New Roman" w:hAnsi="Times New Roman"/>
                <w:sz w:val="20"/>
              </w:rPr>
              <w:sym w:font="Symbol" w:char="F0B3"/>
            </w:r>
            <w:r w:rsidRPr="00F97495">
              <w:rPr>
                <w:rFonts w:ascii="Times New Roman" w:hAnsi="Times New Roman"/>
                <w:sz w:val="20"/>
                <w:lang w:val="en-US"/>
              </w:rPr>
              <w:t xml:space="preserve"> 130</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rPr>
              <w:sym w:font="Symbol" w:char="F0B3"/>
            </w:r>
            <w:r w:rsidRPr="00F97495">
              <w:rPr>
                <w:rFonts w:ascii="Times New Roman" w:hAnsi="Times New Roman"/>
                <w:sz w:val="20"/>
                <w:lang w:val="en-US"/>
              </w:rPr>
              <w:t xml:space="preserve"> 160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lang w:val="en-US"/>
              </w:rPr>
              <w:t xml:space="preserve"> 100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lang w:val="en-US"/>
              </w:rPr>
            </w:pPr>
          </w:p>
          <w:p w:rsidR="00752889" w:rsidRPr="00F97495" w:rsidRDefault="00752889" w:rsidP="005E378D">
            <w:pPr>
              <w:jc w:val="both"/>
              <w:rPr>
                <w:rFonts w:ascii="Times New Roman" w:hAnsi="Times New Roman"/>
                <w:sz w:val="20"/>
                <w:lang w:val="en-US"/>
              </w:rPr>
            </w:pPr>
          </w:p>
          <w:p w:rsidR="00752889" w:rsidRPr="00F97495" w:rsidRDefault="00752889" w:rsidP="005E378D">
            <w:pPr>
              <w:jc w:val="both"/>
              <w:rPr>
                <w:rFonts w:ascii="Times New Roman" w:hAnsi="Times New Roman"/>
                <w:sz w:val="20"/>
                <w:lang w:val="en-US"/>
              </w:rPr>
            </w:pP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Q3</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Q4</w:t>
            </w:r>
          </w:p>
          <w:p w:rsidR="00752889" w:rsidRPr="00F97495" w:rsidRDefault="009D2E16" w:rsidP="005E378D">
            <w:pPr>
              <w:jc w:val="both"/>
              <w:rPr>
                <w:rFonts w:ascii="Times New Roman" w:hAnsi="Times New Roman"/>
                <w:sz w:val="20"/>
              </w:rPr>
            </w:pPr>
            <w:r w:rsidRPr="00F97495">
              <w:rPr>
                <w:rFonts w:ascii="Times New Roman" w:hAnsi="Times New Roman"/>
                <w:sz w:val="20"/>
                <w:lang w:val="en-US"/>
              </w:rPr>
              <w:t>Q2</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8</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 świetle rozproszonym </w:t>
            </w:r>
            <w:proofErr w:type="spellStart"/>
            <w:r w:rsidRPr="00F97495">
              <w:rPr>
                <w:rFonts w:ascii="Times New Roman" w:hAnsi="Times New Roman"/>
                <w:sz w:val="20"/>
              </w:rPr>
              <w:t>Qd</w:t>
            </w:r>
            <w:proofErr w:type="spellEnd"/>
            <w:r w:rsidRPr="00F97495">
              <w:rPr>
                <w:rFonts w:ascii="Times New Roman" w:hAnsi="Times New Roman"/>
                <w:sz w:val="20"/>
              </w:rPr>
              <w:t xml:space="preserve"> (alternatywnie do </w:t>
            </w:r>
            <w:r w:rsidRPr="00F97495">
              <w:rPr>
                <w:rFonts w:ascii="Times New Roman" w:hAnsi="Times New Roman"/>
                <w:sz w:val="20"/>
              </w:rPr>
              <w:sym w:font="Symbol" w:char="F062"/>
            </w:r>
            <w:r w:rsidRPr="00F97495">
              <w:rPr>
                <w:rFonts w:ascii="Times New Roman" w:hAnsi="Times New Roman"/>
                <w:sz w:val="20"/>
              </w:rPr>
              <w:t>) dla oznakowania eksploatowanego w ciągu całego okresu eksploatacji po 30 dniu od wykonania, barwy:</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asfaltowej</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betonowej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lang w:val="en-US"/>
              </w:rPr>
            </w:pPr>
            <w:r w:rsidRPr="00F97495">
              <w:rPr>
                <w:rFonts w:ascii="Times New Roman" w:hAnsi="Times New Roman"/>
                <w:sz w:val="20"/>
              </w:rPr>
              <w:sym w:font="Symbol" w:char="F0B3"/>
            </w:r>
            <w:r w:rsidRPr="00F97495">
              <w:rPr>
                <w:rFonts w:ascii="Times New Roman" w:hAnsi="Times New Roman"/>
                <w:sz w:val="20"/>
                <w:lang w:val="en-US"/>
              </w:rPr>
              <w:t xml:space="preserve"> 100</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rPr>
              <w:sym w:font="Symbol" w:char="F0B3"/>
            </w:r>
            <w:r w:rsidRPr="00F97495">
              <w:rPr>
                <w:rFonts w:ascii="Times New Roman" w:hAnsi="Times New Roman"/>
                <w:sz w:val="20"/>
                <w:lang w:val="en-US"/>
              </w:rPr>
              <w:t xml:space="preserve"> 130</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rPr>
              <w:sym w:font="Symbol" w:char="F0B3"/>
            </w:r>
            <w:r w:rsidRPr="00F97495">
              <w:rPr>
                <w:rFonts w:ascii="Times New Roman" w:hAnsi="Times New Roman"/>
                <w:sz w:val="20"/>
                <w:lang w:val="en-US"/>
              </w:rPr>
              <w:t xml:space="preserve"> 80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lang w:val="en-US"/>
              </w:rPr>
            </w:pPr>
          </w:p>
          <w:p w:rsidR="00752889" w:rsidRPr="00F97495" w:rsidRDefault="00752889" w:rsidP="005E378D">
            <w:pPr>
              <w:jc w:val="both"/>
              <w:rPr>
                <w:rFonts w:ascii="Times New Roman" w:hAnsi="Times New Roman"/>
                <w:sz w:val="20"/>
                <w:lang w:val="en-US"/>
              </w:rPr>
            </w:pPr>
          </w:p>
          <w:p w:rsidR="00752889" w:rsidRPr="00F97495" w:rsidRDefault="00752889" w:rsidP="005E378D">
            <w:pPr>
              <w:jc w:val="both"/>
              <w:rPr>
                <w:rFonts w:ascii="Times New Roman" w:hAnsi="Times New Roman"/>
                <w:sz w:val="20"/>
                <w:lang w:val="en-US"/>
              </w:rPr>
            </w:pPr>
          </w:p>
          <w:p w:rsidR="00752889" w:rsidRPr="00F97495" w:rsidRDefault="00752889" w:rsidP="005E378D">
            <w:pPr>
              <w:jc w:val="both"/>
              <w:rPr>
                <w:rFonts w:ascii="Times New Roman" w:hAnsi="Times New Roman"/>
                <w:sz w:val="20"/>
                <w:lang w:val="en-US"/>
              </w:rPr>
            </w:pP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Q2</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Q3</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Q1</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9</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Szorstkość oznakowania eksploatowanego</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9D2E16" w:rsidP="005E378D">
            <w:pPr>
              <w:jc w:val="both"/>
              <w:rPr>
                <w:rFonts w:ascii="Times New Roman" w:hAnsi="Times New Roman"/>
                <w:sz w:val="20"/>
              </w:rPr>
            </w:pPr>
            <w:r w:rsidRPr="00F97495">
              <w:rPr>
                <w:rFonts w:ascii="Times New Roman" w:hAnsi="Times New Roman"/>
                <w:sz w:val="20"/>
              </w:rPr>
              <w:t>wskaźnik</w:t>
            </w:r>
          </w:p>
          <w:p w:rsidR="00752889" w:rsidRPr="00F97495" w:rsidRDefault="009D2E16" w:rsidP="005E378D">
            <w:pPr>
              <w:jc w:val="both"/>
              <w:rPr>
                <w:rFonts w:ascii="Times New Roman" w:hAnsi="Times New Roman"/>
                <w:sz w:val="20"/>
              </w:rPr>
            </w:pPr>
            <w:r w:rsidRPr="00F97495">
              <w:rPr>
                <w:rFonts w:ascii="Times New Roman" w:hAnsi="Times New Roman"/>
                <w:sz w:val="20"/>
              </w:rPr>
              <w:t>SRT</w:t>
            </w:r>
          </w:p>
        </w:tc>
        <w:tc>
          <w:tcPr>
            <w:tcW w:w="1276" w:type="dxa"/>
            <w:tcBorders>
              <w:top w:val="single" w:sz="6" w:space="0" w:color="auto"/>
              <w:left w:val="single" w:sz="6" w:space="0" w:color="auto"/>
              <w:bottom w:val="single" w:sz="6" w:space="0" w:color="auto"/>
              <w:right w:val="single" w:sz="6" w:space="0" w:color="auto"/>
            </w:tcBorders>
            <w:noWrap/>
            <w:vAlign w:val="center"/>
          </w:tcPr>
          <w:p w:rsidR="00752889" w:rsidRPr="00F97495" w:rsidRDefault="009D2E16" w:rsidP="005E378D">
            <w:pPr>
              <w:jc w:val="both"/>
              <w:rPr>
                <w:rFonts w:ascii="Times New Roman" w:hAnsi="Times New Roman"/>
                <w:sz w:val="20"/>
                <w:lang w:val="en-US"/>
              </w:rPr>
            </w:pPr>
            <w:r w:rsidRPr="00F97495">
              <w:rPr>
                <w:rFonts w:ascii="Times New Roman" w:hAnsi="Times New Roman"/>
                <w:sz w:val="20"/>
              </w:rPr>
              <w:sym w:font="Symbol" w:char="F0B3"/>
            </w:r>
            <w:r w:rsidRPr="00F97495">
              <w:rPr>
                <w:rFonts w:ascii="Times New Roman" w:hAnsi="Times New Roman"/>
                <w:sz w:val="20"/>
              </w:rPr>
              <w:t xml:space="preserve"> 45</w:t>
            </w:r>
          </w:p>
        </w:tc>
        <w:tc>
          <w:tcPr>
            <w:tcW w:w="924" w:type="dxa"/>
            <w:tcBorders>
              <w:top w:val="single" w:sz="6" w:space="0" w:color="auto"/>
              <w:left w:val="single" w:sz="6" w:space="0" w:color="auto"/>
              <w:bottom w:val="single" w:sz="6" w:space="0" w:color="auto"/>
              <w:right w:val="single" w:sz="6" w:space="0" w:color="auto"/>
            </w:tcBorders>
            <w:noWrap/>
            <w:vAlign w:val="center"/>
          </w:tcPr>
          <w:p w:rsidR="00752889" w:rsidRPr="00F97495" w:rsidRDefault="009D2E16" w:rsidP="005E378D">
            <w:pPr>
              <w:jc w:val="both"/>
              <w:rPr>
                <w:rFonts w:ascii="Times New Roman" w:hAnsi="Times New Roman"/>
                <w:sz w:val="20"/>
                <w:lang w:val="en-US"/>
              </w:rPr>
            </w:pPr>
            <w:r w:rsidRPr="00F97495">
              <w:rPr>
                <w:rFonts w:ascii="Times New Roman" w:hAnsi="Times New Roman"/>
                <w:sz w:val="20"/>
              </w:rPr>
              <w:t>S1</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10</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Trwałość oznakowania cienkowarstwowego po 12 miesiącach:</w:t>
            </w:r>
          </w:p>
        </w:tc>
        <w:tc>
          <w:tcPr>
            <w:tcW w:w="113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skala LCPC</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6</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9D2E16" w:rsidP="005E378D">
            <w:pPr>
              <w:jc w:val="both"/>
              <w:rPr>
                <w:rFonts w:ascii="Times New Roman" w:hAnsi="Times New Roman"/>
                <w:sz w:val="20"/>
              </w:rPr>
            </w:pPr>
            <w:r w:rsidRPr="00F97495">
              <w:rPr>
                <w:rFonts w:ascii="Times New Roman" w:hAnsi="Times New Roman"/>
                <w:sz w:val="20"/>
              </w:rPr>
              <w:t>-</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11</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Czas schnięcia materiału na nawierzchni</w:t>
            </w:r>
          </w:p>
          <w:p w:rsidR="00752889" w:rsidRPr="00F97495" w:rsidRDefault="009D2E16" w:rsidP="005E378D">
            <w:pPr>
              <w:jc w:val="both"/>
              <w:rPr>
                <w:rFonts w:ascii="Times New Roman" w:hAnsi="Times New Roman"/>
                <w:sz w:val="20"/>
              </w:rPr>
            </w:pPr>
            <w:r w:rsidRPr="00F97495">
              <w:rPr>
                <w:rFonts w:ascii="Times New Roman" w:hAnsi="Times New Roman"/>
                <w:sz w:val="20"/>
              </w:rPr>
              <w:t>w dzień</w:t>
            </w:r>
          </w:p>
          <w:p w:rsidR="00752889" w:rsidRPr="00F97495" w:rsidRDefault="009D2E16" w:rsidP="005E378D">
            <w:pPr>
              <w:jc w:val="both"/>
              <w:rPr>
                <w:rFonts w:ascii="Times New Roman" w:hAnsi="Times New Roman"/>
                <w:sz w:val="20"/>
              </w:rPr>
            </w:pPr>
            <w:r w:rsidRPr="00F97495">
              <w:rPr>
                <w:rFonts w:ascii="Times New Roman" w:hAnsi="Times New Roman"/>
                <w:sz w:val="20"/>
              </w:rPr>
              <w:t>w nocy</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h</w:t>
            </w:r>
          </w:p>
          <w:p w:rsidR="00752889" w:rsidRPr="00F97495" w:rsidRDefault="009D2E16" w:rsidP="005E378D">
            <w:pPr>
              <w:jc w:val="both"/>
              <w:rPr>
                <w:rFonts w:ascii="Times New Roman" w:hAnsi="Times New Roman"/>
                <w:sz w:val="20"/>
              </w:rPr>
            </w:pPr>
            <w:r w:rsidRPr="00F97495">
              <w:rPr>
                <w:rFonts w:ascii="Times New Roman" w:hAnsi="Times New Roman"/>
                <w:sz w:val="20"/>
              </w:rPr>
              <w:t>h</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A3"/>
            </w:r>
            <w:r w:rsidRPr="00F97495">
              <w:rPr>
                <w:rFonts w:ascii="Times New Roman" w:hAnsi="Times New Roman"/>
                <w:sz w:val="20"/>
              </w:rPr>
              <w:t xml:space="preserve"> 1</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A3"/>
            </w:r>
            <w:r w:rsidRPr="00F97495">
              <w:rPr>
                <w:rFonts w:ascii="Times New Roman" w:hAnsi="Times New Roman"/>
                <w:sz w:val="20"/>
              </w:rPr>
              <w:t xml:space="preserve"> 2</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tc>
      </w:tr>
    </w:tbl>
    <w:p w:rsidR="00752889" w:rsidRPr="00F97495" w:rsidRDefault="00752889" w:rsidP="005E378D">
      <w:pPr>
        <w:jc w:val="both"/>
        <w:rPr>
          <w:rFonts w:ascii="Times New Roman" w:hAnsi="Times New Roman"/>
          <w:sz w:val="10"/>
          <w:szCs w:val="10"/>
        </w:rPr>
      </w:pPr>
    </w:p>
    <w:p w:rsidR="00752889" w:rsidRPr="00F97495" w:rsidRDefault="009D2E16" w:rsidP="005E378D">
      <w:pPr>
        <w:jc w:val="both"/>
        <w:rPr>
          <w:rFonts w:ascii="Times New Roman" w:hAnsi="Times New Roman"/>
          <w:sz w:val="20"/>
        </w:rPr>
      </w:pPr>
      <w:r w:rsidRPr="00F97495">
        <w:rPr>
          <w:rFonts w:ascii="Times New Roman" w:hAnsi="Times New Roman"/>
          <w:sz w:val="20"/>
        </w:rPr>
        <w:t>Tablica 4.  Zbiorcze zestawienie wymagań dla</w:t>
      </w:r>
      <w:r w:rsidRPr="00F97495">
        <w:rPr>
          <w:rFonts w:ascii="Times New Roman" w:hAnsi="Times New Roman"/>
          <w:color w:val="FF0000"/>
          <w:sz w:val="20"/>
        </w:rPr>
        <w:t xml:space="preserve"> </w:t>
      </w:r>
      <w:r w:rsidRPr="00F97495">
        <w:rPr>
          <w:rFonts w:ascii="Times New Roman" w:hAnsi="Times New Roman"/>
          <w:sz w:val="20"/>
        </w:rPr>
        <w:t>parametrów</w:t>
      </w:r>
      <w:r w:rsidRPr="00F97495">
        <w:rPr>
          <w:rFonts w:ascii="Times New Roman" w:hAnsi="Times New Roman"/>
          <w:color w:val="FF0000"/>
          <w:sz w:val="20"/>
        </w:rPr>
        <w:t xml:space="preserve"> </w:t>
      </w:r>
      <w:r w:rsidRPr="00F97495">
        <w:rPr>
          <w:rFonts w:ascii="Times New Roman" w:hAnsi="Times New Roman"/>
          <w:sz w:val="20"/>
        </w:rPr>
        <w:t>oznakowania na pozostałych drogach nie wymienionych w tablicy 4</w:t>
      </w:r>
    </w:p>
    <w:tbl>
      <w:tblPr>
        <w:tblW w:w="90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5244"/>
        <w:gridCol w:w="1134"/>
        <w:gridCol w:w="1276"/>
        <w:gridCol w:w="924"/>
      </w:tblGrid>
      <w:tr w:rsidR="00752889" w:rsidRPr="00F97495">
        <w:trPr>
          <w:cantSplit/>
          <w:tblHeader/>
        </w:trPr>
        <w:tc>
          <w:tcPr>
            <w:tcW w:w="496"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Lp.</w:t>
            </w:r>
          </w:p>
        </w:tc>
        <w:tc>
          <w:tcPr>
            <w:tcW w:w="5244"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Właściwość</w:t>
            </w:r>
          </w:p>
        </w:tc>
        <w:tc>
          <w:tcPr>
            <w:tcW w:w="1134"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 xml:space="preserve">Jednostka </w:t>
            </w:r>
          </w:p>
        </w:tc>
        <w:tc>
          <w:tcPr>
            <w:tcW w:w="1276"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Wymagania</w:t>
            </w:r>
          </w:p>
        </w:tc>
        <w:tc>
          <w:tcPr>
            <w:tcW w:w="924" w:type="dxa"/>
            <w:tcBorders>
              <w:top w:val="single" w:sz="4" w:space="0" w:color="auto"/>
              <w:left w:val="single" w:sz="6" w:space="0" w:color="auto"/>
              <w:bottom w:val="double" w:sz="4" w:space="0" w:color="auto"/>
              <w:right w:val="single" w:sz="6" w:space="0" w:color="auto"/>
            </w:tcBorders>
            <w:noWrap/>
            <w:hideMark/>
          </w:tcPr>
          <w:p w:rsidR="00752889" w:rsidRPr="00F97495" w:rsidRDefault="009D2E16" w:rsidP="005E378D">
            <w:pPr>
              <w:jc w:val="both"/>
              <w:rPr>
                <w:rFonts w:ascii="Times New Roman" w:hAnsi="Times New Roman"/>
                <w:bCs/>
                <w:sz w:val="20"/>
              </w:rPr>
            </w:pPr>
            <w:r w:rsidRPr="00F97495">
              <w:rPr>
                <w:rFonts w:ascii="Times New Roman" w:hAnsi="Times New Roman"/>
                <w:bCs/>
                <w:sz w:val="20"/>
              </w:rPr>
              <w:t>Klasa</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1</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oznakowania nowego (w ciągu 14 - 30 dni po wykonaniu) w stanie suchym barwy:    </w:t>
            </w:r>
          </w:p>
          <w:p w:rsidR="00752889" w:rsidRPr="00F97495" w:rsidRDefault="009D2E16" w:rsidP="005E378D">
            <w:pPr>
              <w:jc w:val="both"/>
              <w:rPr>
                <w:rFonts w:ascii="Times New Roman" w:hAnsi="Times New Roman"/>
                <w:sz w:val="20"/>
              </w:rPr>
            </w:pPr>
            <w:r w:rsidRPr="00F97495">
              <w:rPr>
                <w:rFonts w:ascii="Times New Roman" w:hAnsi="Times New Roman"/>
                <w:sz w:val="20"/>
              </w:rPr>
              <w:t>białej,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 tymczasowej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250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150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R4/5</w:t>
            </w:r>
          </w:p>
          <w:p w:rsidR="00752889" w:rsidRPr="00F97495" w:rsidRDefault="009D2E16" w:rsidP="005E378D">
            <w:pPr>
              <w:jc w:val="both"/>
              <w:rPr>
                <w:rFonts w:ascii="Times New Roman" w:hAnsi="Times New Roman"/>
                <w:sz w:val="20"/>
              </w:rPr>
            </w:pPr>
            <w:r w:rsidRPr="00F97495">
              <w:rPr>
                <w:rFonts w:ascii="Times New Roman" w:hAnsi="Times New Roman"/>
                <w:sz w:val="20"/>
              </w:rPr>
              <w:t>R3</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2</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color w:val="FF0000"/>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oznakowania eksploatowanego po 30 dniach w całym okresie gwarancyjnym: </w:t>
            </w:r>
          </w:p>
          <w:p w:rsidR="00752889" w:rsidRPr="00F97495" w:rsidRDefault="009D2E16" w:rsidP="005E378D">
            <w:pPr>
              <w:jc w:val="both"/>
              <w:rPr>
                <w:rFonts w:ascii="Times New Roman" w:hAnsi="Times New Roman"/>
                <w:sz w:val="20"/>
              </w:rPr>
            </w:pPr>
            <w:r w:rsidRPr="00F97495">
              <w:rPr>
                <w:rFonts w:ascii="Times New Roman" w:hAnsi="Times New Roman"/>
                <w:sz w:val="20"/>
              </w:rPr>
              <w:t>białej,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200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100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R4</w:t>
            </w:r>
          </w:p>
          <w:p w:rsidR="00752889" w:rsidRPr="00F97495" w:rsidRDefault="009D2E16" w:rsidP="005E378D">
            <w:pPr>
              <w:jc w:val="both"/>
              <w:rPr>
                <w:rFonts w:ascii="Times New Roman" w:hAnsi="Times New Roman"/>
                <w:sz w:val="20"/>
              </w:rPr>
            </w:pPr>
            <w:r w:rsidRPr="00F97495">
              <w:rPr>
                <w:rFonts w:ascii="Times New Roman" w:hAnsi="Times New Roman"/>
                <w:sz w:val="20"/>
              </w:rPr>
              <w:t>R2</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trike/>
                <w:sz w:val="20"/>
              </w:rPr>
            </w:pPr>
            <w:r w:rsidRPr="00F97495">
              <w:rPr>
                <w:rFonts w:ascii="Times New Roman" w:hAnsi="Times New Roman"/>
                <w:sz w:val="20"/>
              </w:rPr>
              <w:t>3</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trike/>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grubowarstwowego strukturalnego oznakowania wilgotnego od 14 do 30 dnia po wykonaniu, barwy białej</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trike/>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trike/>
                <w:sz w:val="20"/>
              </w:rPr>
            </w:pPr>
            <w:r w:rsidRPr="00F97495">
              <w:rPr>
                <w:rFonts w:ascii="Times New Roman" w:hAnsi="Times New Roman"/>
                <w:sz w:val="20"/>
              </w:rPr>
              <w:sym w:font="Symbol" w:char="F0B3"/>
            </w:r>
            <w:r w:rsidRPr="00F97495">
              <w:rPr>
                <w:rFonts w:ascii="Times New Roman" w:hAnsi="Times New Roman"/>
                <w:sz w:val="20"/>
              </w:rPr>
              <w:t xml:space="preserve"> 50</w:t>
            </w:r>
          </w:p>
        </w:tc>
        <w:tc>
          <w:tcPr>
            <w:tcW w:w="924"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trike/>
                <w:sz w:val="20"/>
              </w:rPr>
            </w:pPr>
            <w:r w:rsidRPr="00F97495">
              <w:rPr>
                <w:rFonts w:ascii="Times New Roman" w:hAnsi="Times New Roman"/>
                <w:sz w:val="20"/>
              </w:rPr>
              <w:t>RW3</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4</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Współczynnik odblasku R</w:t>
            </w:r>
            <w:r w:rsidRPr="00F97495">
              <w:rPr>
                <w:rFonts w:ascii="Times New Roman" w:hAnsi="Times New Roman"/>
                <w:sz w:val="20"/>
                <w:vertAlign w:val="subscript"/>
              </w:rPr>
              <w:t>L</w:t>
            </w:r>
            <w:r w:rsidRPr="00F97495">
              <w:rPr>
                <w:rFonts w:ascii="Times New Roman" w:hAnsi="Times New Roman"/>
                <w:sz w:val="20"/>
              </w:rPr>
              <w:t xml:space="preserve"> dla grubowarstwowego strukturalnego oznakowania wilgotnego po 30 dniu od wykonania, barwy białej</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35</w:t>
            </w:r>
          </w:p>
        </w:tc>
        <w:tc>
          <w:tcPr>
            <w:tcW w:w="924" w:type="dxa"/>
            <w:tcBorders>
              <w:top w:val="single" w:sz="6" w:space="0" w:color="auto"/>
              <w:left w:val="single" w:sz="6" w:space="0" w:color="auto"/>
              <w:bottom w:val="single" w:sz="6" w:space="0" w:color="auto"/>
              <w:right w:val="single" w:sz="6" w:space="0" w:color="auto"/>
            </w:tcBorders>
            <w:noWrap/>
            <w:vAlign w:val="center"/>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RW2</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5</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t>
            </w:r>
            <w:r w:rsidRPr="00F97495">
              <w:rPr>
                <w:rFonts w:ascii="Times New Roman" w:hAnsi="Times New Roman"/>
                <w:sz w:val="20"/>
              </w:rPr>
              <w:sym w:font="Symbol" w:char="F062"/>
            </w:r>
            <w:r w:rsidRPr="00F97495">
              <w:rPr>
                <w:rFonts w:ascii="Times New Roman" w:hAnsi="Times New Roman"/>
                <w:sz w:val="20"/>
              </w:rPr>
              <w:t xml:space="preserve"> dla oznakowania nowego (od 14 do 30 dnia po wykonaniu)  barwy:</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asfaltowej,</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betonowej,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w:t>
            </w:r>
          </w:p>
        </w:tc>
        <w:tc>
          <w:tcPr>
            <w:tcW w:w="1134" w:type="dxa"/>
            <w:tcBorders>
              <w:top w:val="single" w:sz="6" w:space="0" w:color="auto"/>
              <w:left w:val="single" w:sz="6" w:space="0" w:color="auto"/>
              <w:bottom w:val="single" w:sz="6" w:space="0" w:color="auto"/>
              <w:right w:val="single" w:sz="6" w:space="0" w:color="auto"/>
            </w:tcBorders>
            <w:noWrap/>
            <w:hideMark/>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tc>
        <w:tc>
          <w:tcPr>
            <w:tcW w:w="1276" w:type="dxa"/>
            <w:tcBorders>
              <w:top w:val="single" w:sz="6" w:space="0" w:color="auto"/>
              <w:left w:val="single" w:sz="6" w:space="0" w:color="auto"/>
              <w:bottom w:val="single" w:sz="6" w:space="0" w:color="auto"/>
              <w:right w:val="single" w:sz="6" w:space="0" w:color="auto"/>
            </w:tcBorders>
            <w:noWrap/>
            <w:hideMark/>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0,40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0,50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0,30</w:t>
            </w:r>
          </w:p>
        </w:tc>
        <w:tc>
          <w:tcPr>
            <w:tcW w:w="924" w:type="dxa"/>
            <w:tcBorders>
              <w:top w:val="single" w:sz="6" w:space="0" w:color="auto"/>
              <w:left w:val="single" w:sz="6" w:space="0" w:color="auto"/>
              <w:bottom w:val="single" w:sz="6" w:space="0" w:color="auto"/>
              <w:right w:val="single" w:sz="6" w:space="0" w:color="auto"/>
            </w:tcBorders>
            <w:noWrap/>
            <w:hideMark/>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B3</w:t>
            </w:r>
          </w:p>
          <w:p w:rsidR="00752889" w:rsidRPr="00F97495" w:rsidRDefault="009D2E16" w:rsidP="005E378D">
            <w:pPr>
              <w:jc w:val="both"/>
              <w:rPr>
                <w:rFonts w:ascii="Times New Roman" w:hAnsi="Times New Roman"/>
                <w:sz w:val="20"/>
              </w:rPr>
            </w:pPr>
            <w:r w:rsidRPr="00F97495">
              <w:rPr>
                <w:rFonts w:ascii="Times New Roman" w:hAnsi="Times New Roman"/>
                <w:sz w:val="20"/>
              </w:rPr>
              <w:t>B4</w:t>
            </w:r>
          </w:p>
          <w:p w:rsidR="00752889" w:rsidRPr="00F97495" w:rsidRDefault="009D2E16" w:rsidP="005E378D">
            <w:pPr>
              <w:jc w:val="both"/>
              <w:rPr>
                <w:rFonts w:ascii="Times New Roman" w:hAnsi="Times New Roman"/>
                <w:sz w:val="20"/>
              </w:rPr>
            </w:pPr>
            <w:r w:rsidRPr="00F97495">
              <w:rPr>
                <w:rFonts w:ascii="Times New Roman" w:hAnsi="Times New Roman"/>
                <w:sz w:val="20"/>
              </w:rPr>
              <w:t>B2</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6</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t>
            </w:r>
            <w:r w:rsidRPr="00F97495">
              <w:rPr>
                <w:rFonts w:ascii="Times New Roman" w:hAnsi="Times New Roman"/>
                <w:sz w:val="20"/>
              </w:rPr>
              <w:sym w:font="Symbol" w:char="F062"/>
            </w:r>
            <w:r w:rsidRPr="00F97495">
              <w:rPr>
                <w:rFonts w:ascii="Times New Roman" w:hAnsi="Times New Roman"/>
                <w:sz w:val="20"/>
              </w:rPr>
              <w:t xml:space="preserve"> dla oznakowania eksploatowanego (po 30 dniu od wykonania) barwy:</w:t>
            </w:r>
          </w:p>
          <w:p w:rsidR="00752889" w:rsidRPr="00F97495" w:rsidRDefault="009D2E16" w:rsidP="005E378D">
            <w:pPr>
              <w:jc w:val="both"/>
              <w:rPr>
                <w:rFonts w:ascii="Times New Roman" w:hAnsi="Times New Roman"/>
                <w:sz w:val="20"/>
              </w:rPr>
            </w:pPr>
            <w:r w:rsidRPr="00F97495">
              <w:rPr>
                <w:rFonts w:ascii="Times New Roman" w:hAnsi="Times New Roman"/>
                <w:sz w:val="20"/>
              </w:rPr>
              <w:t>- białej</w:t>
            </w:r>
          </w:p>
          <w:p w:rsidR="00752889" w:rsidRPr="00F97495" w:rsidRDefault="009D2E16" w:rsidP="005E378D">
            <w:pPr>
              <w:jc w:val="both"/>
              <w:rPr>
                <w:rFonts w:ascii="Times New Roman" w:hAnsi="Times New Roman"/>
                <w:sz w:val="20"/>
              </w:rPr>
            </w:pPr>
            <w:r w:rsidRPr="00F97495">
              <w:rPr>
                <w:rFonts w:ascii="Times New Roman" w:hAnsi="Times New Roman"/>
                <w:sz w:val="20"/>
              </w:rPr>
              <w:t>- żółtej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0,30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0,20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B2</w:t>
            </w:r>
          </w:p>
          <w:p w:rsidR="00752889" w:rsidRPr="00F97495" w:rsidRDefault="009D2E16" w:rsidP="005E378D">
            <w:pPr>
              <w:jc w:val="both"/>
              <w:rPr>
                <w:rFonts w:ascii="Times New Roman" w:hAnsi="Times New Roman"/>
                <w:sz w:val="20"/>
              </w:rPr>
            </w:pPr>
            <w:r w:rsidRPr="00F97495">
              <w:rPr>
                <w:rFonts w:ascii="Times New Roman" w:hAnsi="Times New Roman"/>
                <w:sz w:val="20"/>
              </w:rPr>
              <w:t>B1</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lastRenderedPageBreak/>
              <w:t>7</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 świetle rozproszonym </w:t>
            </w:r>
            <w:proofErr w:type="spellStart"/>
            <w:r w:rsidRPr="00F97495">
              <w:rPr>
                <w:rFonts w:ascii="Times New Roman" w:hAnsi="Times New Roman"/>
                <w:sz w:val="20"/>
              </w:rPr>
              <w:t>Qd</w:t>
            </w:r>
            <w:proofErr w:type="spellEnd"/>
            <w:r w:rsidRPr="00F97495">
              <w:rPr>
                <w:rFonts w:ascii="Times New Roman" w:hAnsi="Times New Roman"/>
                <w:sz w:val="20"/>
              </w:rPr>
              <w:t xml:space="preserve"> (alternatywnie do </w:t>
            </w:r>
            <w:r w:rsidRPr="00F97495">
              <w:rPr>
                <w:rFonts w:ascii="Times New Roman" w:hAnsi="Times New Roman"/>
                <w:sz w:val="20"/>
              </w:rPr>
              <w:sym w:font="Symbol" w:char="F062"/>
            </w:r>
            <w:r w:rsidRPr="00F97495">
              <w:rPr>
                <w:rFonts w:ascii="Times New Roman" w:hAnsi="Times New Roman"/>
                <w:sz w:val="20"/>
              </w:rPr>
              <w:t>) dla oznakowania nowego w ciągu od 14 do 30 dnia po wykonaniu, barwy:</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asfaltowej</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betonowej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130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160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100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Q3</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Q4</w:t>
            </w:r>
          </w:p>
          <w:p w:rsidR="00752889" w:rsidRPr="00F97495" w:rsidRDefault="009D2E16" w:rsidP="005E378D">
            <w:pPr>
              <w:jc w:val="both"/>
              <w:rPr>
                <w:rFonts w:ascii="Times New Roman" w:hAnsi="Times New Roman"/>
                <w:sz w:val="20"/>
              </w:rPr>
            </w:pPr>
            <w:r w:rsidRPr="00F97495">
              <w:rPr>
                <w:rFonts w:ascii="Times New Roman" w:hAnsi="Times New Roman"/>
                <w:sz w:val="20"/>
                <w:lang w:val="en-US"/>
              </w:rPr>
              <w:t>Q2</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8</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Współczynnik luminancji w świetle rozproszonym </w:t>
            </w:r>
            <w:proofErr w:type="spellStart"/>
            <w:r w:rsidRPr="00F97495">
              <w:rPr>
                <w:rFonts w:ascii="Times New Roman" w:hAnsi="Times New Roman"/>
                <w:sz w:val="20"/>
              </w:rPr>
              <w:t>Qd</w:t>
            </w:r>
            <w:proofErr w:type="spellEnd"/>
            <w:r w:rsidRPr="00F97495">
              <w:rPr>
                <w:rFonts w:ascii="Times New Roman" w:hAnsi="Times New Roman"/>
                <w:sz w:val="20"/>
              </w:rPr>
              <w:t xml:space="preserve"> (alternatywnie do </w:t>
            </w:r>
            <w:r w:rsidRPr="00F97495">
              <w:rPr>
                <w:rFonts w:ascii="Times New Roman" w:hAnsi="Times New Roman"/>
                <w:sz w:val="20"/>
              </w:rPr>
              <w:sym w:font="Symbol" w:char="F062"/>
            </w:r>
            <w:r w:rsidRPr="00F97495">
              <w:rPr>
                <w:rFonts w:ascii="Times New Roman" w:hAnsi="Times New Roman"/>
                <w:sz w:val="20"/>
              </w:rPr>
              <w:t>) dla oznakowania eksploatowanego w ciągu całego okresu eksploatacji po 30 dniu od wykonania, barwy:</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asfaltowej</w:t>
            </w:r>
          </w:p>
          <w:p w:rsidR="00752889" w:rsidRPr="00F97495" w:rsidRDefault="009D2E16" w:rsidP="005E378D">
            <w:pPr>
              <w:jc w:val="both"/>
              <w:rPr>
                <w:rFonts w:ascii="Times New Roman" w:hAnsi="Times New Roman"/>
                <w:sz w:val="20"/>
              </w:rPr>
            </w:pPr>
            <w:r w:rsidRPr="00F97495">
              <w:rPr>
                <w:rFonts w:ascii="Times New Roman" w:hAnsi="Times New Roman"/>
                <w:sz w:val="20"/>
              </w:rPr>
              <w:t>białej na nawierzchni betonowej</w:t>
            </w:r>
          </w:p>
          <w:p w:rsidR="00752889" w:rsidRPr="00F97495" w:rsidRDefault="009D2E16" w:rsidP="005E378D">
            <w:pPr>
              <w:jc w:val="both"/>
              <w:rPr>
                <w:rFonts w:ascii="Times New Roman" w:hAnsi="Times New Roman"/>
                <w:sz w:val="20"/>
              </w:rPr>
            </w:pPr>
            <w:r w:rsidRPr="00F97495">
              <w:rPr>
                <w:rFonts w:ascii="Times New Roman" w:hAnsi="Times New Roman"/>
                <w:sz w:val="20"/>
              </w:rPr>
              <w:t>żółtej</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vertAlign w:val="superscript"/>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p w:rsidR="00752889" w:rsidRPr="00F97495" w:rsidRDefault="009D2E16" w:rsidP="005E378D">
            <w:pPr>
              <w:jc w:val="both"/>
              <w:rPr>
                <w:rFonts w:ascii="Times New Roman" w:hAnsi="Times New Roman"/>
                <w:sz w:val="20"/>
              </w:rPr>
            </w:pPr>
            <w:r w:rsidRPr="00F97495">
              <w:rPr>
                <w:rFonts w:ascii="Times New Roman" w:hAnsi="Times New Roman"/>
                <w:sz w:val="20"/>
              </w:rPr>
              <w:t>mcd m</w:t>
            </w:r>
            <w:r w:rsidRPr="00F97495">
              <w:rPr>
                <w:rFonts w:ascii="Times New Roman" w:hAnsi="Times New Roman"/>
                <w:sz w:val="20"/>
                <w:vertAlign w:val="superscript"/>
              </w:rPr>
              <w:t>-2</w:t>
            </w:r>
            <w:r w:rsidRPr="00F97495">
              <w:rPr>
                <w:rFonts w:ascii="Times New Roman" w:hAnsi="Times New Roman"/>
                <w:sz w:val="20"/>
              </w:rPr>
              <w:t xml:space="preserve"> lx</w:t>
            </w:r>
            <w:r w:rsidRPr="00F97495">
              <w:rPr>
                <w:rFonts w:ascii="Times New Roman" w:hAnsi="Times New Roman"/>
                <w:sz w:val="20"/>
                <w:vertAlign w:val="superscript"/>
              </w:rPr>
              <w:t>-1</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100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130</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80</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Q2</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Q3</w:t>
            </w:r>
          </w:p>
          <w:p w:rsidR="00752889" w:rsidRPr="00F97495" w:rsidRDefault="009D2E16" w:rsidP="005E378D">
            <w:pPr>
              <w:jc w:val="both"/>
              <w:rPr>
                <w:rFonts w:ascii="Times New Roman" w:hAnsi="Times New Roman"/>
                <w:sz w:val="20"/>
                <w:lang w:val="en-US"/>
              </w:rPr>
            </w:pPr>
            <w:r w:rsidRPr="00F97495">
              <w:rPr>
                <w:rFonts w:ascii="Times New Roman" w:hAnsi="Times New Roman"/>
                <w:sz w:val="20"/>
                <w:lang w:val="en-US"/>
              </w:rPr>
              <w:t>Q1</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9</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Szorstkość oznakowania eksploatowanego</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9D2E16" w:rsidP="005E378D">
            <w:pPr>
              <w:jc w:val="both"/>
              <w:rPr>
                <w:rFonts w:ascii="Times New Roman" w:hAnsi="Times New Roman"/>
                <w:sz w:val="20"/>
              </w:rPr>
            </w:pPr>
            <w:r w:rsidRPr="00F97495">
              <w:rPr>
                <w:rFonts w:ascii="Times New Roman" w:hAnsi="Times New Roman"/>
                <w:sz w:val="20"/>
              </w:rPr>
              <w:t>wskaźnik</w:t>
            </w:r>
          </w:p>
          <w:p w:rsidR="00752889" w:rsidRPr="00F97495" w:rsidRDefault="009D2E16" w:rsidP="005E378D">
            <w:pPr>
              <w:jc w:val="both"/>
              <w:rPr>
                <w:rFonts w:ascii="Times New Roman" w:hAnsi="Times New Roman"/>
                <w:sz w:val="20"/>
              </w:rPr>
            </w:pPr>
            <w:r w:rsidRPr="00F97495">
              <w:rPr>
                <w:rFonts w:ascii="Times New Roman" w:hAnsi="Times New Roman"/>
                <w:sz w:val="20"/>
              </w:rPr>
              <w:t>SRT</w:t>
            </w:r>
          </w:p>
        </w:tc>
        <w:tc>
          <w:tcPr>
            <w:tcW w:w="1276" w:type="dxa"/>
            <w:tcBorders>
              <w:top w:val="single" w:sz="6" w:space="0" w:color="auto"/>
              <w:left w:val="single" w:sz="6" w:space="0" w:color="auto"/>
              <w:bottom w:val="single" w:sz="6" w:space="0" w:color="auto"/>
              <w:right w:val="single" w:sz="6" w:space="0" w:color="auto"/>
            </w:tcBorders>
            <w:noWrap/>
            <w:vAlign w:val="center"/>
          </w:tcPr>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45</w:t>
            </w:r>
          </w:p>
        </w:tc>
        <w:tc>
          <w:tcPr>
            <w:tcW w:w="924" w:type="dxa"/>
            <w:tcBorders>
              <w:top w:val="single" w:sz="6" w:space="0" w:color="auto"/>
              <w:left w:val="single" w:sz="6" w:space="0" w:color="auto"/>
              <w:bottom w:val="single" w:sz="6" w:space="0" w:color="auto"/>
              <w:right w:val="single" w:sz="6" w:space="0" w:color="auto"/>
            </w:tcBorders>
            <w:noWrap/>
            <w:vAlign w:val="center"/>
          </w:tcPr>
          <w:p w:rsidR="00752889" w:rsidRPr="00F97495" w:rsidRDefault="009D2E16" w:rsidP="005E378D">
            <w:pPr>
              <w:jc w:val="both"/>
              <w:rPr>
                <w:rFonts w:ascii="Times New Roman" w:hAnsi="Times New Roman"/>
                <w:sz w:val="20"/>
                <w:lang w:val="en-US"/>
              </w:rPr>
            </w:pPr>
            <w:r w:rsidRPr="00F97495">
              <w:rPr>
                <w:rFonts w:ascii="Times New Roman" w:hAnsi="Times New Roman"/>
                <w:sz w:val="20"/>
              </w:rPr>
              <w:t>S1</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10</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Trwałość oznakowania cienkowarstwowego po 12 miesiącach:</w:t>
            </w:r>
          </w:p>
        </w:tc>
        <w:tc>
          <w:tcPr>
            <w:tcW w:w="113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skala LCPC</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B3"/>
            </w:r>
            <w:r w:rsidRPr="00F97495">
              <w:rPr>
                <w:rFonts w:ascii="Times New Roman" w:hAnsi="Times New Roman"/>
                <w:sz w:val="20"/>
              </w:rPr>
              <w:t xml:space="preserve"> 6</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9D2E16" w:rsidP="005E378D">
            <w:pPr>
              <w:jc w:val="both"/>
              <w:rPr>
                <w:rFonts w:ascii="Times New Roman" w:hAnsi="Times New Roman"/>
                <w:sz w:val="20"/>
              </w:rPr>
            </w:pPr>
            <w:r w:rsidRPr="00F97495">
              <w:rPr>
                <w:rFonts w:ascii="Times New Roman" w:hAnsi="Times New Roman"/>
                <w:sz w:val="20"/>
              </w:rPr>
              <w:t>-</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11</w:t>
            </w:r>
          </w:p>
        </w:tc>
        <w:tc>
          <w:tcPr>
            <w:tcW w:w="5244" w:type="dxa"/>
            <w:tcBorders>
              <w:top w:val="single" w:sz="6" w:space="0" w:color="auto"/>
              <w:left w:val="single" w:sz="6" w:space="0" w:color="auto"/>
              <w:bottom w:val="single" w:sz="6" w:space="0" w:color="auto"/>
              <w:right w:val="single" w:sz="6" w:space="0" w:color="auto"/>
            </w:tcBorders>
            <w:noWrap/>
            <w:hideMark/>
          </w:tcPr>
          <w:p w:rsidR="00752889" w:rsidRPr="00F97495" w:rsidRDefault="009D2E16" w:rsidP="005E378D">
            <w:pPr>
              <w:jc w:val="both"/>
              <w:rPr>
                <w:rFonts w:ascii="Times New Roman" w:hAnsi="Times New Roman"/>
                <w:sz w:val="20"/>
              </w:rPr>
            </w:pPr>
            <w:r w:rsidRPr="00F97495">
              <w:rPr>
                <w:rFonts w:ascii="Times New Roman" w:hAnsi="Times New Roman"/>
                <w:sz w:val="20"/>
              </w:rPr>
              <w:t>Czas schnięcia materiału na nawierzchni</w:t>
            </w:r>
          </w:p>
          <w:p w:rsidR="00752889" w:rsidRPr="00F97495" w:rsidRDefault="009D2E16" w:rsidP="005E378D">
            <w:pPr>
              <w:jc w:val="both"/>
              <w:rPr>
                <w:rFonts w:ascii="Times New Roman" w:hAnsi="Times New Roman"/>
                <w:sz w:val="20"/>
              </w:rPr>
            </w:pPr>
            <w:r w:rsidRPr="00F97495">
              <w:rPr>
                <w:rFonts w:ascii="Times New Roman" w:hAnsi="Times New Roman"/>
                <w:sz w:val="20"/>
              </w:rPr>
              <w:t>w dzień</w:t>
            </w:r>
          </w:p>
          <w:p w:rsidR="00752889" w:rsidRPr="00F97495" w:rsidRDefault="009D2E16" w:rsidP="005E378D">
            <w:pPr>
              <w:jc w:val="both"/>
              <w:rPr>
                <w:rFonts w:ascii="Times New Roman" w:hAnsi="Times New Roman"/>
                <w:sz w:val="20"/>
              </w:rPr>
            </w:pPr>
            <w:r w:rsidRPr="00F97495">
              <w:rPr>
                <w:rFonts w:ascii="Times New Roman" w:hAnsi="Times New Roman"/>
                <w:sz w:val="20"/>
              </w:rPr>
              <w:t>w nocy</w:t>
            </w: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h</w:t>
            </w:r>
          </w:p>
          <w:p w:rsidR="00752889" w:rsidRPr="00F97495" w:rsidRDefault="009D2E16" w:rsidP="005E378D">
            <w:pPr>
              <w:jc w:val="both"/>
              <w:rPr>
                <w:rFonts w:ascii="Times New Roman" w:hAnsi="Times New Roman"/>
                <w:sz w:val="20"/>
              </w:rPr>
            </w:pPr>
            <w:r w:rsidRPr="00F97495">
              <w:rPr>
                <w:rFonts w:ascii="Times New Roman" w:hAnsi="Times New Roman"/>
                <w:sz w:val="20"/>
              </w:rPr>
              <w:t>h</w:t>
            </w: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A3"/>
            </w:r>
            <w:r w:rsidRPr="00F97495">
              <w:rPr>
                <w:rFonts w:ascii="Times New Roman" w:hAnsi="Times New Roman"/>
                <w:sz w:val="20"/>
              </w:rPr>
              <w:t xml:space="preserve"> 1</w:t>
            </w:r>
          </w:p>
          <w:p w:rsidR="00752889" w:rsidRPr="00F97495" w:rsidRDefault="009D2E16" w:rsidP="005E378D">
            <w:pPr>
              <w:jc w:val="both"/>
              <w:rPr>
                <w:rFonts w:ascii="Times New Roman" w:hAnsi="Times New Roman"/>
                <w:sz w:val="20"/>
              </w:rPr>
            </w:pPr>
            <w:r w:rsidRPr="00F97495">
              <w:rPr>
                <w:rFonts w:ascii="Times New Roman" w:hAnsi="Times New Roman"/>
                <w:sz w:val="20"/>
              </w:rPr>
              <w:sym w:font="Symbol" w:char="F0A3"/>
            </w:r>
            <w:r w:rsidRPr="00F97495">
              <w:rPr>
                <w:rFonts w:ascii="Times New Roman" w:hAnsi="Times New Roman"/>
                <w:sz w:val="20"/>
              </w:rPr>
              <w:t xml:space="preserve"> 2</w:t>
            </w: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p w:rsidR="00752889" w:rsidRPr="00F97495" w:rsidRDefault="009D2E16" w:rsidP="005E378D">
            <w:pPr>
              <w:jc w:val="both"/>
              <w:rPr>
                <w:rFonts w:ascii="Times New Roman" w:hAnsi="Times New Roman"/>
                <w:sz w:val="20"/>
              </w:rPr>
            </w:pPr>
            <w:r w:rsidRPr="00F97495">
              <w:rPr>
                <w:rFonts w:ascii="Times New Roman" w:hAnsi="Times New Roman"/>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w:t>
            </w:r>
          </w:p>
        </w:tc>
      </w:tr>
      <w:tr w:rsidR="00752889" w:rsidRPr="00F97495">
        <w:trPr>
          <w:cantSplit/>
        </w:trPr>
        <w:tc>
          <w:tcPr>
            <w:tcW w:w="49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tc>
        <w:tc>
          <w:tcPr>
            <w:tcW w:w="524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tc>
        <w:tc>
          <w:tcPr>
            <w:tcW w:w="113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tc>
        <w:tc>
          <w:tcPr>
            <w:tcW w:w="1276"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tc>
        <w:tc>
          <w:tcPr>
            <w:tcW w:w="924" w:type="dxa"/>
            <w:tcBorders>
              <w:top w:val="single" w:sz="6" w:space="0" w:color="auto"/>
              <w:left w:val="single" w:sz="6" w:space="0" w:color="auto"/>
              <w:bottom w:val="single" w:sz="6" w:space="0" w:color="auto"/>
              <w:right w:val="single" w:sz="6" w:space="0" w:color="auto"/>
            </w:tcBorders>
            <w:noWrap/>
          </w:tcPr>
          <w:p w:rsidR="00752889" w:rsidRPr="00F97495" w:rsidRDefault="00752889" w:rsidP="005E378D">
            <w:pPr>
              <w:jc w:val="both"/>
              <w:rPr>
                <w:rFonts w:ascii="Times New Roman" w:hAnsi="Times New Roman"/>
                <w:sz w:val="20"/>
              </w:rPr>
            </w:pPr>
          </w:p>
        </w:tc>
      </w:tr>
    </w:tbl>
    <w:p w:rsidR="00752889" w:rsidRPr="00F97495" w:rsidRDefault="00752889" w:rsidP="005E378D">
      <w:pPr>
        <w:jc w:val="both"/>
        <w:rPr>
          <w:rFonts w:ascii="Times New Roman" w:hAnsi="Times New Roman"/>
          <w:sz w:val="10"/>
          <w:szCs w:val="10"/>
        </w:rPr>
      </w:pPr>
    </w:p>
    <w:p w:rsidR="00752889" w:rsidRPr="00F97495" w:rsidRDefault="009D2E16" w:rsidP="005E378D">
      <w:pPr>
        <w:jc w:val="both"/>
        <w:rPr>
          <w:rFonts w:ascii="Times New Roman" w:hAnsi="Times New Roman"/>
          <w:sz w:val="20"/>
        </w:rPr>
      </w:pPr>
      <w:r w:rsidRPr="00F97495">
        <w:rPr>
          <w:rFonts w:ascii="Times New Roman" w:hAnsi="Times New Roman"/>
          <w:b/>
          <w:sz w:val="20"/>
        </w:rPr>
        <w:t>6.3.3.8.</w:t>
      </w:r>
      <w:r w:rsidRPr="00F97495">
        <w:rPr>
          <w:rFonts w:ascii="Times New Roman" w:hAnsi="Times New Roman"/>
          <w:sz w:val="20"/>
        </w:rPr>
        <w:t xml:space="preserve"> Tolerancje wymiarów oznakowania</w:t>
      </w:r>
    </w:p>
    <w:p w:rsidR="00752889" w:rsidRPr="00F97495" w:rsidRDefault="009D2E16" w:rsidP="005E378D">
      <w:pPr>
        <w:jc w:val="both"/>
        <w:rPr>
          <w:rFonts w:ascii="Times New Roman" w:hAnsi="Times New Roman"/>
          <w:sz w:val="20"/>
        </w:rPr>
      </w:pPr>
      <w:r w:rsidRPr="00F97495">
        <w:rPr>
          <w:rFonts w:ascii="Times New Roman" w:hAnsi="Times New Roman"/>
          <w:sz w:val="20"/>
        </w:rPr>
        <w:t>Tolerancje nowo wykonanego oznakowania poziomego, wykonanego zgodnie z Dokumentacją Projektową i Załącznikiem Nr 2 do rozporządzenia Ministra Infrastruktury z dnia 3 lipca 2003 (</w:t>
      </w:r>
      <w:proofErr w:type="spellStart"/>
      <w:r w:rsidRPr="00F97495">
        <w:rPr>
          <w:rFonts w:ascii="Times New Roman" w:hAnsi="Times New Roman"/>
          <w:sz w:val="20"/>
        </w:rPr>
        <w:t>DzU</w:t>
      </w:r>
      <w:proofErr w:type="spellEnd"/>
      <w:r w:rsidRPr="00F97495">
        <w:rPr>
          <w:rFonts w:ascii="Times New Roman" w:hAnsi="Times New Roman"/>
          <w:sz w:val="20"/>
        </w:rPr>
        <w:t>. Nr 220 z dnia 23 grudnia 2003, poz. 218), powinny odpowiadać następującym warunkom:</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szerokość linii może różnić się od wymaganej o </w:t>
      </w:r>
      <w:r w:rsidRPr="00F97495">
        <w:rPr>
          <w:rFonts w:ascii="Times New Roman" w:hAnsi="Times New Roman"/>
          <w:sz w:val="20"/>
        </w:rPr>
        <w:sym w:font="Symbol" w:char="F0B1"/>
      </w:r>
      <w:r w:rsidRPr="00F97495">
        <w:rPr>
          <w:rFonts w:ascii="Times New Roman" w:hAnsi="Times New Roman"/>
          <w:sz w:val="20"/>
        </w:rPr>
        <w:t xml:space="preserve"> 5mm</w:t>
      </w:r>
    </w:p>
    <w:p w:rsidR="00752889" w:rsidRPr="00F97495" w:rsidRDefault="009D2E16" w:rsidP="005E378D">
      <w:pPr>
        <w:jc w:val="both"/>
        <w:rPr>
          <w:rFonts w:ascii="Times New Roman" w:hAnsi="Times New Roman"/>
          <w:sz w:val="20"/>
        </w:rPr>
      </w:pPr>
      <w:r w:rsidRPr="00F97495">
        <w:rPr>
          <w:rFonts w:ascii="Times New Roman" w:hAnsi="Times New Roman"/>
          <w:sz w:val="20"/>
        </w:rPr>
        <w:t>długość linii może być mniejsza od wymaganej co najwyżej o 50 mm lub większa co najwyżej o 150 mm,</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dla linii przerywanych, długość cyklu składającego się z linii i przerwy nie może odbiegać od średniej liczonej z 10 kolejnych cykli o więcej niż </w:t>
      </w:r>
      <w:r w:rsidRPr="00F97495">
        <w:rPr>
          <w:rFonts w:ascii="Times New Roman" w:hAnsi="Times New Roman"/>
          <w:sz w:val="20"/>
        </w:rPr>
        <w:sym w:font="Symbol" w:char="F0B1"/>
      </w:r>
      <w:r w:rsidRPr="00F97495">
        <w:rPr>
          <w:rFonts w:ascii="Times New Roman" w:hAnsi="Times New Roman"/>
          <w:sz w:val="20"/>
        </w:rPr>
        <w:t xml:space="preserve"> 50 mm długości wymaganej</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dla strzałek, liter i cyfr rozstaw punktów narożnikowych nie może mieć większej odchyłki od wymaganego wzoru niż </w:t>
      </w:r>
      <w:r w:rsidRPr="00F97495">
        <w:rPr>
          <w:rFonts w:ascii="Times New Roman" w:hAnsi="Times New Roman"/>
          <w:sz w:val="20"/>
        </w:rPr>
        <w:sym w:font="Symbol" w:char="F0B1"/>
      </w:r>
      <w:r w:rsidRPr="00F97495">
        <w:rPr>
          <w:rFonts w:ascii="Times New Roman" w:hAnsi="Times New Roman"/>
          <w:sz w:val="20"/>
        </w:rPr>
        <w:t xml:space="preserve"> 50 mm dla wymiaru długości i </w:t>
      </w:r>
      <w:r w:rsidRPr="00F97495">
        <w:rPr>
          <w:rFonts w:ascii="Times New Roman" w:hAnsi="Times New Roman"/>
          <w:sz w:val="20"/>
        </w:rPr>
        <w:sym w:font="Symbol" w:char="F0B1"/>
      </w:r>
      <w:r w:rsidRPr="00F97495">
        <w:rPr>
          <w:rFonts w:ascii="Times New Roman" w:hAnsi="Times New Roman"/>
          <w:sz w:val="20"/>
        </w:rPr>
        <w:t xml:space="preserve"> 20 mm dla wymiaru szerokości.</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6.4. Kontrola wykonania znakowania z punktowych elementów odblaskowych</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W czasie znakowania punktowymi elementami odblaskowych należy co najmniej raz dziennie przeprowadzać następujące badania: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sprawdzenia rodzaju stosowanego kleju lub innych elementów mocujących</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wizualną ocenę stanu elementów, w zakresie ich kompletności i braku wad,</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wilgotności względnej powietrza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temperatury powietrza i nawierzchni</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pomiaru czasu oddania do ruchu (schnięcia)</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wizualną ocenę liniowości przyklejania elementów</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równomierność przyklejania elementów na całej długości linii</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zgodność wykonania oznakowania z Dokumentacją Projektową i </w:t>
      </w:r>
      <w:r w:rsidRPr="00F97495">
        <w:rPr>
          <w:rFonts w:ascii="Times New Roman" w:hAnsi="Times New Roman"/>
          <w:sz w:val="20"/>
        </w:rPr>
        <w:t>Załącznikiem Nr 2 do rozporządzenia Ministra Infrastruktury z dnia 3 lipca 2003 (</w:t>
      </w:r>
      <w:proofErr w:type="spellStart"/>
      <w:r w:rsidRPr="00F97495">
        <w:rPr>
          <w:rFonts w:ascii="Times New Roman" w:hAnsi="Times New Roman"/>
          <w:sz w:val="20"/>
        </w:rPr>
        <w:t>Dz</w:t>
      </w:r>
      <w:proofErr w:type="spellEnd"/>
      <w:r w:rsidRPr="00F97495">
        <w:rPr>
          <w:rFonts w:ascii="Times New Roman" w:hAnsi="Times New Roman"/>
          <w:sz w:val="20"/>
        </w:rPr>
        <w:t xml:space="preserve"> U. Nr 220 z dnia 23 grudnia 2003, poz. 2181)</w:t>
      </w:r>
      <w:r w:rsidRPr="00F97495">
        <w:rPr>
          <w:rFonts w:ascii="Times New Roman" w:hAnsi="Times New Roman"/>
          <w:spacing w:val="-3"/>
          <w:sz w:val="20"/>
        </w:rPr>
        <w: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Protokół z przeprowadzonych badań wraz z próbkami przyklejonych elementów, w liczbie określonej w </w:t>
      </w:r>
      <w:r w:rsidR="00294739">
        <w:rPr>
          <w:rFonts w:ascii="Times New Roman" w:hAnsi="Times New Roman"/>
          <w:sz w:val="20"/>
        </w:rPr>
        <w:t>SST</w:t>
      </w:r>
      <w:r w:rsidRPr="00F97495">
        <w:rPr>
          <w:rFonts w:ascii="Times New Roman" w:hAnsi="Times New Roman"/>
          <w:sz w:val="20"/>
        </w:rPr>
        <w:t>, Wykonawca przechowuje do czasu upływu okresu gwarancji.</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W przypadku wątpliwości dotyczących wykonania oznakowania poziomego Inżynier może zlecić wykonanie badań widzialności w nocy, na próbkach zdjętych z nawierzchni i dostarczonych do laboratorium, na zgodność z wymaganiami podanymi  w </w:t>
      </w:r>
      <w:r w:rsidR="00294739">
        <w:rPr>
          <w:rFonts w:ascii="Times New Roman" w:hAnsi="Times New Roman"/>
          <w:sz w:val="20"/>
        </w:rPr>
        <w:t>SST</w:t>
      </w:r>
      <w:r w:rsidRPr="00F97495">
        <w:rPr>
          <w:rFonts w:ascii="Times New Roman" w:hAnsi="Times New Roman"/>
          <w:sz w:val="20"/>
        </w:rPr>
        <w:t xml:space="preserve"> lub aprobacie technicznej, wykonanych według metod określonych w  PN-EN 1463-1 lub w Warunkach technicznych POD-97.</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6.4.1.</w:t>
      </w:r>
      <w:r w:rsidRPr="00F97495">
        <w:rPr>
          <w:rFonts w:ascii="Times New Roman" w:hAnsi="Times New Roman"/>
          <w:spacing w:val="-3"/>
          <w:sz w:val="20"/>
        </w:rPr>
        <w:t xml:space="preserve"> Widzialność w nocy</w:t>
      </w:r>
    </w:p>
    <w:p w:rsidR="00752889" w:rsidRPr="00F97495" w:rsidRDefault="009D2E16" w:rsidP="005E378D">
      <w:pPr>
        <w:jc w:val="both"/>
        <w:rPr>
          <w:rFonts w:ascii="Times New Roman" w:hAnsi="Times New Roman"/>
          <w:sz w:val="20"/>
        </w:rPr>
      </w:pPr>
      <w:r w:rsidRPr="00F97495">
        <w:rPr>
          <w:rFonts w:ascii="Times New Roman" w:hAnsi="Times New Roman"/>
          <w:sz w:val="20"/>
        </w:rPr>
        <w:t>Do celów przybliżonej oceny punktowych elementów odblaskowych dopuszcza się przeprowadzenie oceny wizualnej na drodze, polegające na obserwacji oznakowania z punktowych elementów odblaskowych w nocy. Jeśli pojedynczy element jest wyraźnie widoczny z odległości 30-</w:t>
      </w:r>
      <w:smartTag w:uri="urn:schemas-microsoft-com:office:smarttags" w:element="metricconverter">
        <w:smartTagPr>
          <w:attr w:name="ProductID" w:val="50 m"/>
        </w:smartTagPr>
        <w:r w:rsidRPr="00F97495">
          <w:rPr>
            <w:rFonts w:ascii="Times New Roman" w:hAnsi="Times New Roman"/>
            <w:sz w:val="20"/>
          </w:rPr>
          <w:t>50 m</w:t>
        </w:r>
      </w:smartTag>
      <w:r w:rsidRPr="00F97495">
        <w:rPr>
          <w:rFonts w:ascii="Times New Roman" w:hAnsi="Times New Roman"/>
          <w:sz w:val="20"/>
        </w:rPr>
        <w:t xml:space="preserve"> to można uznać jego odblaskowość za zadowalającą .</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t>6.4.2.</w:t>
      </w:r>
      <w:r w:rsidRPr="00F97495">
        <w:rPr>
          <w:rFonts w:ascii="Times New Roman" w:hAnsi="Times New Roman"/>
          <w:spacing w:val="-3"/>
          <w:sz w:val="20"/>
        </w:rPr>
        <w:t xml:space="preserve"> Przyczepność do nawierzchni</w:t>
      </w:r>
    </w:p>
    <w:p w:rsidR="00752889" w:rsidRPr="00F97495" w:rsidRDefault="009D2E16" w:rsidP="005E378D">
      <w:pPr>
        <w:jc w:val="both"/>
        <w:rPr>
          <w:rFonts w:ascii="Times New Roman" w:hAnsi="Times New Roman"/>
          <w:sz w:val="20"/>
        </w:rPr>
      </w:pPr>
      <w:r w:rsidRPr="00F97495">
        <w:rPr>
          <w:rFonts w:ascii="Times New Roman" w:hAnsi="Times New Roman"/>
          <w:sz w:val="20"/>
        </w:rPr>
        <w:t>Punktowe elementy odblaskowe przyklejone do nawierzchni należy obserwować po 1 miesiącu, po 1 roku oraz po następnych 2 latach. Dopuszcza się odpadnięcie:</w:t>
      </w:r>
    </w:p>
    <w:p w:rsidR="00752889" w:rsidRPr="00F97495" w:rsidRDefault="009D2E16" w:rsidP="005E378D">
      <w:pPr>
        <w:jc w:val="both"/>
        <w:rPr>
          <w:rFonts w:ascii="Times New Roman" w:hAnsi="Times New Roman"/>
          <w:sz w:val="20"/>
        </w:rPr>
      </w:pPr>
      <w:r w:rsidRPr="00F97495">
        <w:rPr>
          <w:rFonts w:ascii="Times New Roman" w:hAnsi="Times New Roman"/>
          <w:sz w:val="20"/>
        </w:rPr>
        <w:t>po 1 miesiącu nie więcej niż 2%</w:t>
      </w:r>
    </w:p>
    <w:p w:rsidR="00752889" w:rsidRPr="00F97495" w:rsidRDefault="009D2E16" w:rsidP="005E378D">
      <w:pPr>
        <w:jc w:val="both"/>
        <w:rPr>
          <w:rFonts w:ascii="Times New Roman" w:hAnsi="Times New Roman"/>
          <w:sz w:val="20"/>
        </w:rPr>
      </w:pPr>
      <w:r w:rsidRPr="00F97495">
        <w:rPr>
          <w:rFonts w:ascii="Times New Roman" w:hAnsi="Times New Roman"/>
          <w:sz w:val="20"/>
        </w:rPr>
        <w:t>po 1 roku nie więcej niż 15%,</w:t>
      </w:r>
    </w:p>
    <w:p w:rsidR="00752889" w:rsidRPr="00F97495" w:rsidRDefault="009D2E16" w:rsidP="005E378D">
      <w:pPr>
        <w:jc w:val="both"/>
        <w:rPr>
          <w:rFonts w:ascii="Times New Roman" w:hAnsi="Times New Roman"/>
          <w:sz w:val="20"/>
        </w:rPr>
      </w:pPr>
      <w:r w:rsidRPr="00F97495">
        <w:rPr>
          <w:rFonts w:ascii="Times New Roman" w:hAnsi="Times New Roman"/>
          <w:sz w:val="20"/>
        </w:rPr>
        <w:t>po następnych 2 latach nie więcej niż 25%.</w:t>
      </w:r>
    </w:p>
    <w:p w:rsidR="00752889" w:rsidRPr="00F97495" w:rsidRDefault="009D2E16" w:rsidP="005E378D">
      <w:pPr>
        <w:jc w:val="both"/>
        <w:rPr>
          <w:rFonts w:ascii="Times New Roman" w:hAnsi="Times New Roman"/>
          <w:spacing w:val="-3"/>
          <w:sz w:val="20"/>
        </w:rPr>
      </w:pPr>
      <w:r w:rsidRPr="00F97495">
        <w:rPr>
          <w:rFonts w:ascii="Times New Roman" w:hAnsi="Times New Roman"/>
          <w:b/>
          <w:spacing w:val="-3"/>
          <w:sz w:val="20"/>
        </w:rPr>
        <w:lastRenderedPageBreak/>
        <w:t>6.4.3.</w:t>
      </w:r>
      <w:r w:rsidRPr="00F97495">
        <w:rPr>
          <w:rFonts w:ascii="Times New Roman" w:hAnsi="Times New Roman"/>
          <w:spacing w:val="-3"/>
          <w:sz w:val="20"/>
        </w:rPr>
        <w:t xml:space="preserve"> Trwałość </w:t>
      </w:r>
    </w:p>
    <w:p w:rsidR="00752889" w:rsidRPr="00F97495" w:rsidRDefault="009D2E16" w:rsidP="005E378D">
      <w:pPr>
        <w:jc w:val="both"/>
        <w:rPr>
          <w:rFonts w:ascii="Times New Roman" w:hAnsi="Times New Roman"/>
          <w:sz w:val="20"/>
        </w:rPr>
      </w:pPr>
      <w:r w:rsidRPr="00F97495">
        <w:rPr>
          <w:rFonts w:ascii="Times New Roman" w:hAnsi="Times New Roman"/>
          <w:sz w:val="20"/>
        </w:rPr>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6.3.2, w drugim – pogorszenie odblaskowości nie większe niż 50% lub, w ocenie wizualnej, zachowanie widzialności w nocy w światłach mijania samochodu osobowego z odległości 30-</w:t>
      </w:r>
      <w:smartTag w:uri="urn:schemas-microsoft-com:office:smarttags" w:element="metricconverter">
        <w:smartTagPr>
          <w:attr w:name="ProductID" w:val="50 m"/>
        </w:smartTagPr>
        <w:r w:rsidRPr="00F97495">
          <w:rPr>
            <w:rFonts w:ascii="Times New Roman" w:hAnsi="Times New Roman"/>
            <w:sz w:val="20"/>
          </w:rPr>
          <w:t>50 m</w:t>
        </w:r>
      </w:smartTag>
      <w:r w:rsidRPr="00F97495">
        <w:rPr>
          <w:rFonts w:ascii="Times New Roman" w:hAnsi="Times New Roman"/>
          <w:sz w:val="20"/>
        </w:rPr>
        <w:t>.</w:t>
      </w:r>
    </w:p>
    <w:p w:rsidR="00F97495" w:rsidRDefault="00F97495" w:rsidP="005E378D">
      <w:pPr>
        <w:jc w:val="both"/>
        <w:rPr>
          <w:rFonts w:ascii="Times New Roman" w:hAnsi="Times New Roman"/>
          <w:b/>
          <w:sz w:val="20"/>
        </w:rPr>
      </w:pPr>
    </w:p>
    <w:p w:rsidR="00752889" w:rsidRPr="00F97495" w:rsidRDefault="009D2E16" w:rsidP="005E378D">
      <w:pPr>
        <w:jc w:val="both"/>
        <w:rPr>
          <w:rFonts w:ascii="Times New Roman" w:hAnsi="Times New Roman"/>
          <w:b/>
          <w:sz w:val="20"/>
        </w:rPr>
      </w:pPr>
      <w:r w:rsidRPr="00F97495">
        <w:rPr>
          <w:rFonts w:ascii="Times New Roman" w:hAnsi="Times New Roman"/>
          <w:b/>
          <w:sz w:val="20"/>
        </w:rPr>
        <w:t>7. Obmiar Robót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Kontrakt ryczałtowy – jednostką obmiaru jest wykonana i odebrana protokołem Odbioru Końcowego jednostka określona w </w:t>
      </w:r>
      <w:proofErr w:type="spellStart"/>
      <w:r w:rsidRPr="00F97495">
        <w:rPr>
          <w:rFonts w:ascii="Times New Roman" w:hAnsi="Times New Roman"/>
          <w:sz w:val="20"/>
        </w:rPr>
        <w:t>STWiORB</w:t>
      </w:r>
      <w:proofErr w:type="spellEnd"/>
      <w:r w:rsidRPr="00F97495">
        <w:rPr>
          <w:rFonts w:ascii="Times New Roman" w:hAnsi="Times New Roman"/>
          <w:sz w:val="20"/>
        </w:rPr>
        <w:t>.</w:t>
      </w:r>
    </w:p>
    <w:p w:rsidR="00752889" w:rsidRPr="00F97495" w:rsidRDefault="009D2E16" w:rsidP="005E378D">
      <w:pPr>
        <w:jc w:val="both"/>
        <w:rPr>
          <w:rFonts w:ascii="Times New Roman" w:hAnsi="Times New Roman"/>
          <w:b/>
          <w:sz w:val="20"/>
        </w:rPr>
      </w:pPr>
      <w:r w:rsidRPr="00F97495">
        <w:rPr>
          <w:rFonts w:ascii="Times New Roman" w:hAnsi="Times New Roman"/>
          <w:b/>
          <w:sz w:val="20"/>
        </w:rPr>
        <w:t>8. Odbiór Robót</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Ogólne zasady odbioru Robót podano w </w:t>
      </w:r>
      <w:r w:rsidR="00294739">
        <w:rPr>
          <w:rFonts w:ascii="Times New Roman" w:hAnsi="Times New Roman"/>
          <w:sz w:val="20"/>
        </w:rPr>
        <w:t>SST</w:t>
      </w:r>
      <w:r w:rsidRPr="00F97495">
        <w:rPr>
          <w:rFonts w:ascii="Times New Roman" w:hAnsi="Times New Roman"/>
          <w:sz w:val="20"/>
        </w:rPr>
        <w:t xml:space="preserve"> D-M.00.00.00. "Wymagania ogólne".</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 xml:space="preserve">Roboty uznaje się za wykonane zgodnie z wymaganiami Inżyniera, Dokumentacją Projektową i </w:t>
      </w:r>
      <w:r w:rsidR="00294739">
        <w:rPr>
          <w:rFonts w:ascii="Times New Roman" w:hAnsi="Times New Roman"/>
          <w:spacing w:val="-3"/>
          <w:sz w:val="20"/>
        </w:rPr>
        <w:t>SST</w:t>
      </w:r>
      <w:r w:rsidRPr="00F97495">
        <w:rPr>
          <w:rFonts w:ascii="Times New Roman" w:hAnsi="Times New Roman"/>
          <w:spacing w:val="-3"/>
          <w:sz w:val="20"/>
        </w:rPr>
        <w:t>, jeśli wszystkie badania i pomiary, z zachowaniem tolerancji wg pkt. 6, dały wyniki pozytywne.</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8.1. Odbiór robót zanikających i ulegających zakryciu</w:t>
      </w:r>
    </w:p>
    <w:p w:rsidR="00752889" w:rsidRPr="00F97495" w:rsidRDefault="009D2E16" w:rsidP="005E378D">
      <w:pPr>
        <w:jc w:val="both"/>
        <w:rPr>
          <w:rFonts w:ascii="Times New Roman" w:hAnsi="Times New Roman"/>
          <w:sz w:val="20"/>
        </w:rPr>
      </w:pPr>
      <w:r w:rsidRPr="00F97495">
        <w:rPr>
          <w:rFonts w:ascii="Times New Roman" w:hAnsi="Times New Roman"/>
          <w:sz w:val="20"/>
        </w:rPr>
        <w:t>Odbiór robót zanikających i ulegających zakryciu, w zależności od przyjętego sposobu wykonania robót, może być dokonany po:</w:t>
      </w:r>
    </w:p>
    <w:p w:rsidR="00752889" w:rsidRPr="00F97495" w:rsidRDefault="009D2E16" w:rsidP="005E378D">
      <w:pPr>
        <w:pStyle w:val="Akapitzlist"/>
        <w:numPr>
          <w:ilvl w:val="0"/>
          <w:numId w:val="25"/>
        </w:numPr>
        <w:ind w:hanging="153"/>
        <w:jc w:val="both"/>
        <w:rPr>
          <w:rFonts w:ascii="Times New Roman" w:hAnsi="Times New Roman"/>
          <w:sz w:val="20"/>
        </w:rPr>
      </w:pPr>
      <w:r w:rsidRPr="00F97495">
        <w:rPr>
          <w:rFonts w:ascii="Times New Roman" w:hAnsi="Times New Roman"/>
          <w:sz w:val="20"/>
        </w:rPr>
        <w:t>oczyszczeniu powierzchni nawierzchni,</w:t>
      </w:r>
    </w:p>
    <w:p w:rsidR="00752889" w:rsidRPr="00F97495" w:rsidRDefault="009D2E16" w:rsidP="005E378D">
      <w:pPr>
        <w:pStyle w:val="Akapitzlist"/>
        <w:numPr>
          <w:ilvl w:val="0"/>
          <w:numId w:val="25"/>
        </w:numPr>
        <w:ind w:hanging="153"/>
        <w:jc w:val="both"/>
        <w:rPr>
          <w:rFonts w:ascii="Times New Roman" w:hAnsi="Times New Roman"/>
          <w:sz w:val="20"/>
        </w:rPr>
      </w:pPr>
      <w:proofErr w:type="spellStart"/>
      <w:r w:rsidRPr="00F97495">
        <w:rPr>
          <w:rFonts w:ascii="Times New Roman" w:hAnsi="Times New Roman"/>
          <w:sz w:val="20"/>
        </w:rPr>
        <w:t>przedznakowaniu</w:t>
      </w:r>
      <w:proofErr w:type="spellEnd"/>
      <w:r w:rsidRPr="00F97495">
        <w:rPr>
          <w:rFonts w:ascii="Times New Roman" w:hAnsi="Times New Roman"/>
          <w:sz w:val="20"/>
        </w:rPr>
        <w:t>.</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8.2. Odbiór ostateczny</w:t>
      </w:r>
    </w:p>
    <w:p w:rsidR="00752889" w:rsidRPr="00F97495" w:rsidRDefault="009D2E16" w:rsidP="005E378D">
      <w:pPr>
        <w:jc w:val="both"/>
        <w:rPr>
          <w:rFonts w:ascii="Times New Roman" w:hAnsi="Times New Roman"/>
          <w:sz w:val="20"/>
        </w:rPr>
      </w:pPr>
      <w:r w:rsidRPr="00F97495">
        <w:rPr>
          <w:rFonts w:ascii="Times New Roman" w:hAnsi="Times New Roman"/>
          <w:sz w:val="20"/>
        </w:rPr>
        <w:t>Odbioru ostatecznego należy dokonać po całkowitym zakończeniu robót, na podstawie wyników pomiarów i badań jakościowych określonych w punktach od 2 do 6.</w:t>
      </w:r>
    </w:p>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8.3. Odbiór pogwarancyjny</w:t>
      </w:r>
    </w:p>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Odbioru pogwarancyjnego należy dokonać po upływie okresu gwarancyjnego. Sprawdzeniu podlegają cechy oznakowania określone w POD-97. </w:t>
      </w:r>
    </w:p>
    <w:p w:rsidR="00752889" w:rsidRPr="00F97495" w:rsidRDefault="009D2E16" w:rsidP="005E378D">
      <w:pPr>
        <w:jc w:val="both"/>
        <w:rPr>
          <w:rFonts w:ascii="Times New Roman" w:hAnsi="Times New Roman"/>
          <w:b/>
          <w:sz w:val="20"/>
        </w:rPr>
      </w:pPr>
      <w:r w:rsidRPr="00F97495">
        <w:rPr>
          <w:rFonts w:ascii="Times New Roman" w:hAnsi="Times New Roman"/>
          <w:b/>
          <w:sz w:val="20"/>
        </w:rPr>
        <w:t>9. Podstawa płatności</w:t>
      </w:r>
    </w:p>
    <w:p w:rsidR="00752889" w:rsidRPr="00F97495" w:rsidRDefault="009D2E16" w:rsidP="005E378D">
      <w:pPr>
        <w:jc w:val="both"/>
        <w:rPr>
          <w:rFonts w:ascii="Times New Roman" w:hAnsi="Times New Roman"/>
          <w:sz w:val="20"/>
        </w:rPr>
      </w:pPr>
      <w:r w:rsidRPr="00F97495">
        <w:rPr>
          <w:rFonts w:ascii="Times New Roman" w:hAnsi="Times New Roman"/>
          <w:sz w:val="20"/>
        </w:rPr>
        <w:t>Wynagrodzenie ryczałtowe: zasady płatności podano w umowie pomiędzy Zamawiającym a Wykonawcą.</w:t>
      </w:r>
    </w:p>
    <w:p w:rsidR="00752889" w:rsidRPr="00F97495" w:rsidRDefault="009D2E16" w:rsidP="005E378D">
      <w:pPr>
        <w:jc w:val="both"/>
        <w:rPr>
          <w:rFonts w:ascii="Times New Roman" w:hAnsi="Times New Roman"/>
          <w:b/>
          <w:sz w:val="20"/>
        </w:rPr>
      </w:pPr>
      <w:r w:rsidRPr="00F97495">
        <w:rPr>
          <w:rFonts w:ascii="Times New Roman" w:hAnsi="Times New Roman"/>
          <w:b/>
          <w:sz w:val="20"/>
        </w:rPr>
        <w:t>10. Przepisy związane</w:t>
      </w:r>
    </w:p>
    <w:p w:rsidR="00752889" w:rsidRPr="00F97495" w:rsidRDefault="009D2E16" w:rsidP="005E378D">
      <w:pPr>
        <w:jc w:val="both"/>
        <w:rPr>
          <w:rFonts w:ascii="Times New Roman" w:hAnsi="Times New Roman"/>
          <w:spacing w:val="-3"/>
          <w:sz w:val="20"/>
        </w:rPr>
      </w:pPr>
      <w:r w:rsidRPr="00F97495">
        <w:rPr>
          <w:rFonts w:ascii="Times New Roman" w:hAnsi="Times New Roman"/>
          <w:spacing w:val="-3"/>
          <w:sz w:val="20"/>
        </w:rPr>
        <w:t>10.1. Normy</w:t>
      </w:r>
    </w:p>
    <w:tbl>
      <w:tblPr>
        <w:tblW w:w="9497" w:type="dxa"/>
        <w:tblLayout w:type="fixed"/>
        <w:tblCellMar>
          <w:left w:w="70" w:type="dxa"/>
          <w:right w:w="70" w:type="dxa"/>
        </w:tblCellMar>
        <w:tblLook w:val="0000" w:firstRow="0" w:lastRow="0" w:firstColumn="0" w:lastColumn="0" w:noHBand="0" w:noVBand="0"/>
      </w:tblPr>
      <w:tblGrid>
        <w:gridCol w:w="2126"/>
        <w:gridCol w:w="7371"/>
      </w:tblGrid>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PN-89/C-81400</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Wyroby lakierowe. Pakowanie, przechowywanie i transport</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PN-85/O-79252</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Opakowania transportowe z zawartością. Znaki i znakowanie. Wymagania podstawowe</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1423</w:t>
            </w:r>
          </w:p>
          <w:p w:rsidR="00752889" w:rsidRPr="00F97495" w:rsidRDefault="00752889" w:rsidP="005E378D">
            <w:pPr>
              <w:jc w:val="both"/>
              <w:rPr>
                <w:rFonts w:ascii="Times New Roman" w:hAnsi="Times New Roman"/>
                <w:sz w:val="20"/>
                <w:lang w:val="de-DE"/>
              </w:rPr>
            </w:pP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Materiały do posypywania. Kulki szklane, kruszywo przeciwpoślizgowe i ich mieszaniny)</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1423/A1:2005</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Materiały do posypywania. Kulki szklane, kruszywo przeciwpoślizgowe i ich mieszaniny (Zmiana A1)</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1436</w:t>
            </w:r>
          </w:p>
          <w:p w:rsidR="00752889" w:rsidRPr="00F97495" w:rsidRDefault="00752889" w:rsidP="005E378D">
            <w:pPr>
              <w:jc w:val="both"/>
              <w:rPr>
                <w:rFonts w:ascii="Times New Roman" w:hAnsi="Times New Roman"/>
                <w:sz w:val="20"/>
                <w:lang w:val="de-DE"/>
              </w:rPr>
            </w:pP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Wymagania dotyczące poziomego oznakowania dróg</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1436/A1:2005</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Wymagania dotyczące poziomego oznakowania dróg (Zmiana A1)</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1463-1</w:t>
            </w:r>
          </w:p>
          <w:p w:rsidR="00752889" w:rsidRPr="00F97495" w:rsidRDefault="00752889" w:rsidP="005E378D">
            <w:pPr>
              <w:jc w:val="both"/>
              <w:rPr>
                <w:rFonts w:ascii="Times New Roman" w:hAnsi="Times New Roman"/>
                <w:sz w:val="20"/>
                <w:lang w:val="de-DE"/>
              </w:rPr>
            </w:pP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Punktowe elementy odblaskowe Część 1: Wymagania dotyczące charakterystyki nowego elementu</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1463-1/A1:2005</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Punktowe elementy odblaskowe Część 1: Wymagania dotyczące charakterystyki nowego elementu (Zmiana A1)</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1463-2</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Punktowe elementy odblaskowe Część 2: Badania terenowe</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1871</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Materiały do poziomego oznakowania dróg. Właściwości fizyczne</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13036-4</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Drogi samochodowe i lotniskowe – Metody badań – Część 4: Metoda pomiaru oporów poślizgu/poślizgnięcia na powierzchni: próba wahadła</w:t>
            </w:r>
          </w:p>
        </w:tc>
      </w:tr>
      <w:tr w:rsidR="00752889" w:rsidRPr="00F97495">
        <w:tc>
          <w:tcPr>
            <w:tcW w:w="2126" w:type="dxa"/>
            <w:tcBorders>
              <w:top w:val="nil"/>
              <w:left w:val="nil"/>
              <w:bottom w:val="nil"/>
              <w:right w:val="nil"/>
            </w:tcBorders>
          </w:tcPr>
          <w:p w:rsidR="00752889" w:rsidRPr="00F97495" w:rsidRDefault="009D2E16" w:rsidP="005E378D">
            <w:pPr>
              <w:jc w:val="both"/>
              <w:rPr>
                <w:rFonts w:ascii="Times New Roman" w:hAnsi="Times New Roman"/>
                <w:sz w:val="20"/>
                <w:lang w:val="de-DE"/>
              </w:rPr>
            </w:pPr>
            <w:r w:rsidRPr="00F97495">
              <w:rPr>
                <w:rFonts w:ascii="Times New Roman" w:hAnsi="Times New Roman"/>
                <w:sz w:val="20"/>
                <w:lang w:val="de-DE"/>
              </w:rPr>
              <w:t>PN-EN 1436:2008</w:t>
            </w:r>
          </w:p>
        </w:tc>
        <w:tc>
          <w:tcPr>
            <w:tcW w:w="7371" w:type="dxa"/>
            <w:tcBorders>
              <w:top w:val="nil"/>
              <w:left w:val="nil"/>
              <w:bottom w:val="nil"/>
              <w:right w:val="nil"/>
            </w:tcBorders>
          </w:tcPr>
          <w:p w:rsidR="00752889" w:rsidRPr="00F97495" w:rsidRDefault="009D2E16" w:rsidP="005E378D">
            <w:pPr>
              <w:jc w:val="both"/>
              <w:rPr>
                <w:rFonts w:ascii="Times New Roman" w:hAnsi="Times New Roman"/>
                <w:sz w:val="20"/>
              </w:rPr>
            </w:pPr>
            <w:r w:rsidRPr="00F97495">
              <w:rPr>
                <w:rFonts w:ascii="Times New Roman" w:hAnsi="Times New Roman"/>
                <w:sz w:val="20"/>
              </w:rPr>
              <w:t xml:space="preserve">Materiały do poziomego oznakowania dróg. Wymagania dotyczące poziomego oznakowania dróg </w:t>
            </w:r>
          </w:p>
        </w:tc>
      </w:tr>
    </w:tbl>
    <w:p w:rsidR="00752889" w:rsidRPr="00F97495" w:rsidRDefault="009D2E16" w:rsidP="005E378D">
      <w:pPr>
        <w:jc w:val="both"/>
        <w:rPr>
          <w:rFonts w:ascii="Times New Roman" w:hAnsi="Times New Roman"/>
          <w:b/>
          <w:spacing w:val="-3"/>
          <w:sz w:val="20"/>
        </w:rPr>
      </w:pPr>
      <w:r w:rsidRPr="00F97495">
        <w:rPr>
          <w:rFonts w:ascii="Times New Roman" w:hAnsi="Times New Roman"/>
          <w:b/>
          <w:spacing w:val="-3"/>
          <w:sz w:val="20"/>
        </w:rPr>
        <w:t>10.2. Inne dokumenty</w:t>
      </w:r>
    </w:p>
    <w:p w:rsidR="00752889" w:rsidRPr="00F97495" w:rsidRDefault="009D2E16" w:rsidP="005E378D">
      <w:pPr>
        <w:pStyle w:val="Akapitzlist"/>
        <w:numPr>
          <w:ilvl w:val="0"/>
          <w:numId w:val="26"/>
        </w:numPr>
        <w:ind w:hanging="153"/>
        <w:jc w:val="both"/>
        <w:rPr>
          <w:rFonts w:ascii="Times New Roman" w:hAnsi="Times New Roman"/>
          <w:sz w:val="20"/>
        </w:rPr>
      </w:pPr>
      <w:r w:rsidRPr="00F97495">
        <w:rPr>
          <w:rFonts w:ascii="Times New Roman" w:hAnsi="Times New Roman"/>
          <w:sz w:val="20"/>
        </w:rPr>
        <w:t>Załącznik nr 2 do rozporządzenia Ministra Infrastruktury z dnia 3 lipca 2003 r. Szczegółowe warunki techniczne dla znaków drogowych poziomych i warunki ich umieszczania na drogach (Dz. U. nr 220, poz. 2181)</w:t>
      </w:r>
    </w:p>
    <w:p w:rsidR="00752889" w:rsidRPr="00F97495" w:rsidRDefault="009D2E16" w:rsidP="005E378D">
      <w:pPr>
        <w:pStyle w:val="Akapitzlist"/>
        <w:numPr>
          <w:ilvl w:val="0"/>
          <w:numId w:val="26"/>
        </w:numPr>
        <w:ind w:hanging="153"/>
        <w:jc w:val="both"/>
        <w:rPr>
          <w:rFonts w:ascii="Times New Roman" w:hAnsi="Times New Roman"/>
          <w:sz w:val="20"/>
        </w:rPr>
      </w:pPr>
      <w:r w:rsidRPr="00F97495">
        <w:rPr>
          <w:rFonts w:ascii="Times New Roman" w:hAnsi="Times New Roman"/>
          <w:sz w:val="20"/>
        </w:rPr>
        <w:t>Rozporządzenie Ministra Infrastruktury z dnia 11 sierpnia 2004 r. w sprawie sposobów deklarowania zgodności wyrobów budowlanych oraz sposobu znakowania ich znakiem budowlanym (Dz. U. nr 198, poz. 2041)</w:t>
      </w:r>
    </w:p>
    <w:p w:rsidR="00752889" w:rsidRPr="00F97495" w:rsidRDefault="009D2E16" w:rsidP="005E378D">
      <w:pPr>
        <w:pStyle w:val="Akapitzlist"/>
        <w:numPr>
          <w:ilvl w:val="0"/>
          <w:numId w:val="26"/>
        </w:numPr>
        <w:ind w:hanging="153"/>
        <w:jc w:val="both"/>
        <w:rPr>
          <w:rFonts w:ascii="Times New Roman" w:hAnsi="Times New Roman"/>
          <w:sz w:val="20"/>
        </w:rPr>
      </w:pPr>
      <w:r w:rsidRPr="00F97495">
        <w:rPr>
          <w:rFonts w:ascii="Times New Roman" w:hAnsi="Times New Roman"/>
          <w:sz w:val="20"/>
        </w:rPr>
        <w:t xml:space="preserve">Warunki Techniczne. Poziome znakowanie dróg. POD-97. Seria „I” - Informacje, Instrukcje. Zeszyt nr 55. </w:t>
      </w:r>
      <w:proofErr w:type="spellStart"/>
      <w:r w:rsidRPr="00F97495">
        <w:rPr>
          <w:rFonts w:ascii="Times New Roman" w:hAnsi="Times New Roman"/>
          <w:sz w:val="20"/>
        </w:rPr>
        <w:t>IBDiM</w:t>
      </w:r>
      <w:proofErr w:type="spellEnd"/>
      <w:r w:rsidRPr="00F97495">
        <w:rPr>
          <w:rFonts w:ascii="Times New Roman" w:hAnsi="Times New Roman"/>
          <w:sz w:val="20"/>
        </w:rPr>
        <w:t>, Warszawa, 1997</w:t>
      </w:r>
    </w:p>
    <w:p w:rsidR="00752889" w:rsidRPr="00F97495" w:rsidRDefault="009D2E16" w:rsidP="005E378D">
      <w:pPr>
        <w:pStyle w:val="Akapitzlist"/>
        <w:numPr>
          <w:ilvl w:val="0"/>
          <w:numId w:val="26"/>
        </w:numPr>
        <w:ind w:hanging="153"/>
        <w:jc w:val="both"/>
        <w:rPr>
          <w:rFonts w:ascii="Times New Roman" w:hAnsi="Times New Roman"/>
          <w:sz w:val="20"/>
        </w:rPr>
      </w:pPr>
      <w:r w:rsidRPr="00F97495">
        <w:rPr>
          <w:rFonts w:ascii="Times New Roman" w:hAnsi="Times New Roman"/>
          <w:sz w:val="20"/>
        </w:rPr>
        <w:t>Prawo przewozowe (Dz. U. nr 53 z 1984 r., poz. 272 z późniejszymi zmianami)</w:t>
      </w:r>
    </w:p>
    <w:p w:rsidR="00752889" w:rsidRPr="00F97495" w:rsidRDefault="009D2E16" w:rsidP="005E378D">
      <w:pPr>
        <w:pStyle w:val="Akapitzlist"/>
        <w:numPr>
          <w:ilvl w:val="0"/>
          <w:numId w:val="26"/>
        </w:numPr>
        <w:ind w:hanging="153"/>
        <w:jc w:val="both"/>
        <w:rPr>
          <w:rFonts w:ascii="Times New Roman" w:hAnsi="Times New Roman"/>
          <w:sz w:val="20"/>
        </w:rPr>
      </w:pPr>
      <w:r w:rsidRPr="00F97495">
        <w:rPr>
          <w:rFonts w:ascii="Times New Roman" w:hAnsi="Times New Roman"/>
          <w:sz w:val="20"/>
        </w:rPr>
        <w:lastRenderedPageBreak/>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752889" w:rsidRPr="00F97495" w:rsidRDefault="009D2E16" w:rsidP="005E378D">
      <w:pPr>
        <w:pStyle w:val="Akapitzlist"/>
        <w:numPr>
          <w:ilvl w:val="0"/>
          <w:numId w:val="26"/>
        </w:numPr>
        <w:ind w:hanging="153"/>
        <w:jc w:val="both"/>
        <w:rPr>
          <w:rFonts w:ascii="Times New Roman" w:hAnsi="Times New Roman"/>
          <w:sz w:val="20"/>
        </w:rPr>
      </w:pPr>
      <w:r w:rsidRPr="00F97495">
        <w:rPr>
          <w:rFonts w:ascii="Times New Roman" w:hAnsi="Times New Roman"/>
          <w:sz w:val="20"/>
        </w:rPr>
        <w:t>Rozporządzenie Ministra Zdrowia z dnia 2 września 2003 r. w sprawie oznakowania opakowań substancji niebezpiecznych i preparatów niebezpiecznych (Dz. U. nr 73, poz. 1679)</w:t>
      </w:r>
    </w:p>
    <w:p w:rsidR="00752889" w:rsidRPr="00F97495" w:rsidRDefault="009D2E16" w:rsidP="005E378D">
      <w:pPr>
        <w:pStyle w:val="Akapitzlist"/>
        <w:numPr>
          <w:ilvl w:val="0"/>
          <w:numId w:val="26"/>
        </w:numPr>
        <w:ind w:hanging="153"/>
        <w:jc w:val="both"/>
        <w:rPr>
          <w:rFonts w:ascii="Times New Roman" w:hAnsi="Times New Roman"/>
          <w:sz w:val="20"/>
        </w:rPr>
      </w:pPr>
      <w:r w:rsidRPr="00F97495">
        <w:rPr>
          <w:rFonts w:ascii="Times New Roman" w:hAnsi="Times New Roman"/>
          <w:sz w:val="20"/>
        </w:rPr>
        <w:t>Umowa europejska dotycząca międzynarodowego przewozu towarów niebezpiecznych (RID/ADR)</w:t>
      </w:r>
    </w:p>
    <w:p w:rsidR="00752889" w:rsidRPr="00F97495" w:rsidRDefault="00752889" w:rsidP="005E378D">
      <w:pPr>
        <w:jc w:val="both"/>
        <w:rPr>
          <w:rFonts w:ascii="Times New Roman" w:hAnsi="Times New Roman"/>
          <w:sz w:val="20"/>
        </w:rPr>
      </w:pPr>
    </w:p>
    <w:sectPr w:rsidR="00752889" w:rsidRPr="00F97495" w:rsidSect="0086572E">
      <w:headerReference w:type="even" r:id="rId7"/>
      <w:headerReference w:type="default" r:id="rId8"/>
      <w:footerReference w:type="even" r:id="rId9"/>
      <w:footerReference w:type="default" r:id="rId10"/>
      <w:endnotePr>
        <w:numFmt w:val="decimal"/>
      </w:endnotePr>
      <w:pgSz w:w="11909" w:h="16834" w:code="9"/>
      <w:pgMar w:top="951" w:right="1418" w:bottom="993" w:left="1418" w:header="567" w:footer="1134" w:gutter="0"/>
      <w:pgNumType w:start="105"/>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790" w:rsidRDefault="00452790">
      <w:pPr>
        <w:spacing w:line="20" w:lineRule="exact"/>
      </w:pPr>
    </w:p>
  </w:endnote>
  <w:endnote w:type="continuationSeparator" w:id="0">
    <w:p w:rsidR="00452790" w:rsidRDefault="00452790">
      <w:r>
        <w:t xml:space="preserve"> </w:t>
      </w:r>
    </w:p>
  </w:endnote>
  <w:endnote w:type="continuationNotice" w:id="1">
    <w:p w:rsidR="00452790" w:rsidRDefault="0045279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tineau">
    <w:altName w:val="Calibri"/>
    <w:panose1 w:val="00000000000000000000"/>
    <w:charset w:val="EE"/>
    <w:family w:val="swiss"/>
    <w:notTrueType/>
    <w:pitch w:val="default"/>
    <w:sig w:usb0="00000005" w:usb1="00000000" w:usb2="00000000" w:usb3="00000000" w:csb0="00000002" w:csb1="00000000"/>
  </w:font>
  <w:font w:name="Casablanca">
    <w:altName w:val="Coronet"/>
    <w:panose1 w:val="00000000000000000000"/>
    <w:charset w:val="EE"/>
    <w:family w:val="script"/>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889" w:rsidRDefault="009D2E1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752889" w:rsidRDefault="00752889">
    <w:pPr>
      <w:pBdr>
        <w:bottom w:val="single" w:sz="12" w:space="1" w:color="auto"/>
      </w:pBdr>
      <w:tabs>
        <w:tab w:val="left" w:pos="-720"/>
      </w:tabs>
      <w:suppressAutoHyphens/>
      <w:ind w:right="360" w:firstLine="360"/>
      <w:jc w:val="both"/>
      <w:rPr>
        <w:rFonts w:ascii="Casablanca" w:hAnsi="Casablanca"/>
        <w:i/>
        <w:spacing w:val="-1"/>
        <w:sz w:val="14"/>
        <w:lang w:val="en-US"/>
      </w:rPr>
    </w:pPr>
  </w:p>
  <w:p w:rsidR="00752889" w:rsidRDefault="009D2E16">
    <w:pPr>
      <w:tabs>
        <w:tab w:val="right" w:pos="9636"/>
      </w:tabs>
      <w:suppressAutoHyphens/>
      <w:jc w:val="both"/>
      <w:rPr>
        <w:rFonts w:ascii="Casablanca" w:hAnsi="Casablanca"/>
        <w:i/>
        <w:spacing w:val="-3"/>
      </w:rPr>
    </w:pPr>
    <w:r>
      <w:rPr>
        <w:rFonts w:ascii="Casablanca" w:hAnsi="Casablanca"/>
        <w:i/>
        <w:spacing w:val="-1"/>
        <w:sz w:val="14"/>
      </w:rPr>
      <w:tab/>
    </w:r>
    <w:r>
      <w:rPr>
        <w:rFonts w:ascii="Times New Roman" w:hAnsi="Times New Roman"/>
        <w:i/>
        <w:spacing w:val="-1"/>
        <w:sz w:val="16"/>
      </w:rPr>
      <w:t>OBWODNICA m. BIAŁOBRZEGI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72E" w:rsidRDefault="0086572E">
    <w:pPr>
      <w:pStyle w:val="Stopka"/>
      <w:jc w:val="right"/>
    </w:pPr>
  </w:p>
  <w:p w:rsidR="00752889" w:rsidRDefault="00752889" w:rsidP="00F97495">
    <w:pPr>
      <w:pStyle w:val="Stopka"/>
      <w:jc w:val="center"/>
      <w:rPr>
        <w:rFonts w:ascii="Arial" w:hAnsi="Arial" w:cs="Arial"/>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790" w:rsidRDefault="00452790">
      <w:r>
        <w:separator/>
      </w:r>
    </w:p>
  </w:footnote>
  <w:footnote w:type="continuationSeparator" w:id="0">
    <w:p w:rsidR="00452790" w:rsidRDefault="00452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889" w:rsidRDefault="009D2E16">
    <w:pPr>
      <w:pStyle w:val="Nagwek"/>
      <w:framePr w:wrap="around" w:vAnchor="text" w:hAnchor="margin" w:xAlign="outside" w:y="1"/>
      <w:rPr>
        <w:rStyle w:val="Numerstrony"/>
        <w:rFonts w:ascii="Times New Roman" w:hAnsi="Times New Roman"/>
        <w:sz w:val="22"/>
      </w:rPr>
    </w:pPr>
    <w:r>
      <w:rPr>
        <w:rStyle w:val="Numerstrony"/>
        <w:rFonts w:ascii="Times New Roman" w:hAnsi="Times New Roman"/>
        <w:sz w:val="22"/>
      </w:rPr>
      <w:fldChar w:fldCharType="begin"/>
    </w:r>
    <w:r>
      <w:rPr>
        <w:rStyle w:val="Numerstrony"/>
        <w:rFonts w:ascii="Times New Roman" w:hAnsi="Times New Roman"/>
        <w:sz w:val="22"/>
      </w:rPr>
      <w:instrText xml:space="preserve">PAGE  </w:instrText>
    </w:r>
    <w:r>
      <w:rPr>
        <w:rStyle w:val="Numerstrony"/>
        <w:rFonts w:ascii="Times New Roman" w:hAnsi="Times New Roman"/>
        <w:sz w:val="22"/>
      </w:rPr>
      <w:fldChar w:fldCharType="separate"/>
    </w:r>
    <w:r>
      <w:rPr>
        <w:rStyle w:val="Numerstrony"/>
        <w:rFonts w:ascii="Times New Roman" w:hAnsi="Times New Roman"/>
        <w:noProof/>
        <w:sz w:val="22"/>
      </w:rPr>
      <w:t>242</w:t>
    </w:r>
    <w:r>
      <w:rPr>
        <w:rStyle w:val="Numerstrony"/>
        <w:rFonts w:ascii="Times New Roman" w:hAnsi="Times New Roman"/>
        <w:sz w:val="22"/>
      </w:rPr>
      <w:fldChar w:fldCharType="end"/>
    </w:r>
  </w:p>
  <w:p w:rsidR="00752889" w:rsidRDefault="009D2E16">
    <w:pPr>
      <w:pBdr>
        <w:bottom w:val="single" w:sz="12" w:space="1" w:color="auto"/>
      </w:pBdr>
      <w:tabs>
        <w:tab w:val="left" w:pos="-720"/>
      </w:tabs>
      <w:suppressAutoHyphens/>
      <w:ind w:right="360" w:firstLine="360"/>
      <w:jc w:val="both"/>
      <w:rPr>
        <w:rFonts w:ascii="Times New Roman" w:hAnsi="Times New Roman"/>
        <w:i/>
        <w:spacing w:val="-1"/>
        <w:sz w:val="16"/>
      </w:rPr>
    </w:pPr>
    <w:r>
      <w:rPr>
        <w:rFonts w:ascii="Times New Roman" w:hAnsi="Times New Roman"/>
        <w:noProof/>
        <w:sz w:val="20"/>
      </w:rPr>
      <mc:AlternateContent>
        <mc:Choice Requires="wps">
          <w:drawing>
            <wp:anchor distT="0" distB="0" distL="114300" distR="114300" simplePos="0" relativeHeight="251657728" behindDoc="0" locked="0" layoutInCell="0" allowOverlap="1" wp14:anchorId="33EB285D" wp14:editId="5F7847A8">
              <wp:simplePos x="0" y="0"/>
              <wp:positionH relativeFrom="page">
                <wp:posOffset>720090</wp:posOffset>
              </wp:positionH>
              <wp:positionV relativeFrom="paragraph">
                <wp:posOffset>0</wp:posOffset>
              </wp:positionV>
              <wp:extent cx="6122035"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2035"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2889" w:rsidRDefault="00752889">
                          <w:pPr>
                            <w:tabs>
                              <w:tab w:val="center" w:pos="4820"/>
                              <w:tab w:val="right" w:pos="9641"/>
                            </w:tabs>
                            <w:rPr>
                              <w:rFonts w:ascii="Gatineau" w:hAnsi="Gatineau"/>
                              <w:spacing w:val="-3"/>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B285D" id="Rectangle 1" o:spid="_x0000_s1026" style="position:absolute;left:0;text-align:left;margin-left:56.7pt;margin-top:0;width:482.0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" o:allowincell="f" filled="f" stroked="f" strokeweight="0">
              <v:textbox inset="0,0,0,0">
                <w:txbxContent>
                  <w:p w:rsidR="00752889" w:rsidRDefault="00752889">
                    <w:pPr>
                      <w:tabs>
                        <w:tab w:val="center" w:pos="4820"/>
                        <w:tab w:val="right" w:pos="9641"/>
                      </w:tabs>
                      <w:rPr>
                        <w:rFonts w:ascii="Gatineau" w:hAnsi="Gatineau"/>
                        <w:spacing w:val="-3"/>
                        <w:lang w:val="en-US"/>
                      </w:rPr>
                    </w:pPr>
                  </w:p>
                </w:txbxContent>
              </v:textbox>
              <w10:wrap anchorx="page"/>
            </v:rect>
          </w:pict>
        </mc:Fallback>
      </mc:AlternateContent>
    </w:r>
    <w:r>
      <w:rPr>
        <w:rFonts w:ascii="Casablanca" w:hAnsi="Casablanca"/>
        <w:i/>
        <w:spacing w:val="-1"/>
        <w:sz w:val="14"/>
      </w:rPr>
      <w:tab/>
    </w:r>
    <w:r>
      <w:rPr>
        <w:rFonts w:ascii="Times New Roman" w:hAnsi="Times New Roman"/>
        <w:i/>
        <w:spacing w:val="-1"/>
        <w:sz w:val="16"/>
      </w:rPr>
      <w:t>„Profil” Sp. z o.o.</w:t>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t>D.06.01.01.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495" w:rsidRPr="00F97495" w:rsidRDefault="00F97495" w:rsidP="00F97495">
    <w:pPr>
      <w:pBdr>
        <w:bottom w:val="single" w:sz="4" w:space="1" w:color="auto"/>
      </w:pBdr>
      <w:suppressAutoHyphens/>
      <w:jc w:val="center"/>
      <w:rPr>
        <w:rFonts w:ascii="Times New Roman" w:hAnsi="Times New Roman"/>
        <w:sz w:val="16"/>
        <w:szCs w:val="16"/>
      </w:rPr>
    </w:pPr>
    <w:r w:rsidRPr="00F97495">
      <w:rPr>
        <w:rFonts w:ascii="Times New Roman" w:hAnsi="Times New Roman"/>
        <w:sz w:val="16"/>
        <w:szCs w:val="16"/>
      </w:rPr>
      <w:t xml:space="preserve">D.07.01.01. </w:t>
    </w:r>
    <w:r w:rsidRPr="00F97495">
      <w:rPr>
        <w:rFonts w:ascii="Times New Roman" w:hAnsi="Times New Roman"/>
        <w:sz w:val="16"/>
        <w:szCs w:val="16"/>
      </w:rPr>
      <w:tab/>
    </w:r>
    <w:r w:rsidRPr="00F97495">
      <w:rPr>
        <w:rFonts w:ascii="Times New Roman" w:hAnsi="Times New Roman"/>
        <w:caps/>
        <w:sz w:val="16"/>
        <w:szCs w:val="16"/>
      </w:rPr>
      <w:t>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563B89"/>
    <w:multiLevelType w:val="hybridMultilevel"/>
    <w:tmpl w:val="495A4FD6"/>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1A3027"/>
    <w:multiLevelType w:val="hybridMultilevel"/>
    <w:tmpl w:val="283E38E6"/>
    <w:lvl w:ilvl="0" w:tplc="981849BC">
      <w:start w:val="1"/>
      <w:numFmt w:val="lowerLetter"/>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6426C"/>
    <w:multiLevelType w:val="hybridMultilevel"/>
    <w:tmpl w:val="CD98B87C"/>
    <w:lvl w:ilvl="0" w:tplc="F2F09DCA">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4E419E"/>
    <w:multiLevelType w:val="hybridMultilevel"/>
    <w:tmpl w:val="1BA026D2"/>
    <w:lvl w:ilvl="0" w:tplc="08D897BC">
      <w:numFmt w:val="bullet"/>
      <w:lvlText w:val="–"/>
      <w:lvlJc w:val="left"/>
      <w:pPr>
        <w:tabs>
          <w:tab w:val="num" w:pos="530"/>
        </w:tabs>
        <w:ind w:left="530" w:hanging="360"/>
      </w:pPr>
      <w:rPr>
        <w:rFonts w:ascii="Times New Roman" w:cs="Times New Roman" w:hint="default"/>
      </w:rPr>
    </w:lvl>
    <w:lvl w:ilvl="1" w:tplc="04150003" w:tentative="1">
      <w:start w:val="1"/>
      <w:numFmt w:val="bullet"/>
      <w:lvlText w:val="o"/>
      <w:lvlJc w:val="left"/>
      <w:pPr>
        <w:tabs>
          <w:tab w:val="num" w:pos="170"/>
        </w:tabs>
        <w:ind w:left="170" w:hanging="360"/>
      </w:pPr>
      <w:rPr>
        <w:rFonts w:ascii="Courier New" w:hAnsi="Courier New" w:hint="default"/>
      </w:rPr>
    </w:lvl>
    <w:lvl w:ilvl="2" w:tplc="04150005" w:tentative="1">
      <w:start w:val="1"/>
      <w:numFmt w:val="bullet"/>
      <w:lvlText w:val=""/>
      <w:lvlJc w:val="left"/>
      <w:pPr>
        <w:tabs>
          <w:tab w:val="num" w:pos="890"/>
        </w:tabs>
        <w:ind w:left="890" w:hanging="360"/>
      </w:pPr>
      <w:rPr>
        <w:rFonts w:ascii="Wingdings" w:hAnsi="Wingdings" w:hint="default"/>
      </w:rPr>
    </w:lvl>
    <w:lvl w:ilvl="3" w:tplc="04150001" w:tentative="1">
      <w:start w:val="1"/>
      <w:numFmt w:val="bullet"/>
      <w:lvlText w:val=""/>
      <w:lvlJc w:val="left"/>
      <w:pPr>
        <w:tabs>
          <w:tab w:val="num" w:pos="1610"/>
        </w:tabs>
        <w:ind w:left="1610" w:hanging="360"/>
      </w:pPr>
      <w:rPr>
        <w:rFonts w:ascii="Symbol" w:hAnsi="Symbol" w:hint="default"/>
      </w:rPr>
    </w:lvl>
    <w:lvl w:ilvl="4" w:tplc="04150003" w:tentative="1">
      <w:start w:val="1"/>
      <w:numFmt w:val="bullet"/>
      <w:lvlText w:val="o"/>
      <w:lvlJc w:val="left"/>
      <w:pPr>
        <w:tabs>
          <w:tab w:val="num" w:pos="2330"/>
        </w:tabs>
        <w:ind w:left="2330" w:hanging="360"/>
      </w:pPr>
      <w:rPr>
        <w:rFonts w:ascii="Courier New" w:hAnsi="Courier New" w:hint="default"/>
      </w:rPr>
    </w:lvl>
    <w:lvl w:ilvl="5" w:tplc="04150005" w:tentative="1">
      <w:start w:val="1"/>
      <w:numFmt w:val="bullet"/>
      <w:lvlText w:val=""/>
      <w:lvlJc w:val="left"/>
      <w:pPr>
        <w:tabs>
          <w:tab w:val="num" w:pos="3050"/>
        </w:tabs>
        <w:ind w:left="3050" w:hanging="360"/>
      </w:pPr>
      <w:rPr>
        <w:rFonts w:ascii="Wingdings" w:hAnsi="Wingdings" w:hint="default"/>
      </w:rPr>
    </w:lvl>
    <w:lvl w:ilvl="6" w:tplc="04150001" w:tentative="1">
      <w:start w:val="1"/>
      <w:numFmt w:val="bullet"/>
      <w:lvlText w:val=""/>
      <w:lvlJc w:val="left"/>
      <w:pPr>
        <w:tabs>
          <w:tab w:val="num" w:pos="3770"/>
        </w:tabs>
        <w:ind w:left="3770" w:hanging="360"/>
      </w:pPr>
      <w:rPr>
        <w:rFonts w:ascii="Symbol" w:hAnsi="Symbol" w:hint="default"/>
      </w:rPr>
    </w:lvl>
    <w:lvl w:ilvl="7" w:tplc="04150003" w:tentative="1">
      <w:start w:val="1"/>
      <w:numFmt w:val="bullet"/>
      <w:lvlText w:val="o"/>
      <w:lvlJc w:val="left"/>
      <w:pPr>
        <w:tabs>
          <w:tab w:val="num" w:pos="4490"/>
        </w:tabs>
        <w:ind w:left="4490" w:hanging="360"/>
      </w:pPr>
      <w:rPr>
        <w:rFonts w:ascii="Courier New" w:hAnsi="Courier New" w:hint="default"/>
      </w:rPr>
    </w:lvl>
    <w:lvl w:ilvl="8" w:tplc="04150005" w:tentative="1">
      <w:start w:val="1"/>
      <w:numFmt w:val="bullet"/>
      <w:lvlText w:val=""/>
      <w:lvlJc w:val="left"/>
      <w:pPr>
        <w:tabs>
          <w:tab w:val="num" w:pos="5210"/>
        </w:tabs>
        <w:ind w:left="5210" w:hanging="360"/>
      </w:pPr>
      <w:rPr>
        <w:rFonts w:ascii="Wingdings" w:hAnsi="Wingdings" w:hint="default"/>
      </w:rPr>
    </w:lvl>
  </w:abstractNum>
  <w:abstractNum w:abstractNumId="5" w15:restartNumberingAfterBreak="0">
    <w:nsid w:val="1A32287F"/>
    <w:multiLevelType w:val="hybridMultilevel"/>
    <w:tmpl w:val="9D625E4A"/>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4349DF"/>
    <w:multiLevelType w:val="hybridMultilevel"/>
    <w:tmpl w:val="5BDED916"/>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AF2F95"/>
    <w:multiLevelType w:val="hybridMultilevel"/>
    <w:tmpl w:val="269EFB60"/>
    <w:lvl w:ilvl="0" w:tplc="4AA8831E">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079"/>
        </w:tabs>
        <w:ind w:left="1079" w:hanging="360"/>
      </w:pPr>
      <w:rPr>
        <w:rFonts w:ascii="Courier New" w:hAnsi="Courier New" w:hint="default"/>
      </w:rPr>
    </w:lvl>
    <w:lvl w:ilvl="2" w:tplc="04150005" w:tentative="1">
      <w:start w:val="1"/>
      <w:numFmt w:val="bullet"/>
      <w:lvlText w:val=""/>
      <w:lvlJc w:val="left"/>
      <w:pPr>
        <w:tabs>
          <w:tab w:val="num" w:pos="1799"/>
        </w:tabs>
        <w:ind w:left="1799" w:hanging="360"/>
      </w:pPr>
      <w:rPr>
        <w:rFonts w:ascii="Wingdings" w:hAnsi="Wingdings" w:hint="default"/>
      </w:rPr>
    </w:lvl>
    <w:lvl w:ilvl="3" w:tplc="04150001" w:tentative="1">
      <w:start w:val="1"/>
      <w:numFmt w:val="bullet"/>
      <w:lvlText w:val=""/>
      <w:lvlJc w:val="left"/>
      <w:pPr>
        <w:tabs>
          <w:tab w:val="num" w:pos="2519"/>
        </w:tabs>
        <w:ind w:left="2519" w:hanging="360"/>
      </w:pPr>
      <w:rPr>
        <w:rFonts w:ascii="Symbol" w:hAnsi="Symbol" w:hint="default"/>
      </w:rPr>
    </w:lvl>
    <w:lvl w:ilvl="4" w:tplc="04150003" w:tentative="1">
      <w:start w:val="1"/>
      <w:numFmt w:val="bullet"/>
      <w:lvlText w:val="o"/>
      <w:lvlJc w:val="left"/>
      <w:pPr>
        <w:tabs>
          <w:tab w:val="num" w:pos="3239"/>
        </w:tabs>
        <w:ind w:left="3239" w:hanging="360"/>
      </w:pPr>
      <w:rPr>
        <w:rFonts w:ascii="Courier New" w:hAnsi="Courier New" w:hint="default"/>
      </w:rPr>
    </w:lvl>
    <w:lvl w:ilvl="5" w:tplc="04150005" w:tentative="1">
      <w:start w:val="1"/>
      <w:numFmt w:val="bullet"/>
      <w:lvlText w:val=""/>
      <w:lvlJc w:val="left"/>
      <w:pPr>
        <w:tabs>
          <w:tab w:val="num" w:pos="3959"/>
        </w:tabs>
        <w:ind w:left="3959" w:hanging="360"/>
      </w:pPr>
      <w:rPr>
        <w:rFonts w:ascii="Wingdings" w:hAnsi="Wingdings" w:hint="default"/>
      </w:rPr>
    </w:lvl>
    <w:lvl w:ilvl="6" w:tplc="04150001" w:tentative="1">
      <w:start w:val="1"/>
      <w:numFmt w:val="bullet"/>
      <w:lvlText w:val=""/>
      <w:lvlJc w:val="left"/>
      <w:pPr>
        <w:tabs>
          <w:tab w:val="num" w:pos="4679"/>
        </w:tabs>
        <w:ind w:left="4679" w:hanging="360"/>
      </w:pPr>
      <w:rPr>
        <w:rFonts w:ascii="Symbol" w:hAnsi="Symbol" w:hint="default"/>
      </w:rPr>
    </w:lvl>
    <w:lvl w:ilvl="7" w:tplc="04150003" w:tentative="1">
      <w:start w:val="1"/>
      <w:numFmt w:val="bullet"/>
      <w:lvlText w:val="o"/>
      <w:lvlJc w:val="left"/>
      <w:pPr>
        <w:tabs>
          <w:tab w:val="num" w:pos="5399"/>
        </w:tabs>
        <w:ind w:left="5399" w:hanging="360"/>
      </w:pPr>
      <w:rPr>
        <w:rFonts w:ascii="Courier New" w:hAnsi="Courier New" w:hint="default"/>
      </w:rPr>
    </w:lvl>
    <w:lvl w:ilvl="8" w:tplc="04150005" w:tentative="1">
      <w:start w:val="1"/>
      <w:numFmt w:val="bullet"/>
      <w:lvlText w:val=""/>
      <w:lvlJc w:val="left"/>
      <w:pPr>
        <w:tabs>
          <w:tab w:val="num" w:pos="6119"/>
        </w:tabs>
        <w:ind w:left="6119" w:hanging="360"/>
      </w:pPr>
      <w:rPr>
        <w:rFonts w:ascii="Wingdings" w:hAnsi="Wingdings" w:hint="default"/>
      </w:rPr>
    </w:lvl>
  </w:abstractNum>
  <w:abstractNum w:abstractNumId="12" w15:restartNumberingAfterBreak="0">
    <w:nsid w:val="3E266807"/>
    <w:multiLevelType w:val="hybridMultilevel"/>
    <w:tmpl w:val="311A0EF2"/>
    <w:lvl w:ilvl="0" w:tplc="08D897BC">
      <w:numFmt w:val="bullet"/>
      <w:lvlText w:val="–"/>
      <w:lvlJc w:val="left"/>
      <w:pPr>
        <w:tabs>
          <w:tab w:val="num" w:pos="530"/>
        </w:tabs>
        <w:ind w:left="530" w:hanging="360"/>
      </w:pPr>
      <w:rPr>
        <w:rFonts w:ascii="Times New Roman" w:cs="Times New Roman" w:hint="default"/>
      </w:rPr>
    </w:lvl>
    <w:lvl w:ilvl="1" w:tplc="04150003" w:tentative="1">
      <w:start w:val="1"/>
      <w:numFmt w:val="bullet"/>
      <w:lvlText w:val="o"/>
      <w:lvlJc w:val="left"/>
      <w:pPr>
        <w:tabs>
          <w:tab w:val="num" w:pos="170"/>
        </w:tabs>
        <w:ind w:left="170" w:hanging="360"/>
      </w:pPr>
      <w:rPr>
        <w:rFonts w:ascii="Courier New" w:hAnsi="Courier New" w:hint="default"/>
      </w:rPr>
    </w:lvl>
    <w:lvl w:ilvl="2" w:tplc="04150005" w:tentative="1">
      <w:start w:val="1"/>
      <w:numFmt w:val="bullet"/>
      <w:lvlText w:val=""/>
      <w:lvlJc w:val="left"/>
      <w:pPr>
        <w:tabs>
          <w:tab w:val="num" w:pos="890"/>
        </w:tabs>
        <w:ind w:left="890" w:hanging="360"/>
      </w:pPr>
      <w:rPr>
        <w:rFonts w:ascii="Wingdings" w:hAnsi="Wingdings" w:hint="default"/>
      </w:rPr>
    </w:lvl>
    <w:lvl w:ilvl="3" w:tplc="04150001" w:tentative="1">
      <w:start w:val="1"/>
      <w:numFmt w:val="bullet"/>
      <w:lvlText w:val=""/>
      <w:lvlJc w:val="left"/>
      <w:pPr>
        <w:tabs>
          <w:tab w:val="num" w:pos="1610"/>
        </w:tabs>
        <w:ind w:left="1610" w:hanging="360"/>
      </w:pPr>
      <w:rPr>
        <w:rFonts w:ascii="Symbol" w:hAnsi="Symbol" w:hint="default"/>
      </w:rPr>
    </w:lvl>
    <w:lvl w:ilvl="4" w:tplc="04150003" w:tentative="1">
      <w:start w:val="1"/>
      <w:numFmt w:val="bullet"/>
      <w:lvlText w:val="o"/>
      <w:lvlJc w:val="left"/>
      <w:pPr>
        <w:tabs>
          <w:tab w:val="num" w:pos="2330"/>
        </w:tabs>
        <w:ind w:left="2330" w:hanging="360"/>
      </w:pPr>
      <w:rPr>
        <w:rFonts w:ascii="Courier New" w:hAnsi="Courier New" w:hint="default"/>
      </w:rPr>
    </w:lvl>
    <w:lvl w:ilvl="5" w:tplc="04150005" w:tentative="1">
      <w:start w:val="1"/>
      <w:numFmt w:val="bullet"/>
      <w:lvlText w:val=""/>
      <w:lvlJc w:val="left"/>
      <w:pPr>
        <w:tabs>
          <w:tab w:val="num" w:pos="3050"/>
        </w:tabs>
        <w:ind w:left="3050" w:hanging="360"/>
      </w:pPr>
      <w:rPr>
        <w:rFonts w:ascii="Wingdings" w:hAnsi="Wingdings" w:hint="default"/>
      </w:rPr>
    </w:lvl>
    <w:lvl w:ilvl="6" w:tplc="04150001" w:tentative="1">
      <w:start w:val="1"/>
      <w:numFmt w:val="bullet"/>
      <w:lvlText w:val=""/>
      <w:lvlJc w:val="left"/>
      <w:pPr>
        <w:tabs>
          <w:tab w:val="num" w:pos="3770"/>
        </w:tabs>
        <w:ind w:left="3770" w:hanging="360"/>
      </w:pPr>
      <w:rPr>
        <w:rFonts w:ascii="Symbol" w:hAnsi="Symbol" w:hint="default"/>
      </w:rPr>
    </w:lvl>
    <w:lvl w:ilvl="7" w:tplc="04150003" w:tentative="1">
      <w:start w:val="1"/>
      <w:numFmt w:val="bullet"/>
      <w:lvlText w:val="o"/>
      <w:lvlJc w:val="left"/>
      <w:pPr>
        <w:tabs>
          <w:tab w:val="num" w:pos="4490"/>
        </w:tabs>
        <w:ind w:left="4490" w:hanging="360"/>
      </w:pPr>
      <w:rPr>
        <w:rFonts w:ascii="Courier New" w:hAnsi="Courier New" w:hint="default"/>
      </w:rPr>
    </w:lvl>
    <w:lvl w:ilvl="8" w:tplc="04150005" w:tentative="1">
      <w:start w:val="1"/>
      <w:numFmt w:val="bullet"/>
      <w:lvlText w:val=""/>
      <w:lvlJc w:val="left"/>
      <w:pPr>
        <w:tabs>
          <w:tab w:val="num" w:pos="5210"/>
        </w:tabs>
        <w:ind w:left="5210" w:hanging="360"/>
      </w:pPr>
      <w:rPr>
        <w:rFonts w:ascii="Wingdings" w:hAnsi="Wingdings" w:hint="default"/>
      </w:rPr>
    </w:lvl>
  </w:abstractNum>
  <w:abstractNum w:abstractNumId="13" w15:restartNumberingAfterBreak="0">
    <w:nsid w:val="3E8777C4"/>
    <w:multiLevelType w:val="hybridMultilevel"/>
    <w:tmpl w:val="F6C8F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880D28"/>
    <w:multiLevelType w:val="hybridMultilevel"/>
    <w:tmpl w:val="B6403C9C"/>
    <w:lvl w:ilvl="0" w:tplc="F2F09DCA">
      <w:start w:val="2"/>
      <w:numFmt w:val="bullet"/>
      <w:lvlText w:val="−"/>
      <w:lvlJc w:val="left"/>
      <w:pPr>
        <w:ind w:left="530" w:hanging="360"/>
      </w:pPr>
      <w:rPr>
        <w:rFonts w:ascii="Times New Roman" w:eastAsia="Times New Roman" w:hAnsi="Times New Roman" w:cs="Times New Roman" w:hint="default"/>
      </w:rPr>
    </w:lvl>
    <w:lvl w:ilvl="1" w:tplc="04150003" w:tentative="1">
      <w:start w:val="1"/>
      <w:numFmt w:val="bullet"/>
      <w:lvlText w:val="o"/>
      <w:lvlJc w:val="left"/>
      <w:pPr>
        <w:ind w:left="1250" w:hanging="360"/>
      </w:pPr>
      <w:rPr>
        <w:rFonts w:ascii="Courier New" w:hAnsi="Courier New" w:cs="Courier New" w:hint="default"/>
      </w:rPr>
    </w:lvl>
    <w:lvl w:ilvl="2" w:tplc="04150005" w:tentative="1">
      <w:start w:val="1"/>
      <w:numFmt w:val="bullet"/>
      <w:lvlText w:val=""/>
      <w:lvlJc w:val="left"/>
      <w:pPr>
        <w:ind w:left="1970" w:hanging="360"/>
      </w:pPr>
      <w:rPr>
        <w:rFonts w:ascii="Wingdings" w:hAnsi="Wingdings" w:hint="default"/>
      </w:rPr>
    </w:lvl>
    <w:lvl w:ilvl="3" w:tplc="04150001" w:tentative="1">
      <w:start w:val="1"/>
      <w:numFmt w:val="bullet"/>
      <w:lvlText w:val=""/>
      <w:lvlJc w:val="left"/>
      <w:pPr>
        <w:ind w:left="2690" w:hanging="360"/>
      </w:pPr>
      <w:rPr>
        <w:rFonts w:ascii="Symbol" w:hAnsi="Symbol" w:hint="default"/>
      </w:rPr>
    </w:lvl>
    <w:lvl w:ilvl="4" w:tplc="04150003" w:tentative="1">
      <w:start w:val="1"/>
      <w:numFmt w:val="bullet"/>
      <w:lvlText w:val="o"/>
      <w:lvlJc w:val="left"/>
      <w:pPr>
        <w:ind w:left="3410" w:hanging="360"/>
      </w:pPr>
      <w:rPr>
        <w:rFonts w:ascii="Courier New" w:hAnsi="Courier New" w:cs="Courier New" w:hint="default"/>
      </w:rPr>
    </w:lvl>
    <w:lvl w:ilvl="5" w:tplc="04150005" w:tentative="1">
      <w:start w:val="1"/>
      <w:numFmt w:val="bullet"/>
      <w:lvlText w:val=""/>
      <w:lvlJc w:val="left"/>
      <w:pPr>
        <w:ind w:left="4130" w:hanging="360"/>
      </w:pPr>
      <w:rPr>
        <w:rFonts w:ascii="Wingdings" w:hAnsi="Wingdings" w:hint="default"/>
      </w:rPr>
    </w:lvl>
    <w:lvl w:ilvl="6" w:tplc="04150001" w:tentative="1">
      <w:start w:val="1"/>
      <w:numFmt w:val="bullet"/>
      <w:lvlText w:val=""/>
      <w:lvlJc w:val="left"/>
      <w:pPr>
        <w:ind w:left="4850" w:hanging="360"/>
      </w:pPr>
      <w:rPr>
        <w:rFonts w:ascii="Symbol" w:hAnsi="Symbol" w:hint="default"/>
      </w:rPr>
    </w:lvl>
    <w:lvl w:ilvl="7" w:tplc="04150003" w:tentative="1">
      <w:start w:val="1"/>
      <w:numFmt w:val="bullet"/>
      <w:lvlText w:val="o"/>
      <w:lvlJc w:val="left"/>
      <w:pPr>
        <w:ind w:left="5570" w:hanging="360"/>
      </w:pPr>
      <w:rPr>
        <w:rFonts w:ascii="Courier New" w:hAnsi="Courier New" w:cs="Courier New" w:hint="default"/>
      </w:rPr>
    </w:lvl>
    <w:lvl w:ilvl="8" w:tplc="04150005" w:tentative="1">
      <w:start w:val="1"/>
      <w:numFmt w:val="bullet"/>
      <w:lvlText w:val=""/>
      <w:lvlJc w:val="left"/>
      <w:pPr>
        <w:ind w:left="6290" w:hanging="360"/>
      </w:pPr>
      <w:rPr>
        <w:rFonts w:ascii="Wingdings" w:hAnsi="Wingdings" w:hint="default"/>
      </w:rPr>
    </w:lvl>
  </w:abstractNum>
  <w:abstractNum w:abstractNumId="15" w15:restartNumberingAfterBreak="0">
    <w:nsid w:val="47247510"/>
    <w:multiLevelType w:val="hybridMultilevel"/>
    <w:tmpl w:val="4A6A314E"/>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F55614"/>
    <w:multiLevelType w:val="hybridMultilevel"/>
    <w:tmpl w:val="25A0C99A"/>
    <w:lvl w:ilvl="0" w:tplc="1CE85872">
      <w:start w:val="1"/>
      <w:numFmt w:val="bullet"/>
      <w:lvlText w:val=""/>
      <w:lvlJc w:val="left"/>
      <w:pPr>
        <w:ind w:left="360" w:hanging="360"/>
      </w:pPr>
      <w:rPr>
        <w:rFonts w:ascii="Symbol" w:hAnsi="Symbol" w:hint="default"/>
        <w:color w:val="000000"/>
        <w:sz w:val="2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2D6262"/>
    <w:multiLevelType w:val="hybridMultilevel"/>
    <w:tmpl w:val="18EED288"/>
    <w:lvl w:ilvl="0" w:tplc="08D897BC">
      <w:numFmt w:val="bullet"/>
      <w:lvlText w:val="–"/>
      <w:lvlJc w:val="left"/>
      <w:pPr>
        <w:tabs>
          <w:tab w:val="num" w:pos="1080"/>
        </w:tabs>
        <w:ind w:left="1080" w:hanging="360"/>
      </w:pPr>
      <w:rPr>
        <w:rFonts w:ascii="Times New Roman" w:cs="Times New Roman" w:hint="default"/>
      </w:rPr>
    </w:lvl>
    <w:lvl w:ilvl="1" w:tplc="04150003" w:tentative="1">
      <w:start w:val="1"/>
      <w:numFmt w:val="bullet"/>
      <w:lvlText w:val="o"/>
      <w:lvlJc w:val="left"/>
      <w:pPr>
        <w:tabs>
          <w:tab w:val="num" w:pos="720"/>
        </w:tabs>
        <w:ind w:left="720" w:hanging="360"/>
      </w:pPr>
      <w:rPr>
        <w:rFonts w:ascii="Courier New" w:hAnsi="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570B1B93"/>
    <w:multiLevelType w:val="hybridMultilevel"/>
    <w:tmpl w:val="FA646BD0"/>
    <w:lvl w:ilvl="0" w:tplc="08D897BC">
      <w:numFmt w:val="bullet"/>
      <w:lvlText w:val="–"/>
      <w:lvlJc w:val="left"/>
      <w:pPr>
        <w:tabs>
          <w:tab w:val="num" w:pos="1080"/>
        </w:tabs>
        <w:ind w:left="1080" w:hanging="360"/>
      </w:pPr>
      <w:rPr>
        <w:rFonts w:ascii="Times New Roman" w:cs="Times New Roman" w:hint="default"/>
      </w:rPr>
    </w:lvl>
    <w:lvl w:ilvl="1" w:tplc="04150003" w:tentative="1">
      <w:start w:val="1"/>
      <w:numFmt w:val="bullet"/>
      <w:lvlText w:val="o"/>
      <w:lvlJc w:val="left"/>
      <w:pPr>
        <w:tabs>
          <w:tab w:val="num" w:pos="720"/>
        </w:tabs>
        <w:ind w:left="720" w:hanging="360"/>
      </w:pPr>
      <w:rPr>
        <w:rFonts w:ascii="Courier New" w:hAnsi="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89F13D9"/>
    <w:multiLevelType w:val="hybridMultilevel"/>
    <w:tmpl w:val="43EE85C2"/>
    <w:lvl w:ilvl="0" w:tplc="4AA8831E">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079"/>
        </w:tabs>
        <w:ind w:left="1079" w:hanging="360"/>
      </w:pPr>
      <w:rPr>
        <w:rFonts w:ascii="Courier New" w:hAnsi="Courier New" w:hint="default"/>
      </w:rPr>
    </w:lvl>
    <w:lvl w:ilvl="2" w:tplc="04150005" w:tentative="1">
      <w:start w:val="1"/>
      <w:numFmt w:val="bullet"/>
      <w:lvlText w:val=""/>
      <w:lvlJc w:val="left"/>
      <w:pPr>
        <w:tabs>
          <w:tab w:val="num" w:pos="1799"/>
        </w:tabs>
        <w:ind w:left="1799" w:hanging="360"/>
      </w:pPr>
      <w:rPr>
        <w:rFonts w:ascii="Wingdings" w:hAnsi="Wingdings" w:hint="default"/>
      </w:rPr>
    </w:lvl>
    <w:lvl w:ilvl="3" w:tplc="04150001" w:tentative="1">
      <w:start w:val="1"/>
      <w:numFmt w:val="bullet"/>
      <w:lvlText w:val=""/>
      <w:lvlJc w:val="left"/>
      <w:pPr>
        <w:tabs>
          <w:tab w:val="num" w:pos="2519"/>
        </w:tabs>
        <w:ind w:left="2519" w:hanging="360"/>
      </w:pPr>
      <w:rPr>
        <w:rFonts w:ascii="Symbol" w:hAnsi="Symbol" w:hint="default"/>
      </w:rPr>
    </w:lvl>
    <w:lvl w:ilvl="4" w:tplc="04150003" w:tentative="1">
      <w:start w:val="1"/>
      <w:numFmt w:val="bullet"/>
      <w:lvlText w:val="o"/>
      <w:lvlJc w:val="left"/>
      <w:pPr>
        <w:tabs>
          <w:tab w:val="num" w:pos="3239"/>
        </w:tabs>
        <w:ind w:left="3239" w:hanging="360"/>
      </w:pPr>
      <w:rPr>
        <w:rFonts w:ascii="Courier New" w:hAnsi="Courier New" w:hint="default"/>
      </w:rPr>
    </w:lvl>
    <w:lvl w:ilvl="5" w:tplc="04150005" w:tentative="1">
      <w:start w:val="1"/>
      <w:numFmt w:val="bullet"/>
      <w:lvlText w:val=""/>
      <w:lvlJc w:val="left"/>
      <w:pPr>
        <w:tabs>
          <w:tab w:val="num" w:pos="3959"/>
        </w:tabs>
        <w:ind w:left="3959" w:hanging="360"/>
      </w:pPr>
      <w:rPr>
        <w:rFonts w:ascii="Wingdings" w:hAnsi="Wingdings" w:hint="default"/>
      </w:rPr>
    </w:lvl>
    <w:lvl w:ilvl="6" w:tplc="04150001" w:tentative="1">
      <w:start w:val="1"/>
      <w:numFmt w:val="bullet"/>
      <w:lvlText w:val=""/>
      <w:lvlJc w:val="left"/>
      <w:pPr>
        <w:tabs>
          <w:tab w:val="num" w:pos="4679"/>
        </w:tabs>
        <w:ind w:left="4679" w:hanging="360"/>
      </w:pPr>
      <w:rPr>
        <w:rFonts w:ascii="Symbol" w:hAnsi="Symbol" w:hint="default"/>
      </w:rPr>
    </w:lvl>
    <w:lvl w:ilvl="7" w:tplc="04150003" w:tentative="1">
      <w:start w:val="1"/>
      <w:numFmt w:val="bullet"/>
      <w:lvlText w:val="o"/>
      <w:lvlJc w:val="left"/>
      <w:pPr>
        <w:tabs>
          <w:tab w:val="num" w:pos="5399"/>
        </w:tabs>
        <w:ind w:left="5399" w:hanging="360"/>
      </w:pPr>
      <w:rPr>
        <w:rFonts w:ascii="Courier New" w:hAnsi="Courier New" w:hint="default"/>
      </w:rPr>
    </w:lvl>
    <w:lvl w:ilvl="8" w:tplc="04150005" w:tentative="1">
      <w:start w:val="1"/>
      <w:numFmt w:val="bullet"/>
      <w:lvlText w:val=""/>
      <w:lvlJc w:val="left"/>
      <w:pPr>
        <w:tabs>
          <w:tab w:val="num" w:pos="6119"/>
        </w:tabs>
        <w:ind w:left="6119" w:hanging="360"/>
      </w:pPr>
      <w:rPr>
        <w:rFonts w:ascii="Wingdings" w:hAnsi="Wingdings" w:hint="default"/>
      </w:rPr>
    </w:lvl>
  </w:abstractNum>
  <w:abstractNum w:abstractNumId="20" w15:restartNumberingAfterBreak="0">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710A6E"/>
    <w:multiLevelType w:val="hybridMultilevel"/>
    <w:tmpl w:val="82B4CB54"/>
    <w:lvl w:ilvl="0" w:tplc="4AA8831E">
      <w:numFmt w:val="bullet"/>
      <w:lvlText w:val="–"/>
      <w:lvlJc w:val="left"/>
      <w:pPr>
        <w:tabs>
          <w:tab w:val="num" w:pos="1441"/>
        </w:tabs>
        <w:ind w:left="1441"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473392"/>
    <w:multiLevelType w:val="singleLevel"/>
    <w:tmpl w:val="BF385F5A"/>
    <w:lvl w:ilvl="0">
      <w:start w:val="1"/>
      <w:numFmt w:val="bullet"/>
      <w:lvlText w:val="-"/>
      <w:lvlJc w:val="left"/>
      <w:pPr>
        <w:tabs>
          <w:tab w:val="num" w:pos="360"/>
        </w:tabs>
        <w:ind w:left="360" w:hanging="360"/>
      </w:pPr>
      <w:rPr>
        <w:rFonts w:hint="default"/>
      </w:rPr>
    </w:lvl>
  </w:abstractNum>
  <w:abstractNum w:abstractNumId="24" w15:restartNumberingAfterBreak="0">
    <w:nsid w:val="6D3C7408"/>
    <w:multiLevelType w:val="hybridMultilevel"/>
    <w:tmpl w:val="3A58BB96"/>
    <w:lvl w:ilvl="0" w:tplc="F2F09DCA">
      <w:start w:val="2"/>
      <w:numFmt w:val="bullet"/>
      <w:lvlText w:val="−"/>
      <w:lvlJc w:val="left"/>
      <w:pPr>
        <w:ind w:left="530" w:hanging="360"/>
      </w:pPr>
      <w:rPr>
        <w:rFonts w:ascii="Times New Roman" w:eastAsia="Times New Roman" w:hAnsi="Times New Roman" w:cs="Times New Roman" w:hint="default"/>
      </w:rPr>
    </w:lvl>
    <w:lvl w:ilvl="1" w:tplc="04150003" w:tentative="1">
      <w:start w:val="1"/>
      <w:numFmt w:val="bullet"/>
      <w:lvlText w:val="o"/>
      <w:lvlJc w:val="left"/>
      <w:pPr>
        <w:ind w:left="1250" w:hanging="360"/>
      </w:pPr>
      <w:rPr>
        <w:rFonts w:ascii="Courier New" w:hAnsi="Courier New" w:cs="Courier New" w:hint="default"/>
      </w:rPr>
    </w:lvl>
    <w:lvl w:ilvl="2" w:tplc="04150005" w:tentative="1">
      <w:start w:val="1"/>
      <w:numFmt w:val="bullet"/>
      <w:lvlText w:val=""/>
      <w:lvlJc w:val="left"/>
      <w:pPr>
        <w:ind w:left="1970" w:hanging="360"/>
      </w:pPr>
      <w:rPr>
        <w:rFonts w:ascii="Wingdings" w:hAnsi="Wingdings" w:hint="default"/>
      </w:rPr>
    </w:lvl>
    <w:lvl w:ilvl="3" w:tplc="04150001" w:tentative="1">
      <w:start w:val="1"/>
      <w:numFmt w:val="bullet"/>
      <w:lvlText w:val=""/>
      <w:lvlJc w:val="left"/>
      <w:pPr>
        <w:ind w:left="2690" w:hanging="360"/>
      </w:pPr>
      <w:rPr>
        <w:rFonts w:ascii="Symbol" w:hAnsi="Symbol" w:hint="default"/>
      </w:rPr>
    </w:lvl>
    <w:lvl w:ilvl="4" w:tplc="04150003" w:tentative="1">
      <w:start w:val="1"/>
      <w:numFmt w:val="bullet"/>
      <w:lvlText w:val="o"/>
      <w:lvlJc w:val="left"/>
      <w:pPr>
        <w:ind w:left="3410" w:hanging="360"/>
      </w:pPr>
      <w:rPr>
        <w:rFonts w:ascii="Courier New" w:hAnsi="Courier New" w:cs="Courier New" w:hint="default"/>
      </w:rPr>
    </w:lvl>
    <w:lvl w:ilvl="5" w:tplc="04150005" w:tentative="1">
      <w:start w:val="1"/>
      <w:numFmt w:val="bullet"/>
      <w:lvlText w:val=""/>
      <w:lvlJc w:val="left"/>
      <w:pPr>
        <w:ind w:left="4130" w:hanging="360"/>
      </w:pPr>
      <w:rPr>
        <w:rFonts w:ascii="Wingdings" w:hAnsi="Wingdings" w:hint="default"/>
      </w:rPr>
    </w:lvl>
    <w:lvl w:ilvl="6" w:tplc="04150001" w:tentative="1">
      <w:start w:val="1"/>
      <w:numFmt w:val="bullet"/>
      <w:lvlText w:val=""/>
      <w:lvlJc w:val="left"/>
      <w:pPr>
        <w:ind w:left="4850" w:hanging="360"/>
      </w:pPr>
      <w:rPr>
        <w:rFonts w:ascii="Symbol" w:hAnsi="Symbol" w:hint="default"/>
      </w:rPr>
    </w:lvl>
    <w:lvl w:ilvl="7" w:tplc="04150003" w:tentative="1">
      <w:start w:val="1"/>
      <w:numFmt w:val="bullet"/>
      <w:lvlText w:val="o"/>
      <w:lvlJc w:val="left"/>
      <w:pPr>
        <w:ind w:left="5570" w:hanging="360"/>
      </w:pPr>
      <w:rPr>
        <w:rFonts w:ascii="Courier New" w:hAnsi="Courier New" w:cs="Courier New" w:hint="default"/>
      </w:rPr>
    </w:lvl>
    <w:lvl w:ilvl="8" w:tplc="04150005" w:tentative="1">
      <w:start w:val="1"/>
      <w:numFmt w:val="bullet"/>
      <w:lvlText w:val=""/>
      <w:lvlJc w:val="left"/>
      <w:pPr>
        <w:ind w:left="6290" w:hanging="360"/>
      </w:pPr>
      <w:rPr>
        <w:rFonts w:ascii="Wingdings" w:hAnsi="Wingdings" w:hint="default"/>
      </w:rPr>
    </w:lvl>
  </w:abstractNum>
  <w:abstractNum w:abstractNumId="25" w15:restartNumberingAfterBreak="0">
    <w:nsid w:val="72D07174"/>
    <w:multiLevelType w:val="hybridMultilevel"/>
    <w:tmpl w:val="79949F12"/>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FE3B9C"/>
    <w:multiLevelType w:val="hybridMultilevel"/>
    <w:tmpl w:val="3EB2BF0E"/>
    <w:lvl w:ilvl="0" w:tplc="4AA8831E">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079"/>
        </w:tabs>
        <w:ind w:left="1079" w:hanging="360"/>
      </w:pPr>
      <w:rPr>
        <w:rFonts w:ascii="Courier New" w:hAnsi="Courier New" w:hint="default"/>
      </w:rPr>
    </w:lvl>
    <w:lvl w:ilvl="2" w:tplc="04150005" w:tentative="1">
      <w:start w:val="1"/>
      <w:numFmt w:val="bullet"/>
      <w:lvlText w:val=""/>
      <w:lvlJc w:val="left"/>
      <w:pPr>
        <w:tabs>
          <w:tab w:val="num" w:pos="1799"/>
        </w:tabs>
        <w:ind w:left="1799" w:hanging="360"/>
      </w:pPr>
      <w:rPr>
        <w:rFonts w:ascii="Wingdings" w:hAnsi="Wingdings" w:hint="default"/>
      </w:rPr>
    </w:lvl>
    <w:lvl w:ilvl="3" w:tplc="04150001" w:tentative="1">
      <w:start w:val="1"/>
      <w:numFmt w:val="bullet"/>
      <w:lvlText w:val=""/>
      <w:lvlJc w:val="left"/>
      <w:pPr>
        <w:tabs>
          <w:tab w:val="num" w:pos="2519"/>
        </w:tabs>
        <w:ind w:left="2519" w:hanging="360"/>
      </w:pPr>
      <w:rPr>
        <w:rFonts w:ascii="Symbol" w:hAnsi="Symbol" w:hint="default"/>
      </w:rPr>
    </w:lvl>
    <w:lvl w:ilvl="4" w:tplc="04150003" w:tentative="1">
      <w:start w:val="1"/>
      <w:numFmt w:val="bullet"/>
      <w:lvlText w:val="o"/>
      <w:lvlJc w:val="left"/>
      <w:pPr>
        <w:tabs>
          <w:tab w:val="num" w:pos="3239"/>
        </w:tabs>
        <w:ind w:left="3239" w:hanging="360"/>
      </w:pPr>
      <w:rPr>
        <w:rFonts w:ascii="Courier New" w:hAnsi="Courier New" w:hint="default"/>
      </w:rPr>
    </w:lvl>
    <w:lvl w:ilvl="5" w:tplc="04150005" w:tentative="1">
      <w:start w:val="1"/>
      <w:numFmt w:val="bullet"/>
      <w:lvlText w:val=""/>
      <w:lvlJc w:val="left"/>
      <w:pPr>
        <w:tabs>
          <w:tab w:val="num" w:pos="3959"/>
        </w:tabs>
        <w:ind w:left="3959" w:hanging="360"/>
      </w:pPr>
      <w:rPr>
        <w:rFonts w:ascii="Wingdings" w:hAnsi="Wingdings" w:hint="default"/>
      </w:rPr>
    </w:lvl>
    <w:lvl w:ilvl="6" w:tplc="04150001" w:tentative="1">
      <w:start w:val="1"/>
      <w:numFmt w:val="bullet"/>
      <w:lvlText w:val=""/>
      <w:lvlJc w:val="left"/>
      <w:pPr>
        <w:tabs>
          <w:tab w:val="num" w:pos="4679"/>
        </w:tabs>
        <w:ind w:left="4679" w:hanging="360"/>
      </w:pPr>
      <w:rPr>
        <w:rFonts w:ascii="Symbol" w:hAnsi="Symbol" w:hint="default"/>
      </w:rPr>
    </w:lvl>
    <w:lvl w:ilvl="7" w:tplc="04150003" w:tentative="1">
      <w:start w:val="1"/>
      <w:numFmt w:val="bullet"/>
      <w:lvlText w:val="o"/>
      <w:lvlJc w:val="left"/>
      <w:pPr>
        <w:tabs>
          <w:tab w:val="num" w:pos="5399"/>
        </w:tabs>
        <w:ind w:left="5399" w:hanging="360"/>
      </w:pPr>
      <w:rPr>
        <w:rFonts w:ascii="Courier New" w:hAnsi="Courier New" w:hint="default"/>
      </w:rPr>
    </w:lvl>
    <w:lvl w:ilvl="8" w:tplc="04150005" w:tentative="1">
      <w:start w:val="1"/>
      <w:numFmt w:val="bullet"/>
      <w:lvlText w:val=""/>
      <w:lvlJc w:val="left"/>
      <w:pPr>
        <w:tabs>
          <w:tab w:val="num" w:pos="6119"/>
        </w:tabs>
        <w:ind w:left="6119" w:hanging="360"/>
      </w:pPr>
      <w:rPr>
        <w:rFonts w:ascii="Wingdings" w:hAnsi="Wingdings" w:hint="default"/>
      </w:rPr>
    </w:lvl>
  </w:abstractNum>
  <w:num w:numId="1">
    <w:abstractNumId w:val="4"/>
  </w:num>
  <w:num w:numId="2">
    <w:abstractNumId w:val="3"/>
  </w:num>
  <w:num w:numId="3">
    <w:abstractNumId w:val="12"/>
  </w:num>
  <w:num w:numId="4">
    <w:abstractNumId w:val="18"/>
  </w:num>
  <w:num w:numId="5">
    <w:abstractNumId w:val="11"/>
  </w:num>
  <w:num w:numId="6">
    <w:abstractNumId w:val="19"/>
  </w:num>
  <w:num w:numId="7">
    <w:abstractNumId w:val="26"/>
  </w:num>
  <w:num w:numId="8">
    <w:abstractNumId w:val="23"/>
  </w:num>
  <w:num w:numId="9">
    <w:abstractNumId w:val="22"/>
  </w:num>
  <w:num w:numId="10">
    <w:abstractNumId w:val="17"/>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4"/>
  </w:num>
  <w:num w:numId="21">
    <w:abstractNumId w:val="16"/>
  </w:num>
  <w:num w:numId="22">
    <w:abstractNumId w:val="13"/>
  </w:num>
  <w:num w:numId="23">
    <w:abstractNumId w:val="15"/>
  </w:num>
  <w:num w:numId="24">
    <w:abstractNumId w:val="8"/>
  </w:num>
  <w:num w:numId="25">
    <w:abstractNumId w:val="25"/>
  </w:num>
  <w:num w:numId="26">
    <w:abstractNumId w:val="5"/>
  </w:num>
  <w:num w:numId="27">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79"/>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889"/>
    <w:rsid w:val="00137E3D"/>
    <w:rsid w:val="00294739"/>
    <w:rsid w:val="00452790"/>
    <w:rsid w:val="00460F59"/>
    <w:rsid w:val="005E378D"/>
    <w:rsid w:val="00752889"/>
    <w:rsid w:val="0086572E"/>
    <w:rsid w:val="00985D4E"/>
    <w:rsid w:val="009D2E16"/>
    <w:rsid w:val="00CA1295"/>
    <w:rsid w:val="00F9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6A98C84-B8B2-442C-A800-A6359F2F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rFonts w:ascii="Courier" w:hAnsi="Courier"/>
      <w:sz w:val="24"/>
    </w:rPr>
  </w:style>
  <w:style w:type="paragraph" w:styleId="Nagwek1">
    <w:name w:val="heading 1"/>
    <w:basedOn w:val="Normalny"/>
    <w:next w:val="Normalny"/>
    <w:qFormat/>
    <w:pPr>
      <w:keepNext/>
      <w:suppressAutoHyphens/>
      <w:jc w:val="center"/>
      <w:outlineLvl w:val="0"/>
    </w:pPr>
    <w:rPr>
      <w:rFonts w:ascii="Times New Roman" w:hAnsi="Times New Roman"/>
      <w:b/>
      <w:sz w:val="22"/>
      <w:u w:val="single"/>
    </w:rPr>
  </w:style>
  <w:style w:type="paragraph" w:styleId="Nagwek2">
    <w:name w:val="heading 2"/>
    <w:basedOn w:val="Normalny"/>
    <w:next w:val="Normalny"/>
    <w:qFormat/>
    <w:pPr>
      <w:keepNext/>
      <w:outlineLvl w:val="1"/>
    </w:pPr>
    <w:rPr>
      <w:rFonts w:ascii="Times New Roman" w:hAnsi="Times New Roman"/>
      <w:b/>
      <w:sz w:val="20"/>
      <w:u w:val="single"/>
      <w:lang w:val="en-US" w:eastAsia="en-US"/>
    </w:rPr>
  </w:style>
  <w:style w:type="paragraph" w:styleId="Nagwek3">
    <w:name w:val="heading 3"/>
    <w:basedOn w:val="Normalny"/>
    <w:next w:val="Normalny"/>
    <w:link w:val="Nagwek3Znak"/>
    <w:semiHidden/>
    <w:unhideWhenUsed/>
    <w:qFormat/>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ourier" w:hAnsi="Courier"/>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character" w:customStyle="1" w:styleId="TechInit">
    <w:name w:val="Tech Init"/>
    <w:rPr>
      <w:rFonts w:ascii="Courier" w:hAnsi="Courier"/>
      <w:noProof w:val="0"/>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character" w:customStyle="1" w:styleId="DocInit">
    <w:name w:val="Doc Init"/>
    <w:basedOn w:val="Domylnaczcionkaakapitu"/>
  </w:style>
  <w:style w:type="paragraph" w:customStyle="1" w:styleId="Pleading">
    <w:name w:val="Pleading"/>
    <w:pPr>
      <w:tabs>
        <w:tab w:val="left" w:pos="-720"/>
      </w:tabs>
      <w:suppressAutoHyphens/>
      <w:spacing w:line="240" w:lineRule="exact"/>
    </w:pPr>
    <w:rPr>
      <w:rFonts w:ascii="Courier" w:hAnsi="Courier"/>
      <w:sz w:val="24"/>
      <w:lang w:val="en-US"/>
    </w:rPr>
  </w:style>
  <w:style w:type="character" w:customStyle="1" w:styleId="Nagwek21">
    <w:name w:val="Nagłówek 21"/>
    <w:rPr>
      <w:sz w:val="29"/>
      <w:u w:val="single"/>
    </w:rPr>
  </w:style>
  <w:style w:type="character" w:customStyle="1" w:styleId="Nagwek11">
    <w:name w:val="Nagłówek 11"/>
    <w:rPr>
      <w:b/>
      <w:sz w:val="36"/>
    </w:rPr>
  </w:style>
  <w:style w:type="character" w:customStyle="1" w:styleId="BulletList">
    <w:name w:val="Bullet List"/>
    <w:basedOn w:val="Domylnaczcionkaakapitu"/>
  </w:style>
  <w:style w:type="paragraph" w:styleId="Spistreci1">
    <w:name w:val="toc 1"/>
    <w:basedOn w:val="Normalny"/>
    <w:next w:val="Normalny"/>
    <w:semiHidden/>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pPr>
      <w:tabs>
        <w:tab w:val="left" w:pos="9000"/>
        <w:tab w:val="right" w:pos="9360"/>
      </w:tabs>
      <w:suppressAutoHyphens/>
      <w:ind w:left="720" w:hanging="720"/>
    </w:pPr>
    <w:rPr>
      <w:lang w:val="en-US"/>
    </w:rPr>
  </w:style>
  <w:style w:type="paragraph" w:styleId="Spistreci7">
    <w:name w:val="toc 7"/>
    <w:basedOn w:val="Normalny"/>
    <w:next w:val="Normalny"/>
    <w:semiHidden/>
    <w:pPr>
      <w:suppressAutoHyphens/>
      <w:ind w:left="720" w:hanging="720"/>
    </w:pPr>
    <w:rPr>
      <w:lang w:val="en-US"/>
    </w:rPr>
  </w:style>
  <w:style w:type="paragraph" w:styleId="Spistreci8">
    <w:name w:val="toc 8"/>
    <w:basedOn w:val="Normalny"/>
    <w:next w:val="Normalny"/>
    <w:semiHidden/>
    <w:pPr>
      <w:tabs>
        <w:tab w:val="left" w:pos="9000"/>
        <w:tab w:val="right" w:pos="9360"/>
      </w:tabs>
      <w:suppressAutoHyphens/>
      <w:ind w:left="720" w:hanging="720"/>
    </w:pPr>
    <w:rPr>
      <w:lang w:val="en-US"/>
    </w:rPr>
  </w:style>
  <w:style w:type="paragraph" w:styleId="Spistreci9">
    <w:name w:val="toc 9"/>
    <w:basedOn w:val="Normalny"/>
    <w:next w:val="Normalny"/>
    <w:semiHidden/>
    <w:pPr>
      <w:tabs>
        <w:tab w:val="left" w:leader="dot" w:pos="9000"/>
        <w:tab w:val="right" w:pos="9360"/>
      </w:tabs>
      <w:suppressAutoHyphens/>
      <w:ind w:left="720" w:hanging="720"/>
    </w:pPr>
    <w:rPr>
      <w:lang w:val="en-US"/>
    </w:rPr>
  </w:style>
  <w:style w:type="paragraph" w:styleId="Indeks1">
    <w:name w:val="index 1"/>
    <w:basedOn w:val="Normalny"/>
    <w:next w:val="Normalny"/>
    <w:semiHidden/>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pPr>
      <w:tabs>
        <w:tab w:val="left" w:leader="dot" w:pos="9000"/>
        <w:tab w:val="right" w:pos="9360"/>
      </w:tabs>
      <w:suppressAutoHyphens/>
      <w:ind w:left="1440" w:right="720" w:hanging="720"/>
    </w:pPr>
    <w:rPr>
      <w:lang w:val="en-US"/>
    </w:rPr>
  </w:style>
  <w:style w:type="paragraph" w:customStyle="1" w:styleId="NA">
    <w:name w:val="N/A"/>
    <w:basedOn w:val="Normalny"/>
    <w:pPr>
      <w:tabs>
        <w:tab w:val="left" w:pos="9000"/>
        <w:tab w:val="right" w:pos="9360"/>
      </w:tabs>
      <w:suppressAutoHyphens/>
    </w:pPr>
    <w:rPr>
      <w:lang w:val="en-US"/>
    </w:rPr>
  </w:style>
  <w:style w:type="paragraph" w:styleId="Legenda">
    <w:name w:val="caption"/>
    <w:basedOn w:val="Normalny"/>
    <w:next w:val="Normalny"/>
    <w:qFormat/>
  </w:style>
  <w:style w:type="character" w:customStyle="1" w:styleId="EquationCaption">
    <w:name w:val="_Equation Caption"/>
  </w:style>
  <w:style w:type="paragraph" w:styleId="Nagwek">
    <w:name w:val="header"/>
    <w:basedOn w:val="Normalny"/>
    <w:pPr>
      <w:tabs>
        <w:tab w:val="center" w:pos="4703"/>
        <w:tab w:val="right" w:pos="9406"/>
      </w:tabs>
    </w:pPr>
  </w:style>
  <w:style w:type="paragraph" w:styleId="Stopka">
    <w:name w:val="footer"/>
    <w:basedOn w:val="Normalny"/>
    <w:link w:val="StopkaZnak"/>
    <w:uiPriority w:val="99"/>
    <w:pPr>
      <w:tabs>
        <w:tab w:val="center" w:pos="4703"/>
        <w:tab w:val="right" w:pos="9406"/>
      </w:tabs>
    </w:pPr>
  </w:style>
  <w:style w:type="character" w:styleId="Numerstrony">
    <w:name w:val="page number"/>
    <w:basedOn w:val="Domylnaczcionkaakapitu"/>
  </w:style>
  <w:style w:type="paragraph" w:styleId="Tekstpodstawowywcity">
    <w:name w:val="Body Text Indent"/>
    <w:basedOn w:val="Normalny"/>
    <w:pPr>
      <w:suppressAutoHyphens/>
      <w:ind w:left="426"/>
      <w:jc w:val="both"/>
    </w:pPr>
    <w:rPr>
      <w:rFonts w:ascii="Times New Roman" w:hAnsi="Times New Roman"/>
      <w:spacing w:val="-3"/>
    </w:rPr>
  </w:style>
  <w:style w:type="paragraph" w:styleId="Tekstpodstawowywcity2">
    <w:name w:val="Body Text Indent 2"/>
    <w:basedOn w:val="Normalny"/>
    <w:pPr>
      <w:suppressAutoHyphens/>
      <w:ind w:left="993"/>
      <w:jc w:val="both"/>
    </w:pPr>
    <w:rPr>
      <w:rFonts w:ascii="Times New Roman" w:hAnsi="Times New Roman"/>
      <w:spacing w:val="-3"/>
    </w:rPr>
  </w:style>
  <w:style w:type="paragraph" w:styleId="Tekstpodstawowy">
    <w:name w:val="Body Text"/>
    <w:basedOn w:val="Normalny"/>
    <w:pPr>
      <w:suppressAutoHyphens/>
      <w:jc w:val="both"/>
    </w:pPr>
    <w:rPr>
      <w:rFonts w:ascii="Times New Roman" w:hAnsi="Times New Roman"/>
      <w:spacing w:val="-3"/>
    </w:rPr>
  </w:style>
  <w:style w:type="paragraph" w:styleId="Tekstpodstawowy2">
    <w:name w:val="Body Text 2"/>
    <w:basedOn w:val="Normalny"/>
    <w:pPr>
      <w:jc w:val="both"/>
    </w:pPr>
    <w:rPr>
      <w:rFonts w:ascii="Times New Roman" w:hAnsi="Times New Roman"/>
      <w:sz w:val="22"/>
    </w:rPr>
  </w:style>
  <w:style w:type="paragraph" w:styleId="Tekstpodstawowy3">
    <w:name w:val="Body Text 3"/>
    <w:basedOn w:val="Normalny"/>
    <w:pPr>
      <w:jc w:val="both"/>
    </w:pPr>
    <w:rPr>
      <w:rFonts w:ascii="Times New Roman" w:hAnsi="Times New Roman"/>
      <w:sz w:val="20"/>
    </w:rPr>
  </w:style>
  <w:style w:type="paragraph" w:styleId="Tekstpodstawowywcity3">
    <w:name w:val="Body Text Indent 3"/>
    <w:basedOn w:val="Normalny"/>
    <w:pPr>
      <w:suppressAutoHyphens/>
      <w:ind w:left="426"/>
      <w:jc w:val="both"/>
    </w:pPr>
    <w:rPr>
      <w:rFonts w:ascii="Times New Roman" w:hAnsi="Times New Roman"/>
      <w:spacing w:val="-3"/>
      <w:sz w:val="20"/>
    </w:rPr>
  </w:style>
  <w:style w:type="paragraph" w:styleId="Tekstdymka">
    <w:name w:val="Balloon Text"/>
    <w:basedOn w:val="Normalny"/>
    <w:semiHidden/>
    <w:rPr>
      <w:rFonts w:ascii="Tahoma" w:hAnsi="Tahoma" w:cs="Tahoma"/>
      <w:sz w:val="16"/>
      <w:szCs w:val="16"/>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st">
    <w:name w:val="tekst ost"/>
    <w:basedOn w:val="Normalny"/>
    <w:pPr>
      <w:overflowPunct w:val="0"/>
      <w:autoSpaceDE w:val="0"/>
      <w:autoSpaceDN w:val="0"/>
      <w:adjustRightInd w:val="0"/>
      <w:jc w:val="both"/>
      <w:textAlignment w:val="baseline"/>
    </w:pPr>
    <w:rPr>
      <w:rFonts w:ascii="Times New Roman" w:hAnsi="Times New Roman"/>
      <w:sz w:val="20"/>
    </w:rPr>
  </w:style>
  <w:style w:type="paragraph" w:styleId="Tekstprzypisudolnego">
    <w:name w:val="footnote text"/>
    <w:basedOn w:val="Normalny"/>
    <w:semiHidden/>
    <w:pPr>
      <w:overflowPunct w:val="0"/>
      <w:autoSpaceDE w:val="0"/>
      <w:autoSpaceDN w:val="0"/>
      <w:adjustRightInd w:val="0"/>
      <w:jc w:val="both"/>
      <w:textAlignment w:val="baseline"/>
    </w:pPr>
    <w:rPr>
      <w:rFonts w:ascii="Times New Roman" w:hAnsi="Times New Roman"/>
      <w:sz w:val="20"/>
    </w:rPr>
  </w:style>
  <w:style w:type="paragraph" w:customStyle="1" w:styleId="AAAAA">
    <w:name w:val="AAAAA"/>
    <w:pPr>
      <w:overflowPunct w:val="0"/>
      <w:autoSpaceDE w:val="0"/>
      <w:autoSpaceDN w:val="0"/>
      <w:adjustRightInd w:val="0"/>
      <w:jc w:val="both"/>
      <w:textAlignment w:val="baseline"/>
    </w:pPr>
  </w:style>
  <w:style w:type="character" w:customStyle="1" w:styleId="Nagwek3Znak">
    <w:name w:val="Nagłówek 3 Znak"/>
    <w:link w:val="Nagwek3"/>
    <w:semiHidden/>
    <w:rPr>
      <w:rFonts w:ascii="Cambria" w:eastAsia="Times New Roman" w:hAnsi="Cambria" w:cs="Times New Roman"/>
      <w:b/>
      <w:bCs/>
      <w:sz w:val="26"/>
      <w:szCs w:val="26"/>
    </w:rPr>
  </w:style>
  <w:style w:type="character" w:customStyle="1" w:styleId="StopkaZnak">
    <w:name w:val="Stopka Znak"/>
    <w:link w:val="Stopka"/>
    <w:uiPriority w:val="99"/>
    <w:rPr>
      <w:rFonts w:ascii="Courier" w:hAnsi="Courier"/>
      <w:sz w:val="24"/>
    </w:rPr>
  </w:style>
  <w:style w:type="character" w:styleId="Odwoaniedokomentarza">
    <w:name w:val="annotation reference"/>
    <w:rPr>
      <w:sz w:val="16"/>
      <w:szCs w:val="16"/>
    </w:rPr>
  </w:style>
  <w:style w:type="paragraph" w:styleId="Tekstkomentarza">
    <w:name w:val="annotation text"/>
    <w:basedOn w:val="Normalny"/>
    <w:link w:val="TekstkomentarzaZnak"/>
    <w:rPr>
      <w:sz w:val="20"/>
    </w:rPr>
  </w:style>
  <w:style w:type="character" w:customStyle="1" w:styleId="TekstkomentarzaZnak">
    <w:name w:val="Tekst komentarza Znak"/>
    <w:link w:val="Tekstkomentarza"/>
    <w:rPr>
      <w:rFonts w:ascii="Courier" w:hAnsi="Courier"/>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Courier" w:hAnsi="Courier"/>
      <w:b/>
      <w:bCs/>
    </w:rPr>
  </w:style>
  <w:style w:type="paragraph" w:customStyle="1" w:styleId="11">
    <w:name w:val="1.1."/>
    <w:basedOn w:val="Normalny"/>
    <w:next w:val="Normalny"/>
    <w:pPr>
      <w:keepNext/>
      <w:widowControl w:val="0"/>
      <w:spacing w:before="240" w:after="120" w:line="360" w:lineRule="auto"/>
    </w:pPr>
    <w:rPr>
      <w:rFonts w:ascii="Times New Roman" w:hAnsi="Times New Roman"/>
      <w:lang w:eastAsia="en-US"/>
    </w:rPr>
  </w:style>
  <w:style w:type="paragraph" w:styleId="Akapitzlist">
    <w:name w:val="List Paragraph"/>
    <w:basedOn w:val="Normalny"/>
    <w:uiPriority w:val="34"/>
    <w:qFormat/>
    <w:rsid w:val="00F974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997886">
      <w:bodyDiv w:val="1"/>
      <w:marLeft w:val="0"/>
      <w:marRight w:val="0"/>
      <w:marTop w:val="0"/>
      <w:marBottom w:val="0"/>
      <w:divBdr>
        <w:top w:val="none" w:sz="0" w:space="0" w:color="auto"/>
        <w:left w:val="none" w:sz="0" w:space="0" w:color="auto"/>
        <w:bottom w:val="none" w:sz="0" w:space="0" w:color="auto"/>
        <w:right w:val="none" w:sz="0" w:space="0" w:color="auto"/>
      </w:divBdr>
    </w:div>
    <w:div w:id="394857527">
      <w:bodyDiv w:val="1"/>
      <w:marLeft w:val="0"/>
      <w:marRight w:val="0"/>
      <w:marTop w:val="0"/>
      <w:marBottom w:val="0"/>
      <w:divBdr>
        <w:top w:val="none" w:sz="0" w:space="0" w:color="auto"/>
        <w:left w:val="none" w:sz="0" w:space="0" w:color="auto"/>
        <w:bottom w:val="none" w:sz="0" w:space="0" w:color="auto"/>
        <w:right w:val="none" w:sz="0" w:space="0" w:color="auto"/>
      </w:divBdr>
    </w:div>
    <w:div w:id="527377681">
      <w:bodyDiv w:val="1"/>
      <w:marLeft w:val="0"/>
      <w:marRight w:val="0"/>
      <w:marTop w:val="0"/>
      <w:marBottom w:val="0"/>
      <w:divBdr>
        <w:top w:val="none" w:sz="0" w:space="0" w:color="auto"/>
        <w:left w:val="none" w:sz="0" w:space="0" w:color="auto"/>
        <w:bottom w:val="none" w:sz="0" w:space="0" w:color="auto"/>
        <w:right w:val="none" w:sz="0" w:space="0" w:color="auto"/>
      </w:divBdr>
    </w:div>
    <w:div w:id="1111507958">
      <w:bodyDiv w:val="1"/>
      <w:marLeft w:val="0"/>
      <w:marRight w:val="0"/>
      <w:marTop w:val="0"/>
      <w:marBottom w:val="0"/>
      <w:divBdr>
        <w:top w:val="none" w:sz="0" w:space="0" w:color="auto"/>
        <w:left w:val="none" w:sz="0" w:space="0" w:color="auto"/>
        <w:bottom w:val="none" w:sz="0" w:space="0" w:color="auto"/>
        <w:right w:val="none" w:sz="0" w:space="0" w:color="auto"/>
      </w:divBdr>
    </w:div>
    <w:div w:id="1217401502">
      <w:bodyDiv w:val="1"/>
      <w:marLeft w:val="0"/>
      <w:marRight w:val="0"/>
      <w:marTop w:val="0"/>
      <w:marBottom w:val="0"/>
      <w:divBdr>
        <w:top w:val="none" w:sz="0" w:space="0" w:color="auto"/>
        <w:left w:val="none" w:sz="0" w:space="0" w:color="auto"/>
        <w:bottom w:val="none" w:sz="0" w:space="0" w:color="auto"/>
        <w:right w:val="none" w:sz="0" w:space="0" w:color="auto"/>
      </w:divBdr>
    </w:div>
    <w:div w:id="1846936050">
      <w:bodyDiv w:val="1"/>
      <w:marLeft w:val="0"/>
      <w:marRight w:val="0"/>
      <w:marTop w:val="0"/>
      <w:marBottom w:val="0"/>
      <w:divBdr>
        <w:top w:val="none" w:sz="0" w:space="0" w:color="auto"/>
        <w:left w:val="none" w:sz="0" w:space="0" w:color="auto"/>
        <w:bottom w:val="none" w:sz="0" w:space="0" w:color="auto"/>
        <w:right w:val="none" w:sz="0" w:space="0" w:color="auto"/>
      </w:divBdr>
    </w:div>
    <w:div w:id="18637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5947</Words>
  <Characters>35683</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D</vt:lpstr>
    </vt:vector>
  </TitlesOfParts>
  <Company>Profil</Company>
  <LinksUpToDate>false</LinksUpToDate>
  <CharactersWithSpaces>41547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WT-LD Kraków</dc:creator>
  <cp:lastModifiedBy>User</cp:lastModifiedBy>
  <cp:revision>20</cp:revision>
  <cp:lastPrinted>2019-02-22T11:00:00Z</cp:lastPrinted>
  <dcterms:created xsi:type="dcterms:W3CDTF">2015-08-06T08:28:00Z</dcterms:created>
  <dcterms:modified xsi:type="dcterms:W3CDTF">2019-02-22T11:00:00Z</dcterms:modified>
</cp:coreProperties>
</file>