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807" w:rsidRPr="00840D05" w:rsidRDefault="00840D05" w:rsidP="00840D05">
      <w:pPr>
        <w:rPr>
          <w:b/>
        </w:rPr>
      </w:pPr>
      <w:r w:rsidRPr="00840D05">
        <w:rPr>
          <w:b/>
        </w:rPr>
        <w:t xml:space="preserve">D.08.03.01. </w:t>
      </w:r>
      <w:r w:rsidRPr="00840D05">
        <w:rPr>
          <w:b/>
        </w:rPr>
        <w:tab/>
        <w:t>OBRZEŻA BETONOWE</w:t>
      </w:r>
    </w:p>
    <w:p w:rsidR="00041807" w:rsidRPr="00840D05" w:rsidRDefault="00041807" w:rsidP="00840D05"/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1. Wstęp</w:t>
      </w:r>
    </w:p>
    <w:p w:rsidR="00041807" w:rsidRPr="00840D05" w:rsidRDefault="005451EE" w:rsidP="00834EE8">
      <w:pPr>
        <w:jc w:val="both"/>
      </w:pPr>
      <w:r w:rsidRPr="00840D05">
        <w:t xml:space="preserve">Przedmiotem niniejszych </w:t>
      </w:r>
      <w:r w:rsidR="00602C36">
        <w:t>SST</w:t>
      </w:r>
      <w:r w:rsidRPr="00840D05">
        <w:t xml:space="preserve"> są wytyczne dla robót związanych z ustawieniem obrzeży betonowych.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1.1. Określenia podstawowe</w:t>
      </w:r>
    </w:p>
    <w:p w:rsidR="00041807" w:rsidRPr="00840D05" w:rsidRDefault="005451EE" w:rsidP="00834EE8">
      <w:pPr>
        <w:jc w:val="both"/>
      </w:pPr>
      <w:r w:rsidRPr="00840D05">
        <w:t>Obrzeża chodnikowe - prefabrykowane belki betonowe rozgraniczające jednostronnie lub dwustronnie ciągi komunikacyjne od terenów nie przeznaczonych do komunikacji.</w:t>
      </w:r>
    </w:p>
    <w:p w:rsidR="00041807" w:rsidRPr="00840D05" w:rsidRDefault="005451EE" w:rsidP="00834EE8">
      <w:pPr>
        <w:jc w:val="both"/>
      </w:pPr>
      <w:r w:rsidRPr="00840D05">
        <w:t xml:space="preserve">Pozostałe określenia podstawowe są zgodne z obowiązującymi, odpowiednimi polskimi normami  i definicjami podanymi w </w:t>
      </w:r>
      <w:r w:rsidR="00602C36">
        <w:t>SST</w:t>
      </w:r>
      <w:r w:rsidRPr="00840D05">
        <w:t xml:space="preserve"> D-M.00.00.00. „Wymagania ogólne”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2. Materiały</w:t>
      </w:r>
    </w:p>
    <w:p w:rsidR="00041807" w:rsidRPr="00840D05" w:rsidRDefault="005451EE" w:rsidP="00834EE8">
      <w:pPr>
        <w:jc w:val="both"/>
      </w:pPr>
      <w:r w:rsidRPr="00840D05">
        <w:t xml:space="preserve">Ogólne wymagania dotyczące materiałów, ich pozyskiwania i składowania podano w </w:t>
      </w:r>
      <w:r w:rsidR="00602C36">
        <w:t>SST</w:t>
      </w:r>
      <w:r w:rsidRPr="00840D05">
        <w:t xml:space="preserve"> D-M.00.00.00. „Wymagania ogólne” pkt. 2.</w:t>
      </w:r>
    </w:p>
    <w:p w:rsidR="00041807" w:rsidRPr="00840D05" w:rsidRDefault="005451EE" w:rsidP="00834EE8">
      <w:pPr>
        <w:jc w:val="both"/>
      </w:pPr>
      <w:r w:rsidRPr="00840D05">
        <w:t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wysyłanego materiału dołączony powinien być dokument potwierdzający jego jakość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2.1. Obrzeża betonowe wg PN-EN 1340:</w:t>
      </w:r>
    </w:p>
    <w:p w:rsidR="00041807" w:rsidRPr="00840D05" w:rsidRDefault="005451EE" w:rsidP="00834EE8">
      <w:pPr>
        <w:jc w:val="both"/>
      </w:pPr>
      <w:r w:rsidRPr="00840D05">
        <w:t>Odporność na zamrażanie/rozmrażanie z udziałem soli odladzających: klasa 3</w:t>
      </w:r>
    </w:p>
    <w:p w:rsidR="00041807" w:rsidRPr="00840D05" w:rsidRDefault="005451EE" w:rsidP="00834EE8">
      <w:pPr>
        <w:jc w:val="both"/>
      </w:pPr>
      <w:r w:rsidRPr="00840D05">
        <w:t xml:space="preserve">Wytrzymałość na zginanie wg PN-EN 1339: klasa </w:t>
      </w:r>
      <w:r w:rsidR="00DF7AE1" w:rsidRPr="00840D05">
        <w:t>2</w:t>
      </w:r>
    </w:p>
    <w:p w:rsidR="00041807" w:rsidRPr="00840D05" w:rsidRDefault="005451EE" w:rsidP="00834EE8">
      <w:pPr>
        <w:jc w:val="both"/>
      </w:pPr>
      <w:r w:rsidRPr="00840D05">
        <w:t>Odporność na ścieralnie: klasa 4</w:t>
      </w:r>
    </w:p>
    <w:p w:rsidR="00041807" w:rsidRPr="00840D05" w:rsidRDefault="005451EE" w:rsidP="00834EE8">
      <w:pPr>
        <w:jc w:val="both"/>
      </w:pPr>
      <w:r w:rsidRPr="00840D05">
        <w:t xml:space="preserve">Nasiąkliwość: </w:t>
      </w:r>
      <w:r w:rsidR="00DF7AE1" w:rsidRPr="00840D05">
        <w:t>klasa 2</w:t>
      </w:r>
      <w:r w:rsidRPr="00840D05">
        <w:t xml:space="preserve"> (w przypadku niespełnienia wymagania dla nasiąkliwości, parametrem decydującym o trwałości betonu będzie odporność na działanie środków odladzających)</w:t>
      </w:r>
    </w:p>
    <w:p w:rsidR="00041807" w:rsidRPr="00840D05" w:rsidRDefault="005451EE" w:rsidP="00834EE8">
      <w:pPr>
        <w:jc w:val="both"/>
      </w:pPr>
      <w:r w:rsidRPr="00840D05">
        <w:t>Wymiary nominalne powinny być zadeklarowane przez Producenta zgodnie z wymaganiami dokumentacji projektowej. Dopuszczalne odchyłki wymiarów nominalnych powinny być zgodne z wymaganiami podanymi w PN-EN 1340.</w:t>
      </w:r>
    </w:p>
    <w:p w:rsidR="00041807" w:rsidRPr="00840D05" w:rsidRDefault="005451EE" w:rsidP="00834EE8">
      <w:pPr>
        <w:jc w:val="both"/>
      </w:pPr>
      <w:r w:rsidRPr="00840D05">
        <w:t>Powierzchnia obrzeży nie powinna mieć rys i odprysków.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2.2. Materiały na podsypkę i wypełnienia szczelin pomiędzy ściankami bocznymi obrzeży</w:t>
      </w:r>
    </w:p>
    <w:p w:rsidR="00041807" w:rsidRPr="00840D05" w:rsidRDefault="005451EE" w:rsidP="00834EE8">
      <w:pPr>
        <w:jc w:val="both"/>
      </w:pPr>
      <w:r w:rsidRPr="00840D05">
        <w:t xml:space="preserve">Na podsypkę cementowo- piaskową należy stosować następujące materiały: </w:t>
      </w:r>
    </w:p>
    <w:p w:rsidR="00041807" w:rsidRPr="00840D05" w:rsidRDefault="005451EE" w:rsidP="00834EE8">
      <w:pPr>
        <w:jc w:val="both"/>
      </w:pPr>
      <w:r w:rsidRPr="00840D05">
        <w:t xml:space="preserve">a) cement powszechnego użytku wg. PN-EN 197-1, </w:t>
      </w:r>
    </w:p>
    <w:p w:rsidR="00041807" w:rsidRPr="00840D05" w:rsidRDefault="005451EE" w:rsidP="00834EE8">
      <w:pPr>
        <w:jc w:val="both"/>
      </w:pPr>
      <w:r w:rsidRPr="00840D05">
        <w:t xml:space="preserve">b) kruszywo drobne 0/2, 0/4 lub 0/5 wg. normy PN-EN 13242 kategorii uziarnienia GF80, zawartości pyłów f10, </w:t>
      </w:r>
    </w:p>
    <w:p w:rsidR="00041807" w:rsidRPr="00840D05" w:rsidRDefault="005451EE" w:rsidP="00834EE8">
      <w:pPr>
        <w:jc w:val="both"/>
      </w:pPr>
      <w:r w:rsidRPr="00840D05">
        <w:t xml:space="preserve">c) kruszywo 1/4, 2/5 lub 2/8, wg. normy PN-EN 13242 kategorii uziarnienia GC80-20, zawartości pyłów </w:t>
      </w:r>
      <w:proofErr w:type="spellStart"/>
      <w:r w:rsidRPr="00840D05">
        <w:t>fdeklarowana</w:t>
      </w:r>
      <w:proofErr w:type="spellEnd"/>
      <w:r w:rsidRPr="00840D05">
        <w:t xml:space="preserve"> (max. do 10% pyłów), </w:t>
      </w:r>
    </w:p>
    <w:p w:rsidR="00041807" w:rsidRPr="00840D05" w:rsidRDefault="005451EE" w:rsidP="00834EE8">
      <w:pPr>
        <w:jc w:val="both"/>
      </w:pPr>
      <w:r w:rsidRPr="00840D05">
        <w:t xml:space="preserve">d) woda zgodna z normą PN-EN 1008 (bez badań laboratoryjnych można stosować wodę wodociągową pitną). </w:t>
      </w:r>
    </w:p>
    <w:p w:rsidR="00041807" w:rsidRPr="00840D05" w:rsidRDefault="005451EE" w:rsidP="00834EE8">
      <w:pPr>
        <w:jc w:val="both"/>
      </w:pPr>
      <w:r w:rsidRPr="00840D05">
        <w:t xml:space="preserve">Zalecane proporcje mieszania cementu i kruszywa to 1:4 (w stosunku wagowym). </w:t>
      </w:r>
    </w:p>
    <w:p w:rsidR="00041807" w:rsidRPr="00840D05" w:rsidRDefault="005451EE" w:rsidP="00834EE8">
      <w:pPr>
        <w:jc w:val="both"/>
      </w:pPr>
      <w:r w:rsidRPr="00840D05">
        <w:t>Kruszywo nie może być zanieczyszczone ciałami obcymi takimi jak: trawa, szczątki korzeni, konarów, szkło, plastik, grudki gliny.</w:t>
      </w:r>
    </w:p>
    <w:p w:rsidR="00041807" w:rsidRPr="00840D05" w:rsidRDefault="005451EE" w:rsidP="00834EE8">
      <w:pPr>
        <w:jc w:val="both"/>
      </w:pPr>
      <w:r w:rsidRPr="00840D05">
        <w:t>Do wypełnienia szczelin należy stosować mieszankę cementowo-piaskową w stosunku 1:2 z cementu powszechnego użytku klasy 32,5N wg PN-EN 197-1 i z kruszywa drobnego 0/2  wg normy PN-EN 13242 kategorii uziarnienia G</w:t>
      </w:r>
      <w:r w:rsidRPr="00840D05">
        <w:rPr>
          <w:vertAlign w:val="subscript"/>
        </w:rPr>
        <w:t>F</w:t>
      </w:r>
      <w:r w:rsidRPr="00840D05">
        <w:t>80, zawartości pyłów f</w:t>
      </w:r>
      <w:r w:rsidRPr="00840D05">
        <w:rPr>
          <w:vertAlign w:val="subscript"/>
        </w:rPr>
        <w:t>3</w:t>
      </w:r>
      <w:r w:rsidRPr="00840D05">
        <w:t>, spełniającego wymagania PN-EN 13139 , wody wg PN-EN 1008  lub inne specjalistyczne materiały przewidziane do stosowania w wykonawstwie nawierzchni brukowych.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 xml:space="preserve">3. Sprzęt </w:t>
      </w:r>
    </w:p>
    <w:p w:rsidR="00041807" w:rsidRPr="00840D05" w:rsidRDefault="005451EE" w:rsidP="00834EE8">
      <w:pPr>
        <w:jc w:val="both"/>
      </w:pPr>
      <w:r w:rsidRPr="00840D05">
        <w:t xml:space="preserve">Ogólne wymagania dotyczące sprzętu podano w </w:t>
      </w:r>
      <w:r w:rsidR="00602C36">
        <w:t>SST</w:t>
      </w:r>
      <w:r w:rsidRPr="00840D05">
        <w:t xml:space="preserve"> D-M.00.00.00. „Wymagania ogólne”.</w:t>
      </w:r>
    </w:p>
    <w:p w:rsidR="00041807" w:rsidRPr="00840D05" w:rsidRDefault="005451EE" w:rsidP="00834EE8">
      <w:pPr>
        <w:jc w:val="both"/>
      </w:pPr>
      <w:r w:rsidRPr="00840D05">
        <w:t>Roboty można wykonywać ręcznie przy pomocy drobnego sprzętu z zastosowaniem:</w:t>
      </w:r>
    </w:p>
    <w:p w:rsidR="00041807" w:rsidRPr="00840D05" w:rsidRDefault="005451EE" w:rsidP="00834EE8">
      <w:pPr>
        <w:jc w:val="both"/>
      </w:pPr>
      <w:r w:rsidRPr="00840D05">
        <w:t>betoniarek do wytwarzania zapraw oraz przygotowania podsypki cementowo-piaskowej,</w:t>
      </w:r>
    </w:p>
    <w:p w:rsidR="00041807" w:rsidRPr="00840D05" w:rsidRDefault="005451EE" w:rsidP="00834EE8">
      <w:pPr>
        <w:jc w:val="both"/>
      </w:pPr>
      <w:r w:rsidRPr="00840D05">
        <w:t>wibratorów płytowych, ubijaków ręcznych lub mechanicznych.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4. Transport</w:t>
      </w:r>
    </w:p>
    <w:p w:rsidR="00041807" w:rsidRPr="00840D05" w:rsidRDefault="005451EE" w:rsidP="00834EE8">
      <w:pPr>
        <w:jc w:val="both"/>
      </w:pPr>
      <w:r w:rsidRPr="00840D05">
        <w:t xml:space="preserve">Ogólne wymagania dotyczące transportu podano w </w:t>
      </w:r>
      <w:r w:rsidR="00602C36">
        <w:t>SST</w:t>
      </w:r>
      <w:r w:rsidRPr="00840D05">
        <w:t xml:space="preserve"> D-M.00.00.00. „Wymagania ogólne”.</w:t>
      </w:r>
    </w:p>
    <w:p w:rsidR="00041807" w:rsidRPr="00840D05" w:rsidRDefault="005451EE" w:rsidP="00834EE8">
      <w:pPr>
        <w:jc w:val="both"/>
      </w:pPr>
      <w:r w:rsidRPr="00840D05">
        <w:t>Obrzeża betonowe mogą być przewożone dowolnymi środkami transportowymi.</w:t>
      </w:r>
    </w:p>
    <w:p w:rsidR="00041807" w:rsidRPr="00840D05" w:rsidRDefault="005451EE" w:rsidP="00834EE8">
      <w:pPr>
        <w:jc w:val="both"/>
      </w:pPr>
      <w:r w:rsidRPr="00840D05">
        <w:t>Obrzeża betonowe układać należy na środkach transportowych w pozycji pionowej z nachyleniem w kierunku jazdy.</w:t>
      </w:r>
    </w:p>
    <w:p w:rsidR="00041807" w:rsidRPr="00840D05" w:rsidRDefault="005451EE" w:rsidP="00834EE8">
      <w:pPr>
        <w:jc w:val="both"/>
      </w:pPr>
      <w:r w:rsidRPr="00840D05">
        <w:t>Obrzeża powinny być zabezpieczone przed przemieszczeniem się i uszkodzeniami w czasie transportu, a górna warstwa nie powinna wystawać poza ściany środka transportowego więcej niż 1/3 wysokości tej warstwy.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5. Wykonanie Robót</w:t>
      </w:r>
    </w:p>
    <w:p w:rsidR="00041807" w:rsidRPr="00840D05" w:rsidRDefault="005451EE" w:rsidP="00834EE8">
      <w:pPr>
        <w:jc w:val="both"/>
      </w:pPr>
      <w:r w:rsidRPr="00840D05">
        <w:t xml:space="preserve">Ogólne zasady wykonywania Robót podano w </w:t>
      </w:r>
      <w:r w:rsidR="00E22A88">
        <w:t>SST</w:t>
      </w:r>
      <w:r w:rsidRPr="00840D05">
        <w:t xml:space="preserve"> D-M.00.00.00 „Wymagania ogólne”.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 xml:space="preserve">5.1. Koryto </w:t>
      </w:r>
    </w:p>
    <w:p w:rsidR="00041807" w:rsidRPr="00840D05" w:rsidRDefault="005451EE" w:rsidP="00834EE8">
      <w:pPr>
        <w:jc w:val="both"/>
      </w:pPr>
      <w:r w:rsidRPr="00840D05">
        <w:t xml:space="preserve">Koryto pod podsypkę należy wykonywać zgodnie z PN-B-06050. Wymiary wykopu powinny odpowiadać wymiarom ławy w planie. Wskaźnik zagęszczenia gruntu w korycie powinien wynosić, co najmniej, </w:t>
      </w:r>
      <w:proofErr w:type="spellStart"/>
      <w:r w:rsidRPr="00840D05">
        <w:t>Is</w:t>
      </w:r>
      <w:proofErr w:type="spellEnd"/>
      <w:r w:rsidRPr="00840D05">
        <w:sym w:font="Symbol" w:char="F0B3"/>
      </w:r>
      <w:r w:rsidRPr="00840D05">
        <w:t xml:space="preserve">0,97. 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5.2. Wykonanie podsypki cementowo-piaskowej</w:t>
      </w:r>
    </w:p>
    <w:p w:rsidR="00041807" w:rsidRPr="00840D05" w:rsidRDefault="005451EE" w:rsidP="00834EE8">
      <w:pPr>
        <w:jc w:val="both"/>
      </w:pPr>
      <w:r w:rsidRPr="00840D05">
        <w:t>W wykonanym korycie należy rozścielić podsypkę cementowo-piaskową, o grubości przewidzianej w dokumentacji projektowej, dla osadzenia obrzeży.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5.3. Ustawienie obrzeży</w:t>
      </w:r>
    </w:p>
    <w:p w:rsidR="00041807" w:rsidRPr="00840D05" w:rsidRDefault="005451EE" w:rsidP="00834EE8">
      <w:pPr>
        <w:jc w:val="both"/>
      </w:pPr>
      <w:r w:rsidRPr="00840D05">
        <w:t xml:space="preserve">Obrzeża ustawiać na wykonanej podsypce. ze spoinami szerokości ok. 5mm. </w:t>
      </w:r>
    </w:p>
    <w:p w:rsidR="00041807" w:rsidRPr="00840D05" w:rsidRDefault="005451EE" w:rsidP="00834EE8">
      <w:pPr>
        <w:jc w:val="both"/>
      </w:pPr>
      <w:r w:rsidRPr="00840D05">
        <w:t xml:space="preserve">Spoiny miedzy obrzeżami należy wypełnić zaprawą cementowo-piaskową. Spoiny przed zalaniem zaprawą </w:t>
      </w:r>
      <w:r w:rsidRPr="00840D05">
        <w:lastRenderedPageBreak/>
        <w:t>należy oczyścić i zmyć wodą.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6. Kontrola jakości Robót</w:t>
      </w:r>
    </w:p>
    <w:p w:rsidR="00041807" w:rsidRPr="00840D05" w:rsidRDefault="005451EE" w:rsidP="00834EE8">
      <w:pPr>
        <w:jc w:val="both"/>
      </w:pPr>
      <w:r w:rsidRPr="00840D05">
        <w:t xml:space="preserve">Ogólne zasady kontroli jakości Robót podano w </w:t>
      </w:r>
      <w:r w:rsidR="00602C36">
        <w:t>SST</w:t>
      </w:r>
      <w:r w:rsidRPr="00840D05">
        <w:t xml:space="preserve"> D-M.00.00.00 „Wymagania ogólne”.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6.1. Kontrola materiałów</w:t>
      </w:r>
    </w:p>
    <w:p w:rsidR="00041807" w:rsidRPr="00840D05" w:rsidRDefault="005451EE" w:rsidP="00834EE8">
      <w:pPr>
        <w:jc w:val="both"/>
      </w:pPr>
      <w:r w:rsidRPr="00840D05">
        <w:t>Przed przystąpieniem do robót Wykonawca powinien:</w:t>
      </w:r>
    </w:p>
    <w:p w:rsidR="00840D05" w:rsidRDefault="00840D05" w:rsidP="00834EE8">
      <w:pPr>
        <w:pStyle w:val="Akapitzlist"/>
        <w:jc w:val="both"/>
      </w:pPr>
      <w:r>
        <w:t xml:space="preserve">- </w:t>
      </w:r>
      <w:r w:rsidR="005451EE" w:rsidRPr="00840D05">
        <w:t>uzyskać wymagane dokumenty, dopuszczające wyroby budowlane do obrotu i powszechnego stosowania (certyfikaty zgodności, deklarację właściwości użytkowych, ew. badania materiałów wykonane przez dostawców itp.),</w:t>
      </w:r>
    </w:p>
    <w:p w:rsidR="00041807" w:rsidRPr="00840D05" w:rsidRDefault="00840D05" w:rsidP="00834EE8">
      <w:pPr>
        <w:pStyle w:val="Akapitzlist"/>
        <w:jc w:val="both"/>
      </w:pPr>
      <w:r>
        <w:t xml:space="preserve">- </w:t>
      </w:r>
      <w:r w:rsidR="005451EE" w:rsidRPr="00840D05">
        <w:t>sprawdzić cechy zewnętrzne obrzeży.</w:t>
      </w:r>
    </w:p>
    <w:p w:rsidR="00041807" w:rsidRPr="00840D05" w:rsidRDefault="005451EE" w:rsidP="00834EE8">
      <w:pPr>
        <w:jc w:val="both"/>
      </w:pPr>
      <w:r w:rsidRPr="00840D05">
        <w:t>Wszystkie dokumenty oraz wyniki badań Wykonawca przedstawia Inżynierowi do akceptacji.</w:t>
      </w:r>
    </w:p>
    <w:p w:rsidR="00041807" w:rsidRPr="00840D05" w:rsidRDefault="005451EE" w:rsidP="00834EE8">
      <w:pPr>
        <w:jc w:val="both"/>
      </w:pPr>
      <w:r w:rsidRPr="00840D05">
        <w:t>Sprawdzenie wyglądu zewnętrznego obrzeży należy przeprowadzić na podstawie oględzin elementu przez pomiar i ocenę uszkodzeń występujących na powierzchniach i krawędziach elementu zgodnie z wymaganiami podanymi w PN-EN 1340.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6.2. Kontrola ułożenia obrzeży</w:t>
      </w:r>
    </w:p>
    <w:p w:rsidR="00041807" w:rsidRPr="00840D05" w:rsidRDefault="005451EE" w:rsidP="00834EE8">
      <w:pPr>
        <w:jc w:val="both"/>
      </w:pPr>
      <w:r w:rsidRPr="00840D05">
        <w:t>Należy sprawdzić:</w:t>
      </w:r>
    </w:p>
    <w:p w:rsidR="00041807" w:rsidRPr="00840D05" w:rsidRDefault="005451EE" w:rsidP="00834EE8">
      <w:pPr>
        <w:jc w:val="both"/>
      </w:pPr>
      <w:r w:rsidRPr="00840D05">
        <w:t xml:space="preserve">wykonanie podsypki w 5 punktach dziennej działki roboczej, dopuszczalne odchyłki grubości  </w:t>
      </w:r>
      <w:r w:rsidRPr="00840D05">
        <w:sym w:font="Symbol" w:char="F0B1"/>
      </w:r>
      <w:r w:rsidRPr="00840D05">
        <w:t>1cm</w:t>
      </w:r>
    </w:p>
    <w:p w:rsidR="00041807" w:rsidRPr="00840D05" w:rsidRDefault="005451EE" w:rsidP="00834EE8">
      <w:pPr>
        <w:jc w:val="both"/>
      </w:pPr>
      <w:r w:rsidRPr="00840D05">
        <w:t xml:space="preserve">światło obrzeży od strony chodnika – co 20mb, dopuszczalne odchyłki </w:t>
      </w:r>
      <w:r w:rsidRPr="00840D05">
        <w:sym w:font="Symbol" w:char="F0B1"/>
      </w:r>
      <w:r w:rsidRPr="00840D05">
        <w:t xml:space="preserve">1cm na każde 100 </w:t>
      </w:r>
      <w:proofErr w:type="spellStart"/>
      <w:r w:rsidRPr="00840D05">
        <w:t>mb</w:t>
      </w:r>
      <w:proofErr w:type="spellEnd"/>
      <w:r w:rsidRPr="00840D05">
        <w:t>,</w:t>
      </w:r>
    </w:p>
    <w:p w:rsidR="00041807" w:rsidRPr="00840D05" w:rsidRDefault="005451EE" w:rsidP="00834EE8">
      <w:pPr>
        <w:jc w:val="both"/>
      </w:pPr>
      <w:r w:rsidRPr="00840D05">
        <w:t xml:space="preserve">usytuowanie w planie – co 20mb, odchyłki nie mogą przekraczać </w:t>
      </w:r>
      <w:r w:rsidRPr="00840D05">
        <w:sym w:font="Symbol" w:char="F0B1"/>
      </w:r>
      <w:r w:rsidRPr="00840D05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840D05">
          <w:t>1 cm</w:t>
        </w:r>
      </w:smartTag>
      <w:r w:rsidRPr="00840D05">
        <w:t xml:space="preserve"> na każde 100 </w:t>
      </w:r>
      <w:proofErr w:type="spellStart"/>
      <w:r w:rsidRPr="00840D05">
        <w:t>mb</w:t>
      </w:r>
      <w:proofErr w:type="spellEnd"/>
      <w:r w:rsidRPr="00840D05">
        <w:t>,</w:t>
      </w:r>
    </w:p>
    <w:p w:rsidR="00041807" w:rsidRPr="00840D05" w:rsidRDefault="005451EE" w:rsidP="00834EE8">
      <w:pPr>
        <w:jc w:val="both"/>
      </w:pPr>
      <w:r w:rsidRPr="00840D05">
        <w:t xml:space="preserve">równość górnej powierzchni obrzeży łatą </w:t>
      </w:r>
      <w:smartTag w:uri="urn:schemas-microsoft-com:office:smarttags" w:element="metricconverter">
        <w:smartTagPr>
          <w:attr w:name="ProductID" w:val="3 m"/>
        </w:smartTagPr>
        <w:r w:rsidRPr="00840D05">
          <w:t>3 m</w:t>
        </w:r>
      </w:smartTag>
      <w:r w:rsidRPr="00840D05">
        <w:t xml:space="preserve"> – minimum w dwóch punktach na każde 100 </w:t>
      </w:r>
      <w:proofErr w:type="spellStart"/>
      <w:r w:rsidRPr="00840D05">
        <w:t>mb</w:t>
      </w:r>
      <w:proofErr w:type="spellEnd"/>
      <w:r w:rsidRPr="00840D05">
        <w:t xml:space="preserve"> - nie może przekraczać </w:t>
      </w:r>
      <w:smartTag w:uri="urn:schemas-microsoft-com:office:smarttags" w:element="metricconverter">
        <w:smartTagPr>
          <w:attr w:name="ProductID" w:val="1 cm"/>
        </w:smartTagPr>
        <w:r w:rsidRPr="00840D05">
          <w:t>1 cm</w:t>
        </w:r>
      </w:smartTag>
      <w:r w:rsidRPr="00840D05">
        <w:t>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7. Obmiar Robót</w:t>
      </w:r>
    </w:p>
    <w:p w:rsidR="00041807" w:rsidRPr="00840D05" w:rsidRDefault="005451EE" w:rsidP="00834EE8">
      <w:pPr>
        <w:jc w:val="both"/>
      </w:pPr>
      <w:r w:rsidRPr="00840D05">
        <w:t xml:space="preserve">Kontrakt </w:t>
      </w:r>
      <w:r w:rsidR="00602C36">
        <w:t>obmiarowy</w:t>
      </w:r>
      <w:r w:rsidRPr="00840D05">
        <w:t xml:space="preserve"> – jednostką obmiaru jest wykonana i odebrana protokołem Odbioru Końcowego jednostka określona w </w:t>
      </w:r>
      <w:r w:rsidR="00602C36">
        <w:t>SST</w:t>
      </w:r>
      <w:r w:rsidRPr="00840D05">
        <w:t>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 xml:space="preserve">8. Odbiór Robót </w:t>
      </w:r>
    </w:p>
    <w:p w:rsidR="00041807" w:rsidRPr="00840D05" w:rsidRDefault="005451EE" w:rsidP="00834EE8">
      <w:pPr>
        <w:jc w:val="both"/>
      </w:pPr>
      <w:r w:rsidRPr="00840D05">
        <w:t xml:space="preserve">Ogólne zasady odbioru Robót podano w </w:t>
      </w:r>
      <w:r w:rsidR="00602C36">
        <w:t>SST</w:t>
      </w:r>
      <w:r w:rsidRPr="00840D05">
        <w:t xml:space="preserve"> D-M.00.00.00. „Wymagania ogólne”.</w:t>
      </w:r>
    </w:p>
    <w:p w:rsidR="00041807" w:rsidRPr="00840D05" w:rsidRDefault="005451EE" w:rsidP="00834EE8">
      <w:pPr>
        <w:jc w:val="both"/>
        <w:rPr>
          <w:spacing w:val="-3"/>
        </w:rPr>
      </w:pPr>
      <w:r w:rsidRPr="00840D05">
        <w:rPr>
          <w:spacing w:val="-3"/>
        </w:rPr>
        <w:t xml:space="preserve">Roboty uznaje się za wykonane zgodnie z Dokumentacją Projektową i </w:t>
      </w:r>
      <w:r w:rsidR="00602C36">
        <w:rPr>
          <w:spacing w:val="-3"/>
        </w:rPr>
        <w:t>SST</w:t>
      </w:r>
      <w:r w:rsidRPr="00840D05">
        <w:rPr>
          <w:spacing w:val="-3"/>
        </w:rPr>
        <w:t xml:space="preserve"> jeżeli wszystkie badania i pomiary z zachowaniem tolerancji wg pkt. 6 dały wyniki pozytywne.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 xml:space="preserve">9. Podstawa płatności </w:t>
      </w:r>
    </w:p>
    <w:p w:rsidR="00041807" w:rsidRPr="00840D05" w:rsidRDefault="005451EE" w:rsidP="00834EE8">
      <w:pPr>
        <w:jc w:val="both"/>
      </w:pPr>
      <w:r w:rsidRPr="00840D05">
        <w:t>Wynagrodzenie ryczałtowe: zasady płatności podano w umowie pomiędzy Zamawiającym a Wykonawcą.</w:t>
      </w:r>
    </w:p>
    <w:p w:rsidR="00041807" w:rsidRPr="00840D05" w:rsidRDefault="005451EE" w:rsidP="00834EE8">
      <w:pPr>
        <w:jc w:val="both"/>
        <w:rPr>
          <w:b/>
        </w:rPr>
      </w:pPr>
      <w:r w:rsidRPr="00840D05">
        <w:rPr>
          <w:b/>
        </w:rPr>
        <w:t>10. Przepisy związane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197-1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Cement</w:t>
      </w:r>
      <w:proofErr w:type="spellEnd"/>
      <w:r w:rsidRPr="00840D05">
        <w:rPr>
          <w:lang w:val="de-DE"/>
        </w:rPr>
        <w:t xml:space="preserve">. </w:t>
      </w:r>
      <w:proofErr w:type="spellStart"/>
      <w:r w:rsidRPr="00840D05">
        <w:rPr>
          <w:lang w:val="de-DE"/>
        </w:rPr>
        <w:t>Skład</w:t>
      </w:r>
      <w:proofErr w:type="spellEnd"/>
      <w:r w:rsidRPr="00840D05">
        <w:rPr>
          <w:lang w:val="de-DE"/>
        </w:rPr>
        <w:t xml:space="preserve">, </w:t>
      </w:r>
      <w:proofErr w:type="spellStart"/>
      <w:r w:rsidRPr="00840D05">
        <w:rPr>
          <w:lang w:val="de-DE"/>
        </w:rPr>
        <w:t>wymagania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kryteria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zgodności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dla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cementu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powszechnego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użytku</w:t>
      </w:r>
      <w:proofErr w:type="spellEnd"/>
      <w:r w:rsidRPr="00840D05">
        <w:rPr>
          <w:lang w:val="de-DE"/>
        </w:rPr>
        <w:t>.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1339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Betonowe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płyty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brukowe</w:t>
      </w:r>
      <w:proofErr w:type="spellEnd"/>
      <w:r w:rsidRPr="00840D05">
        <w:rPr>
          <w:lang w:val="de-DE"/>
        </w:rPr>
        <w:t xml:space="preserve">. </w:t>
      </w:r>
      <w:proofErr w:type="spellStart"/>
      <w:r w:rsidRPr="00840D05">
        <w:rPr>
          <w:lang w:val="de-DE"/>
        </w:rPr>
        <w:t>Wymagania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meto</w:t>
      </w:r>
      <w:bookmarkStart w:id="0" w:name="_GoBack"/>
      <w:bookmarkEnd w:id="0"/>
      <w:r w:rsidRPr="00840D05">
        <w:rPr>
          <w:lang w:val="de-DE"/>
        </w:rPr>
        <w:t>dy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badań</w:t>
      </w:r>
      <w:proofErr w:type="spellEnd"/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1340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Krawężniki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betonowe</w:t>
      </w:r>
      <w:proofErr w:type="spellEnd"/>
      <w:r w:rsidRPr="00840D05">
        <w:rPr>
          <w:lang w:val="de-DE"/>
        </w:rPr>
        <w:t xml:space="preserve">. </w:t>
      </w:r>
      <w:proofErr w:type="spellStart"/>
      <w:r w:rsidRPr="00840D05">
        <w:rPr>
          <w:lang w:val="de-DE"/>
        </w:rPr>
        <w:t>Wymagania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metody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badań</w:t>
      </w:r>
      <w:proofErr w:type="spellEnd"/>
      <w:r w:rsidRPr="00840D05">
        <w:rPr>
          <w:lang w:val="de-DE"/>
        </w:rPr>
        <w:t>.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1008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Woda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zarobowa</w:t>
      </w:r>
      <w:proofErr w:type="spellEnd"/>
      <w:r w:rsidRPr="00840D05">
        <w:rPr>
          <w:lang w:val="de-DE"/>
        </w:rPr>
        <w:t xml:space="preserve"> do </w:t>
      </w:r>
      <w:proofErr w:type="spellStart"/>
      <w:r w:rsidRPr="00840D05">
        <w:rPr>
          <w:lang w:val="de-DE"/>
        </w:rPr>
        <w:t>betonu</w:t>
      </w:r>
      <w:proofErr w:type="spellEnd"/>
      <w:r w:rsidRPr="00840D05">
        <w:rPr>
          <w:lang w:val="de-DE"/>
        </w:rPr>
        <w:t xml:space="preserve"> - </w:t>
      </w:r>
      <w:proofErr w:type="spellStart"/>
      <w:r w:rsidRPr="00840D05">
        <w:rPr>
          <w:lang w:val="de-DE"/>
        </w:rPr>
        <w:t>Specyfikacja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pobierania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próbek</w:t>
      </w:r>
      <w:proofErr w:type="spellEnd"/>
      <w:r w:rsidRPr="00840D05">
        <w:rPr>
          <w:lang w:val="de-DE"/>
        </w:rPr>
        <w:t xml:space="preserve">, </w:t>
      </w:r>
      <w:proofErr w:type="spellStart"/>
      <w:r w:rsidRPr="00840D05">
        <w:rPr>
          <w:lang w:val="de-DE"/>
        </w:rPr>
        <w:t>badanie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ocena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przydatności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wody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zarobowej</w:t>
      </w:r>
      <w:proofErr w:type="spellEnd"/>
      <w:r w:rsidRPr="00840D05">
        <w:rPr>
          <w:lang w:val="de-DE"/>
        </w:rPr>
        <w:t xml:space="preserve"> do </w:t>
      </w:r>
      <w:proofErr w:type="spellStart"/>
      <w:r w:rsidRPr="00840D05">
        <w:rPr>
          <w:lang w:val="de-DE"/>
        </w:rPr>
        <w:t>betonu</w:t>
      </w:r>
      <w:proofErr w:type="spellEnd"/>
      <w:r w:rsidRPr="00840D05">
        <w:rPr>
          <w:lang w:val="de-DE"/>
        </w:rPr>
        <w:t xml:space="preserve">, w </w:t>
      </w:r>
      <w:proofErr w:type="spellStart"/>
      <w:r w:rsidRPr="00840D05">
        <w:rPr>
          <w:lang w:val="de-DE"/>
        </w:rPr>
        <w:t>tym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wody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odzyskanej</w:t>
      </w:r>
      <w:proofErr w:type="spellEnd"/>
      <w:r w:rsidRPr="00840D05">
        <w:rPr>
          <w:lang w:val="de-DE"/>
        </w:rPr>
        <w:t xml:space="preserve"> z </w:t>
      </w:r>
      <w:proofErr w:type="spellStart"/>
      <w:r w:rsidRPr="00840D05">
        <w:rPr>
          <w:lang w:val="de-DE"/>
        </w:rPr>
        <w:t>procesów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produkcji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betonu</w:t>
      </w:r>
      <w:proofErr w:type="spellEnd"/>
      <w:r w:rsidRPr="00840D05">
        <w:rPr>
          <w:lang w:val="de-DE"/>
        </w:rPr>
        <w:t>.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13139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Kruszywa</w:t>
      </w:r>
      <w:proofErr w:type="spellEnd"/>
      <w:r w:rsidRPr="00840D05">
        <w:rPr>
          <w:lang w:val="de-DE"/>
        </w:rPr>
        <w:t xml:space="preserve"> do </w:t>
      </w:r>
      <w:proofErr w:type="spellStart"/>
      <w:r w:rsidRPr="00840D05">
        <w:rPr>
          <w:lang w:val="de-DE"/>
        </w:rPr>
        <w:t>zaprawy</w:t>
      </w:r>
      <w:proofErr w:type="spellEnd"/>
      <w:r w:rsidRPr="00840D05">
        <w:rPr>
          <w:lang w:val="de-DE"/>
        </w:rPr>
        <w:t>.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PN-EN 13242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Kruszywa</w:t>
      </w:r>
      <w:proofErr w:type="spellEnd"/>
      <w:r w:rsidRPr="00840D05">
        <w:rPr>
          <w:lang w:val="de-DE"/>
        </w:rPr>
        <w:t xml:space="preserve"> do </w:t>
      </w:r>
      <w:proofErr w:type="spellStart"/>
      <w:r w:rsidRPr="00840D05">
        <w:rPr>
          <w:lang w:val="de-DE"/>
        </w:rPr>
        <w:t>niezwiązanych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związanych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hydraulicznie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materiałów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stosowanych</w:t>
      </w:r>
      <w:proofErr w:type="spellEnd"/>
      <w:r w:rsidRPr="00840D05">
        <w:rPr>
          <w:lang w:val="de-DE"/>
        </w:rPr>
        <w:t xml:space="preserve"> w </w:t>
      </w:r>
      <w:proofErr w:type="spellStart"/>
      <w:r w:rsidRPr="00840D05">
        <w:rPr>
          <w:lang w:val="de-DE"/>
        </w:rPr>
        <w:t>obiektach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budowlanych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budownictwie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drogowym</w:t>
      </w:r>
      <w:proofErr w:type="spellEnd"/>
      <w:r w:rsidRPr="00840D05">
        <w:rPr>
          <w:lang w:val="de-DE"/>
        </w:rPr>
        <w:t>.</w:t>
      </w:r>
    </w:p>
    <w:p w:rsidR="00041807" w:rsidRPr="00840D05" w:rsidRDefault="005451EE" w:rsidP="00834EE8">
      <w:pPr>
        <w:jc w:val="both"/>
        <w:rPr>
          <w:lang w:val="de-DE"/>
        </w:rPr>
      </w:pPr>
      <w:r w:rsidRPr="00840D05">
        <w:rPr>
          <w:lang w:val="de-DE"/>
        </w:rPr>
        <w:t>BN-68/8933-04</w:t>
      </w:r>
      <w:r w:rsidRPr="00840D05">
        <w:rPr>
          <w:lang w:val="de-DE"/>
        </w:rPr>
        <w:tab/>
      </w:r>
      <w:proofErr w:type="spellStart"/>
      <w:r w:rsidRPr="00840D05">
        <w:rPr>
          <w:lang w:val="de-DE"/>
        </w:rPr>
        <w:t>Drogi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samochodowe</w:t>
      </w:r>
      <w:proofErr w:type="spellEnd"/>
      <w:r w:rsidRPr="00840D05">
        <w:rPr>
          <w:lang w:val="de-DE"/>
        </w:rPr>
        <w:t xml:space="preserve">. </w:t>
      </w:r>
      <w:proofErr w:type="spellStart"/>
      <w:r w:rsidRPr="00840D05">
        <w:rPr>
          <w:lang w:val="de-DE"/>
        </w:rPr>
        <w:t>Pomiar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równości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nawierzchni</w:t>
      </w:r>
      <w:proofErr w:type="spellEnd"/>
      <w:r w:rsidRPr="00840D05">
        <w:rPr>
          <w:lang w:val="de-DE"/>
        </w:rPr>
        <w:t xml:space="preserve"> </w:t>
      </w:r>
      <w:proofErr w:type="spellStart"/>
      <w:r w:rsidRPr="00840D05">
        <w:rPr>
          <w:lang w:val="de-DE"/>
        </w:rPr>
        <w:t>planografem</w:t>
      </w:r>
      <w:proofErr w:type="spellEnd"/>
      <w:r w:rsidRPr="00840D05">
        <w:rPr>
          <w:lang w:val="de-DE"/>
        </w:rPr>
        <w:t xml:space="preserve"> i </w:t>
      </w:r>
      <w:proofErr w:type="spellStart"/>
      <w:r w:rsidRPr="00840D05">
        <w:rPr>
          <w:lang w:val="de-DE"/>
        </w:rPr>
        <w:t>łatą</w:t>
      </w:r>
      <w:proofErr w:type="spellEnd"/>
      <w:r w:rsidRPr="00840D05">
        <w:rPr>
          <w:lang w:val="de-DE"/>
        </w:rPr>
        <w:t>.</w:t>
      </w:r>
    </w:p>
    <w:p w:rsidR="00041807" w:rsidRPr="00840D05" w:rsidRDefault="00041807" w:rsidP="00834EE8">
      <w:pPr>
        <w:jc w:val="both"/>
      </w:pPr>
    </w:p>
    <w:sectPr w:rsidR="00041807" w:rsidRPr="00840D05" w:rsidSect="00602C3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955" w:right="1418" w:bottom="993" w:left="1418" w:header="568" w:footer="856" w:gutter="0"/>
      <w:pgNumType w:start="15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F90" w:rsidRDefault="004A6F90">
      <w:r>
        <w:separator/>
      </w:r>
    </w:p>
  </w:endnote>
  <w:endnote w:type="continuationSeparator" w:id="0">
    <w:p w:rsidR="004A6F90" w:rsidRDefault="004A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807" w:rsidRDefault="00545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1807" w:rsidRDefault="00041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C36" w:rsidRDefault="00602C36">
    <w:pPr>
      <w:pStyle w:val="Stopka"/>
      <w:jc w:val="right"/>
    </w:pPr>
  </w:p>
  <w:p w:rsidR="00041807" w:rsidRDefault="00041807">
    <w:pPr>
      <w:pStyle w:val="Stopka"/>
      <w:jc w:val="center"/>
      <w:rPr>
        <w:rFonts w:ascii="Calibri" w:hAnsi="Calibri"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F90" w:rsidRDefault="004A6F90">
      <w:r>
        <w:separator/>
      </w:r>
    </w:p>
  </w:footnote>
  <w:footnote w:type="continuationSeparator" w:id="0">
    <w:p w:rsidR="004A6F90" w:rsidRDefault="004A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807" w:rsidRDefault="005451EE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1807" w:rsidRDefault="00041807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807" w:rsidRDefault="00041807">
    <w:pPr>
      <w:pStyle w:val="Nagwek"/>
      <w:framePr w:wrap="around" w:vAnchor="text" w:hAnchor="margin" w:xAlign="outside" w:y="1"/>
      <w:rPr>
        <w:rStyle w:val="Numerstrony"/>
        <w:sz w:val="22"/>
      </w:rPr>
    </w:pPr>
  </w:p>
  <w:p w:rsidR="00840D05" w:rsidRPr="00840D05" w:rsidRDefault="00840D05" w:rsidP="00840D05">
    <w:pPr>
      <w:pBdr>
        <w:bottom w:val="single" w:sz="4" w:space="1" w:color="auto"/>
      </w:pBdr>
      <w:suppressAutoHyphens/>
      <w:jc w:val="center"/>
      <w:rPr>
        <w:sz w:val="16"/>
        <w:szCs w:val="16"/>
      </w:rPr>
    </w:pPr>
    <w:r w:rsidRPr="00840D05">
      <w:rPr>
        <w:sz w:val="16"/>
        <w:szCs w:val="16"/>
      </w:rPr>
      <w:t xml:space="preserve">D.08.03.01. </w:t>
    </w:r>
    <w:r w:rsidRPr="00840D05">
      <w:rPr>
        <w:sz w:val="16"/>
        <w:szCs w:val="16"/>
      </w:rPr>
      <w:tab/>
    </w:r>
    <w:r w:rsidRPr="00840D05">
      <w:rPr>
        <w:caps/>
        <w:sz w:val="16"/>
        <w:szCs w:val="16"/>
      </w:rPr>
      <w:t>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060209B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600581A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6702966"/>
    <w:multiLevelType w:val="hybridMultilevel"/>
    <w:tmpl w:val="EE364EEC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5" w15:restartNumberingAfterBreak="0">
    <w:nsid w:val="0F334612"/>
    <w:multiLevelType w:val="multilevel"/>
    <w:tmpl w:val="62CA37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AB8"/>
    <w:multiLevelType w:val="hybridMultilevel"/>
    <w:tmpl w:val="8A4C0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581B"/>
    <w:multiLevelType w:val="hybridMultilevel"/>
    <w:tmpl w:val="F35E0190"/>
    <w:lvl w:ilvl="0" w:tplc="F1A4B5E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0499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520096"/>
    <w:multiLevelType w:val="hybridMultilevel"/>
    <w:tmpl w:val="4C6E8B20"/>
    <w:lvl w:ilvl="0" w:tplc="04150005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5CE13B7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DAB3371"/>
    <w:multiLevelType w:val="hybridMultilevel"/>
    <w:tmpl w:val="62CA3794"/>
    <w:lvl w:ilvl="0" w:tplc="272623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72547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249558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27458ED"/>
    <w:multiLevelType w:val="hybridMultilevel"/>
    <w:tmpl w:val="92288AE4"/>
    <w:lvl w:ilvl="0" w:tplc="1BDE90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CC75431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440E093D"/>
    <w:multiLevelType w:val="hybridMultilevel"/>
    <w:tmpl w:val="5688F3EA"/>
    <w:lvl w:ilvl="0" w:tplc="4AA8831E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81F44"/>
    <w:multiLevelType w:val="hybridMultilevel"/>
    <w:tmpl w:val="617C2F9A"/>
    <w:lvl w:ilvl="0" w:tplc="4AA8831E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D378A"/>
    <w:multiLevelType w:val="hybridMultilevel"/>
    <w:tmpl w:val="E3B4265C"/>
    <w:lvl w:ilvl="0" w:tplc="76D8BADE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cs="Times New Roman" w:hint="default"/>
      </w:rPr>
    </w:lvl>
    <w:lvl w:ilvl="1" w:tplc="84D8CF92" w:tentative="1">
      <w:start w:val="1"/>
      <w:numFmt w:val="bullet"/>
      <w:lvlText w:val="o"/>
      <w:lvlJc w:val="left"/>
      <w:pPr>
        <w:tabs>
          <w:tab w:val="num" w:pos="120"/>
        </w:tabs>
        <w:ind w:left="120" w:hanging="360"/>
      </w:pPr>
      <w:rPr>
        <w:rFonts w:ascii="Courier New" w:hAnsi="Courier New" w:hint="default"/>
      </w:rPr>
    </w:lvl>
    <w:lvl w:ilvl="2" w:tplc="BE6833D8" w:tentative="1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3" w:tplc="3A040B92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39BA1A08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 w:tplc="0E54EFE0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 w:tplc="20D4D0EC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 w:tplc="A71C84D0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 w:tplc="7EA88CEA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19" w15:restartNumberingAfterBreak="0">
    <w:nsid w:val="56682EA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7866C00"/>
    <w:multiLevelType w:val="hybridMultilevel"/>
    <w:tmpl w:val="0CB27CBC"/>
    <w:lvl w:ilvl="0" w:tplc="86D2C1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7C40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8E935A2"/>
    <w:multiLevelType w:val="multilevel"/>
    <w:tmpl w:val="62CA37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26D50"/>
    <w:multiLevelType w:val="hybridMultilevel"/>
    <w:tmpl w:val="A8AECC22"/>
    <w:lvl w:ilvl="0" w:tplc="86D2C1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10E7F"/>
    <w:multiLevelType w:val="hybridMultilevel"/>
    <w:tmpl w:val="C43832A2"/>
    <w:lvl w:ilvl="0" w:tplc="BA247CF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6B377266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7" w15:restartNumberingAfterBreak="0">
    <w:nsid w:val="6FF561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9E7642A"/>
    <w:multiLevelType w:val="hybridMultilevel"/>
    <w:tmpl w:val="D4C87528"/>
    <w:lvl w:ilvl="0" w:tplc="F2F09DCA">
      <w:start w:val="2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3C7F03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480"/>
        <w:lvlJc w:val="left"/>
        <w:pPr>
          <w:ind w:left="600" w:hanging="480"/>
        </w:pPr>
      </w:lvl>
    </w:lvlOverride>
  </w:num>
  <w:num w:numId="2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1"/>
  </w:num>
  <w:num w:numId="4">
    <w:abstractNumId w:val="1"/>
  </w:num>
  <w:num w:numId="5">
    <w:abstractNumId w:val="3"/>
  </w:num>
  <w:num w:numId="6">
    <w:abstractNumId w:val="10"/>
  </w:num>
  <w:num w:numId="7">
    <w:abstractNumId w:val="29"/>
  </w:num>
  <w:num w:numId="8">
    <w:abstractNumId w:val="25"/>
  </w:num>
  <w:num w:numId="9">
    <w:abstractNumId w:val="15"/>
  </w:num>
  <w:num w:numId="10">
    <w:abstractNumId w:val="12"/>
  </w:num>
  <w:num w:numId="1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27"/>
  </w:num>
  <w:num w:numId="13">
    <w:abstractNumId w:val="19"/>
  </w:num>
  <w:num w:numId="14">
    <w:abstractNumId w:val="13"/>
  </w:num>
  <w:num w:numId="15">
    <w:abstractNumId w:val="8"/>
  </w:num>
  <w:num w:numId="16">
    <w:abstractNumId w:val="26"/>
  </w:num>
  <w:num w:numId="17">
    <w:abstractNumId w:val="2"/>
  </w:num>
  <w:num w:numId="18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18"/>
  </w:num>
  <w:num w:numId="20">
    <w:abstractNumId w:val="11"/>
  </w:num>
  <w:num w:numId="21">
    <w:abstractNumId w:val="9"/>
  </w:num>
  <w:num w:numId="22">
    <w:abstractNumId w:val="22"/>
  </w:num>
  <w:num w:numId="23">
    <w:abstractNumId w:val="20"/>
  </w:num>
  <w:num w:numId="24">
    <w:abstractNumId w:val="5"/>
  </w:num>
  <w:num w:numId="25">
    <w:abstractNumId w:val="23"/>
  </w:num>
  <w:num w:numId="26">
    <w:abstractNumId w:val="4"/>
  </w:num>
  <w:num w:numId="2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9">
    <w:abstractNumId w:val="28"/>
  </w:num>
  <w:num w:numId="30">
    <w:abstractNumId w:val="7"/>
  </w:num>
  <w:num w:numId="31">
    <w:abstractNumId w:val="16"/>
  </w:num>
  <w:num w:numId="32">
    <w:abstractNumId w:val="17"/>
  </w:num>
  <w:num w:numId="33">
    <w:abstractNumId w:val="24"/>
  </w:num>
  <w:num w:numId="34">
    <w:abstractNumId w:val="1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807"/>
    <w:rsid w:val="00041807"/>
    <w:rsid w:val="003A6321"/>
    <w:rsid w:val="00466007"/>
    <w:rsid w:val="004A6F90"/>
    <w:rsid w:val="005451EE"/>
    <w:rsid w:val="00602C36"/>
    <w:rsid w:val="006454B4"/>
    <w:rsid w:val="00834EE8"/>
    <w:rsid w:val="00840D05"/>
    <w:rsid w:val="00C85535"/>
    <w:rsid w:val="00DF7AE1"/>
    <w:rsid w:val="00E22A88"/>
    <w:rsid w:val="00FE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990B5D52-F6C1-4D15-8A3D-49DE03AE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</w:pPr>
    <w:rPr>
      <w:snapToGrid w:val="0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5"/>
      <w:jc w:val="both"/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567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color w:val="0000FF"/>
    </w:rPr>
  </w:style>
  <w:style w:type="character" w:customStyle="1" w:styleId="biggertext">
    <w:name w:val="biggertext"/>
    <w:basedOn w:val="Domylnaczcionkaakapitu"/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napToGrid w:val="0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Pr>
      <w:snapToGrid w:val="0"/>
    </w:rPr>
  </w:style>
  <w:style w:type="paragraph" w:styleId="Akapitzlist">
    <w:name w:val="List Paragraph"/>
    <w:basedOn w:val="Normalny"/>
    <w:uiPriority w:val="34"/>
    <w:qFormat/>
    <w:rsid w:val="00840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D.08.02.02"Chodniki i obrzeża"</vt:lpstr>
    </vt:vector>
  </TitlesOfParts>
  <Company>Profil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D.08.02.02"Chodniki i obrzeża"</dc:title>
  <dc:subject>Rawa</dc:subject>
  <dc:creator>WT-LD Kraków</dc:creator>
  <cp:lastModifiedBy>User</cp:lastModifiedBy>
  <cp:revision>20</cp:revision>
  <cp:lastPrinted>2019-02-22T11:04:00Z</cp:lastPrinted>
  <dcterms:created xsi:type="dcterms:W3CDTF">2015-03-10T16:46:00Z</dcterms:created>
  <dcterms:modified xsi:type="dcterms:W3CDTF">2019-02-22T11:04:00Z</dcterms:modified>
</cp:coreProperties>
</file>