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F52" w:rsidRPr="001539C4" w:rsidRDefault="001539C4" w:rsidP="000C7559">
      <w:pPr>
        <w:rPr>
          <w:b/>
        </w:rPr>
      </w:pPr>
      <w:r w:rsidRPr="001539C4">
        <w:rPr>
          <w:b/>
        </w:rPr>
        <w:t xml:space="preserve">D.08.01.01. </w:t>
      </w:r>
      <w:r w:rsidRPr="001539C4">
        <w:rPr>
          <w:b/>
        </w:rPr>
        <w:tab/>
        <w:t>KRAWĘŻNIKI BETONOWE</w:t>
      </w:r>
    </w:p>
    <w:p w:rsidR="00EA3F52" w:rsidRPr="000C7559" w:rsidRDefault="00EA3F52" w:rsidP="001539C4">
      <w:pPr>
        <w:jc w:val="both"/>
      </w:pP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1. Wstęp</w:t>
      </w:r>
    </w:p>
    <w:p w:rsidR="00EA3F52" w:rsidRPr="000C7559" w:rsidRDefault="00421F96" w:rsidP="001539C4">
      <w:pPr>
        <w:jc w:val="both"/>
      </w:pPr>
      <w:r w:rsidRPr="000C7559">
        <w:t xml:space="preserve">Przedmiotem niniejszych </w:t>
      </w:r>
      <w:r w:rsidR="001C4D59">
        <w:t>SST</w:t>
      </w:r>
      <w:r w:rsidRPr="000C7559">
        <w:t xml:space="preserve"> są wytyczne dla robót związanych z ustawieniem krawężników betonowych z elementów prefabrykowanych</w:t>
      </w:r>
      <w:r w:rsidR="0075481D">
        <w:t>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1.1. Określenia podstawowe</w:t>
      </w:r>
    </w:p>
    <w:p w:rsidR="00EA3F52" w:rsidRPr="000C7559" w:rsidRDefault="00421F96" w:rsidP="001539C4">
      <w:pPr>
        <w:jc w:val="both"/>
      </w:pPr>
      <w:r w:rsidRPr="000C7559">
        <w:rPr>
          <w:b/>
        </w:rPr>
        <w:t>Krawężniki betonowe –</w:t>
      </w:r>
      <w:r w:rsidRPr="000C7559">
        <w:t xml:space="preserve"> prefabrykowane belki betonowe rozgraniczające chodniki dla pieszych od jezdni.</w:t>
      </w:r>
    </w:p>
    <w:p w:rsidR="00EA3F52" w:rsidRPr="000C7559" w:rsidRDefault="00421F96" w:rsidP="001539C4">
      <w:pPr>
        <w:jc w:val="both"/>
      </w:pPr>
      <w:r w:rsidRPr="000C7559">
        <w:rPr>
          <w:b/>
        </w:rPr>
        <w:t>Ława –</w:t>
      </w:r>
      <w:r w:rsidRPr="000C7559">
        <w:t xml:space="preserve"> warstwa nośna służąca do umocnienia krawężnika oraz przenosząca obciążenie krawężnika na grunt.</w:t>
      </w:r>
    </w:p>
    <w:p w:rsidR="00EA3F52" w:rsidRPr="000C7559" w:rsidRDefault="00421F96" w:rsidP="001539C4">
      <w:pPr>
        <w:jc w:val="both"/>
      </w:pPr>
      <w:r w:rsidRPr="000C7559">
        <w:rPr>
          <w:b/>
        </w:rPr>
        <w:t>Podsypka –</w:t>
      </w:r>
      <w:r w:rsidRPr="000C7559">
        <w:t xml:space="preserve"> warstwa wyrównawcza ułożona bezpośrednio na podłożu lub ławie.</w:t>
      </w:r>
    </w:p>
    <w:p w:rsidR="00EA3F52" w:rsidRPr="000C7559" w:rsidRDefault="00421F96" w:rsidP="001539C4">
      <w:pPr>
        <w:jc w:val="both"/>
      </w:pPr>
      <w:r w:rsidRPr="000C7559">
        <w:t xml:space="preserve">Pozostałe określenia są zgodne z obowiązującymi odpowiednimi normami i z definicjami podanymi </w:t>
      </w:r>
    </w:p>
    <w:p w:rsidR="00EA3F52" w:rsidRPr="000C7559" w:rsidRDefault="00421F96" w:rsidP="001539C4">
      <w:pPr>
        <w:jc w:val="both"/>
      </w:pPr>
      <w:r w:rsidRPr="000C7559">
        <w:t xml:space="preserve">w </w:t>
      </w:r>
      <w:r w:rsidR="00741101">
        <w:t>SST</w:t>
      </w:r>
      <w:r w:rsidRPr="000C7559">
        <w:t xml:space="preserve"> D-M.00.00.00. „Wymagania ogólne” pkt. 1.4.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2. Materiały</w:t>
      </w:r>
    </w:p>
    <w:p w:rsidR="00EA3F52" w:rsidRPr="000C7559" w:rsidRDefault="00421F96" w:rsidP="001539C4">
      <w:pPr>
        <w:jc w:val="both"/>
      </w:pPr>
      <w:r w:rsidRPr="000C7559">
        <w:t xml:space="preserve">Ogólne wymagania dotyczące materiałów, ich pozyskiwania i składowania podano w </w:t>
      </w:r>
      <w:r w:rsidR="001C4D59">
        <w:t>SST</w:t>
      </w:r>
      <w:r w:rsidRPr="000C7559">
        <w:t xml:space="preserve"> </w:t>
      </w:r>
    </w:p>
    <w:p w:rsidR="00EA3F52" w:rsidRPr="000C7559" w:rsidRDefault="00421F96" w:rsidP="001539C4">
      <w:pPr>
        <w:jc w:val="both"/>
      </w:pPr>
      <w:r w:rsidRPr="000C7559">
        <w:t>D-M.00.00.00. „Wymagania ogólne”.</w:t>
      </w:r>
    </w:p>
    <w:p w:rsidR="00EA3F52" w:rsidRPr="000C7559" w:rsidRDefault="00421F96" w:rsidP="001539C4">
      <w:pPr>
        <w:jc w:val="both"/>
      </w:pPr>
      <w:r w:rsidRPr="000C7559">
        <w:t>Wszystkie materiały użyte do budowy powinny pochodzić tylko ze źródeł uzgodnionych i zatwierdzonych przez Inżyniera. Źródła materiałów powinny być wybrane przez wykonawcę z wyprzedzeniem przed rozpoczęciem robót nie później niż 3 tygodnie. Do każdej ilości jednorazowo wysyłanego materiału dołączony powinien być dokument potwierdzający jego jakość.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2.1. Krawężniki betonowe wg PN-EN 1340</w:t>
      </w:r>
    </w:p>
    <w:p w:rsidR="00EA3F52" w:rsidRPr="000C7559" w:rsidRDefault="00421F96" w:rsidP="001539C4">
      <w:pPr>
        <w:jc w:val="both"/>
        <w:rPr>
          <w:strike/>
        </w:rPr>
      </w:pPr>
      <w:r w:rsidRPr="000C7559">
        <w:t xml:space="preserve">Wymagania wobec krawężników betonowych do stosowania na zewnętrznych nawierzchniach, mających kontakt z solą odladzającą w warunkach mrozu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739"/>
        <w:gridCol w:w="135"/>
        <w:gridCol w:w="2416"/>
        <w:gridCol w:w="112"/>
        <w:gridCol w:w="597"/>
        <w:gridCol w:w="112"/>
        <w:gridCol w:w="1120"/>
        <w:gridCol w:w="1313"/>
        <w:gridCol w:w="246"/>
        <w:gridCol w:w="321"/>
        <w:gridCol w:w="173"/>
        <w:gridCol w:w="1535"/>
        <w:gridCol w:w="135"/>
      </w:tblGrid>
      <w:tr w:rsidR="00EA3F52" w:rsidRPr="000C7559" w:rsidTr="006335B0">
        <w:trPr>
          <w:gridAfter w:val="1"/>
          <w:wAfter w:w="135" w:type="dxa"/>
          <w:jc w:val="center"/>
        </w:trPr>
        <w:tc>
          <w:tcPr>
            <w:tcW w:w="847" w:type="dxa"/>
            <w:gridSpan w:val="2"/>
          </w:tcPr>
          <w:p w:rsidR="00EA3F52" w:rsidRPr="000C7559" w:rsidRDefault="00421F96" w:rsidP="001539C4">
            <w:pPr>
              <w:jc w:val="both"/>
            </w:pPr>
            <w:r w:rsidRPr="000C7559">
              <w:t>1</w:t>
            </w:r>
          </w:p>
        </w:tc>
        <w:tc>
          <w:tcPr>
            <w:tcW w:w="8080" w:type="dxa"/>
            <w:gridSpan w:val="11"/>
          </w:tcPr>
          <w:p w:rsidR="00EA3F52" w:rsidRPr="000C7559" w:rsidRDefault="00421F96" w:rsidP="001539C4">
            <w:pPr>
              <w:jc w:val="both"/>
            </w:pPr>
            <w:r w:rsidRPr="000C7559">
              <w:t>Kształt i wymiary</w:t>
            </w:r>
          </w:p>
        </w:tc>
      </w:tr>
      <w:tr w:rsidR="006335B0" w:rsidRPr="000C7559" w:rsidTr="003501BD">
        <w:trPr>
          <w:gridAfter w:val="1"/>
          <w:wAfter w:w="135" w:type="dxa"/>
          <w:trHeight w:val="252"/>
          <w:jc w:val="center"/>
        </w:trPr>
        <w:tc>
          <w:tcPr>
            <w:tcW w:w="847" w:type="dxa"/>
            <w:gridSpan w:val="2"/>
            <w:vMerge w:val="restart"/>
          </w:tcPr>
          <w:p w:rsidR="006335B0" w:rsidRPr="000C7559" w:rsidRDefault="006335B0" w:rsidP="001539C4">
            <w:pPr>
              <w:jc w:val="both"/>
            </w:pPr>
            <w:r w:rsidRPr="000C7559">
              <w:t>1.1</w:t>
            </w:r>
          </w:p>
        </w:tc>
        <w:tc>
          <w:tcPr>
            <w:tcW w:w="2551" w:type="dxa"/>
            <w:gridSpan w:val="2"/>
            <w:vMerge w:val="restart"/>
          </w:tcPr>
          <w:p w:rsidR="006335B0" w:rsidRPr="000C7559" w:rsidRDefault="006335B0" w:rsidP="001539C4">
            <w:pPr>
              <w:jc w:val="both"/>
            </w:pPr>
            <w:r w:rsidRPr="000C7559">
              <w:t>Dopuszczalne odchyłki w mm od zadeklarowanych wymiarów krawężnika (różnica pomiędzy wynikami pomiarów tego samego krawężnika nie powinna przekraczać 5 mm)*</w:t>
            </w:r>
          </w:p>
        </w:tc>
        <w:tc>
          <w:tcPr>
            <w:tcW w:w="709" w:type="dxa"/>
            <w:gridSpan w:val="2"/>
            <w:vMerge w:val="restart"/>
          </w:tcPr>
          <w:p w:rsidR="006335B0" w:rsidRPr="000C7559" w:rsidRDefault="006335B0" w:rsidP="001539C4">
            <w:pPr>
              <w:jc w:val="both"/>
            </w:pPr>
            <w:r w:rsidRPr="000C7559">
              <w:t>C</w:t>
            </w:r>
          </w:p>
        </w:tc>
        <w:tc>
          <w:tcPr>
            <w:tcW w:w="1232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Dopuszczalna tolerancja w %</w:t>
            </w:r>
          </w:p>
        </w:tc>
        <w:tc>
          <w:tcPr>
            <w:tcW w:w="3588" w:type="dxa"/>
            <w:gridSpan w:val="5"/>
          </w:tcPr>
          <w:p w:rsidR="006335B0" w:rsidRPr="000C7559" w:rsidRDefault="006335B0" w:rsidP="001539C4">
            <w:pPr>
              <w:jc w:val="both"/>
            </w:pPr>
            <w:r w:rsidRPr="000C7559">
              <w:t>Maksymalna odchyłka w mm</w:t>
            </w:r>
          </w:p>
        </w:tc>
      </w:tr>
      <w:tr w:rsidR="006335B0" w:rsidRPr="000C7559" w:rsidTr="003501BD">
        <w:trPr>
          <w:gridAfter w:val="1"/>
          <w:wAfter w:w="135" w:type="dxa"/>
          <w:trHeight w:val="926"/>
          <w:jc w:val="center"/>
        </w:trPr>
        <w:tc>
          <w:tcPr>
            <w:tcW w:w="847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2551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709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1232" w:type="dxa"/>
            <w:gridSpan w:val="2"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1559" w:type="dxa"/>
            <w:gridSpan w:val="2"/>
          </w:tcPr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  <w:r w:rsidRPr="000C7559">
              <w:t>Dodatnia</w:t>
            </w:r>
          </w:p>
        </w:tc>
        <w:tc>
          <w:tcPr>
            <w:tcW w:w="2029" w:type="dxa"/>
            <w:gridSpan w:val="3"/>
          </w:tcPr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</w:p>
          <w:p w:rsidR="006335B0" w:rsidRPr="000C7559" w:rsidRDefault="006335B0" w:rsidP="001539C4">
            <w:pPr>
              <w:jc w:val="both"/>
            </w:pPr>
            <w:r w:rsidRPr="000C7559">
              <w:t>Ujemna</w:t>
            </w:r>
          </w:p>
        </w:tc>
      </w:tr>
      <w:tr w:rsidR="006335B0" w:rsidRPr="000C7559" w:rsidTr="003501BD">
        <w:trPr>
          <w:gridAfter w:val="1"/>
          <w:wAfter w:w="135" w:type="dxa"/>
          <w:trHeight w:val="187"/>
          <w:jc w:val="center"/>
        </w:trPr>
        <w:tc>
          <w:tcPr>
            <w:tcW w:w="847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Długość</w:t>
            </w:r>
          </w:p>
        </w:tc>
        <w:tc>
          <w:tcPr>
            <w:tcW w:w="709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1232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± 1</w:t>
            </w:r>
          </w:p>
        </w:tc>
        <w:tc>
          <w:tcPr>
            <w:tcW w:w="1559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+ 10</w:t>
            </w:r>
          </w:p>
        </w:tc>
        <w:tc>
          <w:tcPr>
            <w:tcW w:w="2029" w:type="dxa"/>
            <w:gridSpan w:val="3"/>
          </w:tcPr>
          <w:p w:rsidR="006335B0" w:rsidRPr="000C7559" w:rsidRDefault="006335B0" w:rsidP="001539C4">
            <w:pPr>
              <w:jc w:val="both"/>
            </w:pPr>
            <w:r w:rsidRPr="000C7559">
              <w:t>- 4</w:t>
            </w:r>
          </w:p>
        </w:tc>
      </w:tr>
      <w:tr w:rsidR="006335B0" w:rsidRPr="000C7559" w:rsidTr="003501BD">
        <w:trPr>
          <w:gridAfter w:val="1"/>
          <w:wAfter w:w="135" w:type="dxa"/>
          <w:trHeight w:val="187"/>
          <w:jc w:val="center"/>
        </w:trPr>
        <w:tc>
          <w:tcPr>
            <w:tcW w:w="847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Powierzchnia</w:t>
            </w:r>
          </w:p>
        </w:tc>
        <w:tc>
          <w:tcPr>
            <w:tcW w:w="709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1232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± 3</w:t>
            </w:r>
          </w:p>
        </w:tc>
        <w:tc>
          <w:tcPr>
            <w:tcW w:w="1559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+ 5</w:t>
            </w:r>
          </w:p>
        </w:tc>
        <w:tc>
          <w:tcPr>
            <w:tcW w:w="2029" w:type="dxa"/>
            <w:gridSpan w:val="3"/>
          </w:tcPr>
          <w:p w:rsidR="006335B0" w:rsidRPr="000C7559" w:rsidRDefault="006335B0" w:rsidP="001539C4">
            <w:pPr>
              <w:jc w:val="both"/>
            </w:pPr>
            <w:r w:rsidRPr="000C7559">
              <w:t>- 3</w:t>
            </w:r>
          </w:p>
        </w:tc>
      </w:tr>
      <w:tr w:rsidR="006335B0" w:rsidRPr="000C7559" w:rsidTr="003501BD">
        <w:trPr>
          <w:gridAfter w:val="1"/>
          <w:wAfter w:w="135" w:type="dxa"/>
          <w:trHeight w:val="172"/>
          <w:jc w:val="center"/>
        </w:trPr>
        <w:tc>
          <w:tcPr>
            <w:tcW w:w="847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Pozostałe części</w:t>
            </w:r>
          </w:p>
        </w:tc>
        <w:tc>
          <w:tcPr>
            <w:tcW w:w="709" w:type="dxa"/>
            <w:gridSpan w:val="2"/>
            <w:vMerge/>
          </w:tcPr>
          <w:p w:rsidR="006335B0" w:rsidRPr="000C7559" w:rsidRDefault="006335B0" w:rsidP="001539C4">
            <w:pPr>
              <w:jc w:val="both"/>
            </w:pPr>
          </w:p>
        </w:tc>
        <w:tc>
          <w:tcPr>
            <w:tcW w:w="1232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± 5</w:t>
            </w:r>
          </w:p>
        </w:tc>
        <w:tc>
          <w:tcPr>
            <w:tcW w:w="1559" w:type="dxa"/>
            <w:gridSpan w:val="2"/>
          </w:tcPr>
          <w:p w:rsidR="006335B0" w:rsidRPr="000C7559" w:rsidRDefault="006335B0" w:rsidP="001539C4">
            <w:pPr>
              <w:jc w:val="both"/>
            </w:pPr>
            <w:r w:rsidRPr="000C7559">
              <w:t>+ 10</w:t>
            </w:r>
          </w:p>
        </w:tc>
        <w:tc>
          <w:tcPr>
            <w:tcW w:w="2029" w:type="dxa"/>
            <w:gridSpan w:val="3"/>
          </w:tcPr>
          <w:p w:rsidR="006335B0" w:rsidRPr="000C7559" w:rsidRDefault="006335B0" w:rsidP="001539C4">
            <w:pPr>
              <w:jc w:val="both"/>
            </w:pPr>
            <w:r w:rsidRPr="000C7559">
              <w:t>- 3</w:t>
            </w:r>
          </w:p>
        </w:tc>
      </w:tr>
      <w:tr w:rsidR="000C7559" w:rsidRPr="000C7559" w:rsidTr="003501BD">
        <w:trPr>
          <w:gridAfter w:val="1"/>
          <w:wAfter w:w="135" w:type="dxa"/>
          <w:trHeight w:val="742"/>
          <w:jc w:val="center"/>
        </w:trPr>
        <w:tc>
          <w:tcPr>
            <w:tcW w:w="847" w:type="dxa"/>
            <w:gridSpan w:val="2"/>
            <w:vMerge w:val="restart"/>
          </w:tcPr>
          <w:p w:rsidR="000C7559" w:rsidRPr="000C7559" w:rsidRDefault="000C7559" w:rsidP="001539C4">
            <w:pPr>
              <w:jc w:val="both"/>
            </w:pPr>
            <w:r w:rsidRPr="000C7559">
              <w:t>1.2</w:t>
            </w:r>
          </w:p>
        </w:tc>
        <w:tc>
          <w:tcPr>
            <w:tcW w:w="2551" w:type="dxa"/>
            <w:gridSpan w:val="2"/>
          </w:tcPr>
          <w:p w:rsidR="000C7559" w:rsidRPr="000C7559" w:rsidRDefault="000C7559" w:rsidP="001539C4">
            <w:pPr>
              <w:jc w:val="both"/>
            </w:pPr>
            <w:r w:rsidRPr="000C7559">
              <w:t>Odchyłki płaskości i pofalowania przy długości pomiarowej*)</w:t>
            </w:r>
          </w:p>
        </w:tc>
        <w:tc>
          <w:tcPr>
            <w:tcW w:w="709" w:type="dxa"/>
            <w:gridSpan w:val="2"/>
            <w:vMerge w:val="restart"/>
          </w:tcPr>
          <w:p w:rsidR="000C7559" w:rsidRPr="000C7559" w:rsidRDefault="000C7559" w:rsidP="001539C4">
            <w:pPr>
              <w:jc w:val="both"/>
            </w:pPr>
            <w:r w:rsidRPr="000C7559">
              <w:t>C</w:t>
            </w:r>
          </w:p>
        </w:tc>
        <w:tc>
          <w:tcPr>
            <w:tcW w:w="4820" w:type="dxa"/>
            <w:gridSpan w:val="7"/>
          </w:tcPr>
          <w:p w:rsidR="000C7559" w:rsidRPr="000C7559" w:rsidRDefault="000C7559" w:rsidP="001539C4">
            <w:pPr>
              <w:jc w:val="both"/>
            </w:pPr>
            <w:r w:rsidRPr="000C7559">
              <w:t>Maksymalna odchyłka w mm</w:t>
            </w:r>
          </w:p>
        </w:tc>
      </w:tr>
      <w:tr w:rsidR="000C7559" w:rsidRPr="000C7559" w:rsidTr="003501BD">
        <w:trPr>
          <w:gridAfter w:val="1"/>
          <w:wAfter w:w="135" w:type="dxa"/>
          <w:trHeight w:val="206"/>
          <w:jc w:val="center"/>
        </w:trPr>
        <w:tc>
          <w:tcPr>
            <w:tcW w:w="847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0C7559" w:rsidRPr="000C7559" w:rsidRDefault="000C7559" w:rsidP="001539C4">
            <w:pPr>
              <w:jc w:val="both"/>
            </w:pPr>
            <w:r w:rsidRPr="000C7559">
              <w:t>300 mm</w:t>
            </w:r>
          </w:p>
        </w:tc>
        <w:tc>
          <w:tcPr>
            <w:tcW w:w="709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4820" w:type="dxa"/>
            <w:gridSpan w:val="7"/>
          </w:tcPr>
          <w:p w:rsidR="000C7559" w:rsidRPr="000C7559" w:rsidRDefault="000C7559" w:rsidP="001539C4">
            <w:pPr>
              <w:jc w:val="both"/>
            </w:pPr>
            <w:r w:rsidRPr="000C7559">
              <w:t>± 1,5 mm</w:t>
            </w:r>
          </w:p>
        </w:tc>
      </w:tr>
      <w:tr w:rsidR="000C7559" w:rsidRPr="000C7559" w:rsidTr="003501BD">
        <w:trPr>
          <w:gridAfter w:val="1"/>
          <w:wAfter w:w="135" w:type="dxa"/>
          <w:trHeight w:val="150"/>
          <w:jc w:val="center"/>
        </w:trPr>
        <w:tc>
          <w:tcPr>
            <w:tcW w:w="847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0C7559" w:rsidRPr="000C7559" w:rsidRDefault="000C7559" w:rsidP="001539C4">
            <w:pPr>
              <w:jc w:val="both"/>
            </w:pPr>
            <w:r w:rsidRPr="000C7559">
              <w:t>400 mm</w:t>
            </w:r>
          </w:p>
        </w:tc>
        <w:tc>
          <w:tcPr>
            <w:tcW w:w="709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4820" w:type="dxa"/>
            <w:gridSpan w:val="7"/>
          </w:tcPr>
          <w:p w:rsidR="000C7559" w:rsidRPr="000C7559" w:rsidRDefault="000C7559" w:rsidP="001539C4">
            <w:pPr>
              <w:jc w:val="both"/>
            </w:pPr>
            <w:r w:rsidRPr="000C7559">
              <w:t>± 2,0 mm</w:t>
            </w:r>
          </w:p>
        </w:tc>
      </w:tr>
      <w:tr w:rsidR="000C7559" w:rsidRPr="000C7559" w:rsidTr="003501BD">
        <w:trPr>
          <w:gridAfter w:val="1"/>
          <w:wAfter w:w="135" w:type="dxa"/>
          <w:trHeight w:val="178"/>
          <w:jc w:val="center"/>
        </w:trPr>
        <w:tc>
          <w:tcPr>
            <w:tcW w:w="847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0C7559" w:rsidRPr="000C7559" w:rsidRDefault="000C7559" w:rsidP="001539C4">
            <w:pPr>
              <w:jc w:val="both"/>
            </w:pPr>
            <w:r w:rsidRPr="000C7559">
              <w:t>500 mm</w:t>
            </w:r>
          </w:p>
        </w:tc>
        <w:tc>
          <w:tcPr>
            <w:tcW w:w="709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4820" w:type="dxa"/>
            <w:gridSpan w:val="7"/>
          </w:tcPr>
          <w:p w:rsidR="000C7559" w:rsidRPr="000C7559" w:rsidRDefault="000C7559" w:rsidP="001539C4">
            <w:pPr>
              <w:jc w:val="both"/>
            </w:pPr>
            <w:r w:rsidRPr="000C7559">
              <w:t>± 2,5 mm</w:t>
            </w:r>
          </w:p>
        </w:tc>
      </w:tr>
      <w:tr w:rsidR="000C7559" w:rsidRPr="000C7559" w:rsidTr="003501BD">
        <w:trPr>
          <w:gridAfter w:val="1"/>
          <w:wAfter w:w="135" w:type="dxa"/>
          <w:trHeight w:val="206"/>
          <w:jc w:val="center"/>
        </w:trPr>
        <w:tc>
          <w:tcPr>
            <w:tcW w:w="847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2551" w:type="dxa"/>
            <w:gridSpan w:val="2"/>
          </w:tcPr>
          <w:p w:rsidR="000C7559" w:rsidRPr="000C7559" w:rsidRDefault="000C7559" w:rsidP="001539C4">
            <w:pPr>
              <w:jc w:val="both"/>
            </w:pPr>
            <w:r w:rsidRPr="000C7559">
              <w:t>800 mm</w:t>
            </w:r>
          </w:p>
        </w:tc>
        <w:tc>
          <w:tcPr>
            <w:tcW w:w="709" w:type="dxa"/>
            <w:gridSpan w:val="2"/>
            <w:vMerge/>
          </w:tcPr>
          <w:p w:rsidR="000C7559" w:rsidRPr="000C7559" w:rsidRDefault="000C7559" w:rsidP="001539C4">
            <w:pPr>
              <w:jc w:val="both"/>
            </w:pPr>
          </w:p>
        </w:tc>
        <w:tc>
          <w:tcPr>
            <w:tcW w:w="4820" w:type="dxa"/>
            <w:gridSpan w:val="7"/>
          </w:tcPr>
          <w:p w:rsidR="000C7559" w:rsidRPr="000C7559" w:rsidRDefault="000C7559" w:rsidP="001539C4">
            <w:pPr>
              <w:jc w:val="both"/>
            </w:pPr>
            <w:r w:rsidRPr="000C7559">
              <w:t>± 4,0 mm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1.3.</w:t>
            </w:r>
          </w:p>
        </w:tc>
        <w:tc>
          <w:tcPr>
            <w:tcW w:w="2528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Grubość warstwy ścieralnej (dotyczy krawężników dwuwarstwowych)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C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10 mm mierzona w górnej części</w:t>
            </w:r>
          </w:p>
        </w:tc>
      </w:tr>
      <w:tr w:rsidR="00EA3F52" w:rsidRPr="000C7559" w:rsidTr="000C7559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2</w:t>
            </w:r>
          </w:p>
        </w:tc>
        <w:tc>
          <w:tcPr>
            <w:tcW w:w="8080" w:type="dxa"/>
            <w:gridSpan w:val="11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Właściwości fizyczne i mechaniczne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2.1</w:t>
            </w:r>
          </w:p>
        </w:tc>
        <w:tc>
          <w:tcPr>
            <w:tcW w:w="2528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Wytrzymałość na zginanie*)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F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5C6684" w:rsidRPr="000C7559" w:rsidRDefault="005C6684" w:rsidP="001539C4">
            <w:pPr>
              <w:jc w:val="both"/>
              <w:rPr>
                <w:vertAlign w:val="superscript"/>
              </w:rPr>
            </w:pPr>
            <w:r w:rsidRPr="000C7559">
              <w:t xml:space="preserve">- wartość średnia ≥ 5,0 </w:t>
            </w:r>
            <w:proofErr w:type="spellStart"/>
            <w:r w:rsidRPr="000C7559">
              <w:t>MPa</w:t>
            </w:r>
            <w:proofErr w:type="spellEnd"/>
          </w:p>
          <w:p w:rsidR="00EA3F52" w:rsidRPr="000C7559" w:rsidRDefault="005C6684" w:rsidP="001539C4">
            <w:pPr>
              <w:jc w:val="both"/>
              <w:rPr>
                <w:snapToGrid/>
              </w:rPr>
            </w:pPr>
            <w:r w:rsidRPr="000C7559">
              <w:t xml:space="preserve">- każdy pojedynczy wynik ≥ 4,0 </w:t>
            </w:r>
            <w:proofErr w:type="spellStart"/>
            <w:r w:rsidRPr="000C7559">
              <w:t>MPa</w:t>
            </w:r>
            <w:proofErr w:type="spellEnd"/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285"/>
        </w:trPr>
        <w:tc>
          <w:tcPr>
            <w:tcW w:w="874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2.2</w:t>
            </w:r>
          </w:p>
        </w:tc>
        <w:tc>
          <w:tcPr>
            <w:tcW w:w="2528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ścieranie n(wg klasy 4 oznaczenia I normy)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G i H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Pomiar wykonany na tarczy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4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3173" w:type="dxa"/>
            <w:gridSpan w:val="5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Szer</w:t>
            </w:r>
            <w:r w:rsidR="00170B15" w:rsidRPr="000C7559">
              <w:rPr>
                <w:snapToGrid/>
              </w:rPr>
              <w:t xml:space="preserve">okiej ściernej, wg zał. G normy – </w:t>
            </w:r>
            <w:r w:rsidRPr="000C7559">
              <w:rPr>
                <w:snapToGrid/>
              </w:rPr>
              <w:t>badanie podstawowe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EA3F52" w:rsidRPr="000C7559" w:rsidRDefault="00170B15" w:rsidP="001539C4">
            <w:pPr>
              <w:jc w:val="both"/>
              <w:rPr>
                <w:snapToGrid/>
              </w:rPr>
            </w:pPr>
            <w:proofErr w:type="spellStart"/>
            <w:r w:rsidRPr="000C7559">
              <w:rPr>
                <w:snapToGrid/>
              </w:rPr>
              <w:t>Böhmego</w:t>
            </w:r>
            <w:proofErr w:type="spellEnd"/>
            <w:r w:rsidRPr="000C7559">
              <w:rPr>
                <w:snapToGrid/>
              </w:rPr>
              <w:t xml:space="preserve">, wg zał. H normy – </w:t>
            </w:r>
            <w:r w:rsidR="00421F96" w:rsidRPr="000C7559">
              <w:rPr>
                <w:snapToGrid/>
              </w:rPr>
              <w:t>badanie alternatywne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42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3173" w:type="dxa"/>
            <w:gridSpan w:val="5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≤ 20 mm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  <w:vertAlign w:val="superscript"/>
              </w:rPr>
            </w:pPr>
            <w:r w:rsidRPr="000C7559">
              <w:rPr>
                <w:snapToGrid/>
              </w:rPr>
              <w:t>≤ 18 000mm</w:t>
            </w:r>
            <w:r w:rsidRPr="000C7559">
              <w:rPr>
                <w:snapToGrid/>
                <w:vertAlign w:val="superscript"/>
              </w:rPr>
              <w:t>3</w:t>
            </w:r>
          </w:p>
          <w:p w:rsidR="00EA3F52" w:rsidRPr="000C7559" w:rsidRDefault="00421F96" w:rsidP="001539C4">
            <w:pPr>
              <w:jc w:val="both"/>
              <w:rPr>
                <w:snapToGrid/>
                <w:vertAlign w:val="superscript"/>
              </w:rPr>
            </w:pPr>
            <w:r w:rsidRPr="000C7559">
              <w:rPr>
                <w:snapToGrid/>
              </w:rPr>
              <w:t>/5000 mm</w:t>
            </w:r>
            <w:r w:rsidRPr="000C7559">
              <w:rPr>
                <w:snapToGrid/>
                <w:vertAlign w:val="superscript"/>
              </w:rPr>
              <w:t>2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2.3</w:t>
            </w:r>
          </w:p>
        </w:tc>
        <w:tc>
          <w:tcPr>
            <w:tcW w:w="2528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poślizg/poślizgnięcie - wartość USRV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I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Wartość średnia ≥ 55</w:t>
            </w:r>
          </w:p>
        </w:tc>
        <w:bookmarkStart w:id="0" w:name="_GoBack"/>
        <w:bookmarkEnd w:id="0"/>
      </w:tr>
      <w:tr w:rsidR="00EA3F52" w:rsidRPr="000C7559" w:rsidTr="000C7559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3.</w:t>
            </w:r>
          </w:p>
        </w:tc>
        <w:tc>
          <w:tcPr>
            <w:tcW w:w="8080" w:type="dxa"/>
            <w:gridSpan w:val="11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warunki atmosferyczne (kryteria stosowane łącznie)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270"/>
        </w:trPr>
        <w:tc>
          <w:tcPr>
            <w:tcW w:w="874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3.1</w:t>
            </w:r>
          </w:p>
        </w:tc>
        <w:tc>
          <w:tcPr>
            <w:tcW w:w="2528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 xml:space="preserve">Odporność na </w:t>
            </w:r>
            <w:r w:rsidRPr="000C7559">
              <w:rPr>
                <w:snapToGrid/>
              </w:rPr>
              <w:lastRenderedPageBreak/>
              <w:t xml:space="preserve">zamrażanie/rozmrażanie z udziałem soli odladzającej </w:t>
            </w: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- badanie warstwy ścieralnej</w:t>
            </w: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- badanie warstwy konstrukcyjnej (dotyczy krawężników dwuwarstwowych)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lastRenderedPageBreak/>
              <w:t>D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Ubytek masy po badaniu w kg/m</w:t>
            </w:r>
            <w:r w:rsidRPr="000C7559">
              <w:rPr>
                <w:snapToGrid/>
                <w:vertAlign w:val="superscript"/>
              </w:rPr>
              <w:t>2</w:t>
            </w:r>
          </w:p>
        </w:tc>
      </w:tr>
      <w:tr w:rsidR="00170B15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1550"/>
        </w:trPr>
        <w:tc>
          <w:tcPr>
            <w:tcW w:w="874" w:type="dxa"/>
            <w:gridSpan w:val="2"/>
            <w:vMerge/>
            <w:shd w:val="clear" w:color="auto" w:fill="auto"/>
          </w:tcPr>
          <w:p w:rsidR="00170B15" w:rsidRPr="000C7559" w:rsidRDefault="00170B15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170B15" w:rsidRPr="000C7559" w:rsidRDefault="00170B15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170B15" w:rsidRPr="000C7559" w:rsidRDefault="00170B15" w:rsidP="001539C4">
            <w:pPr>
              <w:jc w:val="both"/>
              <w:rPr>
                <w:snapToGrid/>
              </w:rPr>
            </w:pPr>
          </w:p>
        </w:tc>
        <w:tc>
          <w:tcPr>
            <w:tcW w:w="4843" w:type="dxa"/>
            <w:gridSpan w:val="7"/>
            <w:shd w:val="clear" w:color="auto" w:fill="auto"/>
          </w:tcPr>
          <w:p w:rsidR="001F69B1" w:rsidRPr="000C7559" w:rsidRDefault="001F69B1" w:rsidP="001539C4">
            <w:pPr>
              <w:jc w:val="both"/>
            </w:pPr>
            <w:r w:rsidRPr="000C7559">
              <w:t>Ubytek masy po badaniu:</w:t>
            </w:r>
          </w:p>
          <w:p w:rsidR="001F69B1" w:rsidRPr="000C7559" w:rsidRDefault="001F69B1" w:rsidP="001539C4">
            <w:pPr>
              <w:jc w:val="both"/>
              <w:rPr>
                <w:vertAlign w:val="superscript"/>
              </w:rPr>
            </w:pPr>
            <w:r w:rsidRPr="000C7559">
              <w:t>- wartość średnia ≤ 1,0 kg/m</w:t>
            </w:r>
            <w:r w:rsidRPr="000C7559">
              <w:rPr>
                <w:vertAlign w:val="superscript"/>
              </w:rPr>
              <w:t>2</w:t>
            </w:r>
          </w:p>
          <w:p w:rsidR="00170B15" w:rsidRPr="000C7559" w:rsidRDefault="001F69B1" w:rsidP="001539C4">
            <w:pPr>
              <w:jc w:val="both"/>
              <w:rPr>
                <w:snapToGrid/>
              </w:rPr>
            </w:pPr>
            <w:r w:rsidRPr="000C7559">
              <w:t>- każdy pojedynczy wynik ≤ 1,5 kg/m</w:t>
            </w:r>
            <w:r w:rsidRPr="000C7559">
              <w:rPr>
                <w:vertAlign w:val="superscript"/>
              </w:rPr>
              <w:t>2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3.2</w:t>
            </w:r>
          </w:p>
        </w:tc>
        <w:tc>
          <w:tcPr>
            <w:tcW w:w="2528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Nasiąkliwość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E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170B15" w:rsidP="001539C4">
            <w:pPr>
              <w:jc w:val="both"/>
              <w:rPr>
                <w:snapToGrid/>
              </w:rPr>
            </w:pPr>
            <w:r w:rsidRPr="000C7559">
              <w:t>Wartość średnia i każdy pojedynczy wynik ≤ 6%</w:t>
            </w:r>
          </w:p>
        </w:tc>
      </w:tr>
      <w:tr w:rsidR="00EA3F52" w:rsidRPr="000C7559" w:rsidTr="000C7559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954" w:type="dxa"/>
            <w:gridSpan w:val="13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Aspekty wizualne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240"/>
        </w:trPr>
        <w:tc>
          <w:tcPr>
            <w:tcW w:w="874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4.1.</w:t>
            </w:r>
          </w:p>
        </w:tc>
        <w:tc>
          <w:tcPr>
            <w:tcW w:w="2528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Wygląd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J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proofErr w:type="spellStart"/>
            <w:r w:rsidRPr="000C7559">
              <w:rPr>
                <w:snapToGrid/>
              </w:rPr>
              <w:t>Wamaganie</w:t>
            </w:r>
            <w:proofErr w:type="spellEnd"/>
            <w:r w:rsidRPr="000C7559">
              <w:rPr>
                <w:snapToGrid/>
              </w:rPr>
              <w:t xml:space="preserve"> dotyczące warstwy wierzchniej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1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3000" w:type="dxa"/>
            <w:gridSpan w:val="4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Rysy (poza drobnymi przetarciami transportowymi) widoczne „gołym okiem”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Niedopuszczalne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85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3000" w:type="dxa"/>
            <w:gridSpan w:val="4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Rozwarstwienia w krawężnikach dwuwarstwowych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Niedopuszczalne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85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3000" w:type="dxa"/>
            <w:gridSpan w:val="4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Uszkodzenia marglowe lub podobnie wyglądające pochodzące z zanieczyszczeń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A3F52" w:rsidRPr="000C7559" w:rsidRDefault="006335B0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Niedopu</w:t>
            </w:r>
            <w:r w:rsidR="00421F96" w:rsidRPr="000C7559">
              <w:rPr>
                <w:snapToGrid/>
              </w:rPr>
              <w:t>szczalne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615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3000" w:type="dxa"/>
            <w:gridSpan w:val="4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Naloty wapienne zwane potocznie wykwitami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Niedopuszczalne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74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4.2.</w:t>
            </w:r>
          </w:p>
        </w:tc>
        <w:tc>
          <w:tcPr>
            <w:tcW w:w="2528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Tekstura i zabarwienie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J</w:t>
            </w:r>
          </w:p>
        </w:tc>
        <w:tc>
          <w:tcPr>
            <w:tcW w:w="4843" w:type="dxa"/>
            <w:gridSpan w:val="7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proofErr w:type="spellStart"/>
            <w:r w:rsidRPr="000C7559">
              <w:rPr>
                <w:snapToGrid/>
              </w:rPr>
              <w:t>Wamaganie</w:t>
            </w:r>
            <w:proofErr w:type="spellEnd"/>
            <w:r w:rsidRPr="000C7559">
              <w:rPr>
                <w:snapToGrid/>
              </w:rPr>
              <w:t xml:space="preserve"> dotyczące warstwy wierzchniej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60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33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Krawężniki o specjalnej teksturze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Zgodne z zatwierdzonym wzorem producenta i jednorodne w partii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4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33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 xml:space="preserve">Zabarwienie 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Zgodne z zatwierdzonym wzorem producenta i jednorodne w partii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1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33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Tekstura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Zgodne z zatwierdzonym wzorem producenta i jednorodne w partii</w:t>
            </w:r>
          </w:p>
        </w:tc>
      </w:tr>
      <w:tr w:rsidR="00EA3F52" w:rsidRPr="000C7559" w:rsidTr="003501BD">
        <w:tblPrEx>
          <w:jc w:val="left"/>
          <w:tblLook w:val="04A0" w:firstRow="1" w:lastRow="0" w:firstColumn="1" w:lastColumn="0" w:noHBand="0" w:noVBand="1"/>
        </w:tblPrEx>
        <w:trPr>
          <w:gridBefore w:val="1"/>
          <w:wBefore w:w="108" w:type="dxa"/>
          <w:trHeight w:val="510"/>
        </w:trPr>
        <w:tc>
          <w:tcPr>
            <w:tcW w:w="874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528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433" w:type="dxa"/>
            <w:gridSpan w:val="2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 xml:space="preserve">Ewentualne różnice w jednolitości tekstury lub zabarwienia, spowodowane nieuniknionymi zmianami we właściwościach surowców i zmianach warunków twardnienia </w:t>
            </w:r>
          </w:p>
        </w:tc>
        <w:tc>
          <w:tcPr>
            <w:tcW w:w="2410" w:type="dxa"/>
            <w:gridSpan w:val="5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Dopuszczalne</w:t>
            </w:r>
          </w:p>
        </w:tc>
      </w:tr>
    </w:tbl>
    <w:p w:rsidR="00EA3F52" w:rsidRPr="000C7559" w:rsidRDefault="00421F96" w:rsidP="001539C4">
      <w:pPr>
        <w:jc w:val="both"/>
        <w:rPr>
          <w:strike/>
        </w:rPr>
      </w:pPr>
      <w:r w:rsidRPr="000C7559">
        <w:rPr>
          <w:snapToGrid/>
        </w:rPr>
        <w:t>*) W przypadku kontroli zgodności przeprowadzanej przez stronę trzecią (Przypadek II) dopuszczone są wymagania jak dla kontroli produkcji</w:t>
      </w:r>
    </w:p>
    <w:p w:rsidR="00EA3F52" w:rsidRPr="003501BD" w:rsidRDefault="00EA3F52" w:rsidP="001539C4">
      <w:pPr>
        <w:jc w:val="both"/>
        <w:rPr>
          <w:sz w:val="10"/>
          <w:szCs w:val="10"/>
        </w:rPr>
      </w:pPr>
    </w:p>
    <w:p w:rsidR="00EA3F52" w:rsidRPr="000C7559" w:rsidRDefault="00421F96" w:rsidP="001539C4">
      <w:pPr>
        <w:jc w:val="both"/>
      </w:pPr>
      <w:r w:rsidRPr="000C7559">
        <w:t xml:space="preserve">Wymiary krawężników betonowych jak podano w dokumentacji projektowej. </w:t>
      </w:r>
    </w:p>
    <w:p w:rsidR="00EA3F52" w:rsidRPr="000C7559" w:rsidRDefault="00421F96" w:rsidP="001539C4">
      <w:pPr>
        <w:jc w:val="both"/>
      </w:pPr>
      <w:r w:rsidRPr="000C7559">
        <w:t xml:space="preserve">Sprawdzenia krawężników należy dokonać zgodnie z PN-EN 1340. W razie wystąpienia wątpliwości Inżynier może zmienić sposób pobierania próbek lub poszerzyć zakres kontroli krawężników o inny rodzaj badań. 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2.2.</w:t>
      </w:r>
      <w:r w:rsidRPr="003501BD">
        <w:rPr>
          <w:b/>
          <w:strike/>
        </w:rPr>
        <w:t xml:space="preserve"> </w:t>
      </w:r>
      <w:r w:rsidRPr="003501BD">
        <w:rPr>
          <w:b/>
        </w:rPr>
        <w:t>Materiały do podsypkę i wypełnienia szczelin pomiędzy ściankami bocznymi</w:t>
      </w:r>
    </w:p>
    <w:p w:rsidR="00EA3F52" w:rsidRPr="000C7559" w:rsidRDefault="00421F96" w:rsidP="001539C4">
      <w:pPr>
        <w:jc w:val="both"/>
      </w:pPr>
      <w:r w:rsidRPr="000C7559">
        <w:t xml:space="preserve">Na podsypkę cementowo- piaskową należy stosować następujące materiały: </w:t>
      </w:r>
    </w:p>
    <w:p w:rsidR="00EA3F52" w:rsidRPr="000C7559" w:rsidRDefault="00421F96" w:rsidP="001539C4">
      <w:pPr>
        <w:jc w:val="both"/>
      </w:pPr>
      <w:r w:rsidRPr="000C7559">
        <w:t xml:space="preserve">a) cement powszechnego użytku wg. PN-EN 197-1, </w:t>
      </w:r>
    </w:p>
    <w:p w:rsidR="00EA3F52" w:rsidRPr="000C7559" w:rsidRDefault="00421F96" w:rsidP="001539C4">
      <w:pPr>
        <w:jc w:val="both"/>
      </w:pPr>
      <w:r w:rsidRPr="000C7559">
        <w:t xml:space="preserve">b) kruszywo drobne 0/2, 0/4 lub 0/5 wg. normy PN-EN 13242 kategorii uziarnienia GF80, zawartości pyłów f10, </w:t>
      </w:r>
    </w:p>
    <w:p w:rsidR="00EA3F52" w:rsidRPr="000C7559" w:rsidRDefault="00421F96" w:rsidP="001539C4">
      <w:pPr>
        <w:jc w:val="both"/>
      </w:pPr>
      <w:r w:rsidRPr="000C7559">
        <w:t xml:space="preserve">c) kruszywo 1/4, 2/5 lub 2/8, wg. normy PN-EN 13242 kategorii uziarnienia GC80-20, zawartości pyłów </w:t>
      </w:r>
      <w:proofErr w:type="spellStart"/>
      <w:r w:rsidRPr="000C7559">
        <w:t>fdeklarowana</w:t>
      </w:r>
      <w:proofErr w:type="spellEnd"/>
      <w:r w:rsidRPr="000C7559">
        <w:t xml:space="preserve"> (max. do 10% pyłów), </w:t>
      </w:r>
    </w:p>
    <w:p w:rsidR="00EA3F52" w:rsidRPr="000C7559" w:rsidRDefault="00421F96" w:rsidP="001539C4">
      <w:pPr>
        <w:jc w:val="both"/>
      </w:pPr>
      <w:r w:rsidRPr="000C7559">
        <w:t xml:space="preserve">d) woda zgodna z normą PN-EN 1008 (bez badań laboratoryjnych można stosować wodę wodociągową pitną). </w:t>
      </w:r>
    </w:p>
    <w:p w:rsidR="00EA3F52" w:rsidRPr="000C7559" w:rsidRDefault="00421F96" w:rsidP="001539C4">
      <w:pPr>
        <w:jc w:val="both"/>
      </w:pPr>
      <w:r w:rsidRPr="000C7559">
        <w:t xml:space="preserve">Zalecane proporcje mieszania cementu i kruszywa to 1:4 (w stosunku wagowym). </w:t>
      </w:r>
    </w:p>
    <w:p w:rsidR="00EA3F52" w:rsidRPr="000C7559" w:rsidRDefault="00421F96" w:rsidP="001539C4">
      <w:pPr>
        <w:jc w:val="both"/>
      </w:pPr>
      <w:r w:rsidRPr="000C7559">
        <w:t>Kruszywo nie może być zanieczyszczone ciałami obcymi takimi jak: trawa, szczątki korzeni, konarów, szkło, plastik, grudki gliny.</w:t>
      </w:r>
    </w:p>
    <w:p w:rsidR="00EA3F52" w:rsidRPr="000C7559" w:rsidRDefault="00421F96" w:rsidP="001539C4">
      <w:pPr>
        <w:jc w:val="both"/>
      </w:pPr>
      <w:r w:rsidRPr="000C7559">
        <w:t>Do wypełnienia szczelin należy stosować:</w:t>
      </w:r>
    </w:p>
    <w:p w:rsidR="00EA3F52" w:rsidRPr="000C7559" w:rsidRDefault="00421F96" w:rsidP="001539C4">
      <w:pPr>
        <w:jc w:val="both"/>
      </w:pPr>
      <w:r w:rsidRPr="000C7559">
        <w:t>- mieszankę cementowo-piaskową w stosunku 1:2 z cementu powszechnego użytku klasy 32,5N wg PN-EN 197-1 i z kruszywa drobnego 0/2  wg normy PN-EN 13242 kategorii uziarnienia G</w:t>
      </w:r>
      <w:r w:rsidRPr="000C7559">
        <w:rPr>
          <w:vertAlign w:val="subscript"/>
        </w:rPr>
        <w:t>F</w:t>
      </w:r>
      <w:r w:rsidRPr="000C7559">
        <w:t>80, zawartości pyłów f</w:t>
      </w:r>
      <w:r w:rsidRPr="000C7559">
        <w:rPr>
          <w:vertAlign w:val="subscript"/>
        </w:rPr>
        <w:t>3</w:t>
      </w:r>
      <w:r w:rsidRPr="000C7559">
        <w:t>, spełniającego wymagania PN-EN 13139, wody wg PN-EN 1008,</w:t>
      </w:r>
    </w:p>
    <w:p w:rsidR="00EA3F52" w:rsidRPr="000C7559" w:rsidRDefault="00421F96" w:rsidP="001539C4">
      <w:pPr>
        <w:jc w:val="both"/>
      </w:pPr>
      <w:r w:rsidRPr="000C7559">
        <w:t>- inne specjalistyczne materiały przewidziane do stosowania w wykonawstwie nawierzchni brukowych.</w:t>
      </w:r>
    </w:p>
    <w:p w:rsidR="00EA3F52" w:rsidRPr="003501BD" w:rsidRDefault="00421F96" w:rsidP="001539C4">
      <w:pPr>
        <w:jc w:val="both"/>
        <w:rPr>
          <w:b/>
          <w:strike/>
        </w:rPr>
      </w:pPr>
      <w:r w:rsidRPr="003501BD">
        <w:rPr>
          <w:b/>
        </w:rPr>
        <w:t xml:space="preserve">2.3. Beton na ławę fundamentową </w:t>
      </w:r>
    </w:p>
    <w:p w:rsidR="00EA3F52" w:rsidRPr="000C7559" w:rsidRDefault="00421F96" w:rsidP="001539C4">
      <w:pPr>
        <w:jc w:val="both"/>
      </w:pPr>
      <w:r w:rsidRPr="000C7559">
        <w:t xml:space="preserve">Ława betonowa oraz opór wykonane będą z betonu klasy C12/15 spełniającego wymagania PN-EN 206-1. 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Składniki betonu: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lastRenderedPageBreak/>
        <w:t>cement powszechnego użytku wg normy  PN-EN-197-1;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kruszywo grube zgodne z normą  PN-EN 12620 o wymiarze ziaren do D=16 mm, kategorii uziarnienia G</w:t>
      </w:r>
      <w:r w:rsidRPr="000C7559">
        <w:rPr>
          <w:snapToGrid/>
          <w:vertAlign w:val="subscript"/>
        </w:rPr>
        <w:t>c</w:t>
      </w:r>
      <w:r w:rsidRPr="000C7559">
        <w:rPr>
          <w:snapToGrid/>
        </w:rPr>
        <w:t>90/15</w:t>
      </w:r>
      <w:r w:rsidRPr="000C7559">
        <w:rPr>
          <w:b/>
          <w:snapToGrid/>
        </w:rPr>
        <w:t xml:space="preserve"> </w:t>
      </w:r>
      <w:r w:rsidRPr="000C7559">
        <w:rPr>
          <w:snapToGrid/>
        </w:rPr>
        <w:t>lub G</w:t>
      </w:r>
      <w:r w:rsidRPr="000C7559">
        <w:rPr>
          <w:snapToGrid/>
          <w:vertAlign w:val="subscript"/>
        </w:rPr>
        <w:t>c</w:t>
      </w:r>
      <w:r w:rsidRPr="000C7559">
        <w:rPr>
          <w:snapToGrid/>
        </w:rPr>
        <w:t>85/20 i zawartości pyłów f</w:t>
      </w:r>
      <w:r w:rsidRPr="000C7559">
        <w:rPr>
          <w:snapToGrid/>
          <w:vertAlign w:val="subscript"/>
        </w:rPr>
        <w:t>1,5</w:t>
      </w:r>
      <w:r w:rsidRPr="000C7559">
        <w:rPr>
          <w:snapToGrid/>
        </w:rPr>
        <w:t xml:space="preserve"> ;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kruszywo drobne zgodne z normą  PN-EN 12620 kategorii uziarnienia G</w:t>
      </w:r>
      <w:r w:rsidRPr="000C7559">
        <w:rPr>
          <w:snapToGrid/>
          <w:vertAlign w:val="subscript"/>
        </w:rPr>
        <w:t>F</w:t>
      </w:r>
      <w:r w:rsidRPr="000C7559">
        <w:rPr>
          <w:snapToGrid/>
        </w:rPr>
        <w:t>85 i zawartości pyłów f</w:t>
      </w:r>
      <w:r w:rsidRPr="000C7559">
        <w:rPr>
          <w:snapToGrid/>
          <w:vertAlign w:val="subscript"/>
        </w:rPr>
        <w:t>3</w:t>
      </w:r>
      <w:r w:rsidRPr="000C7559">
        <w:rPr>
          <w:snapToGrid/>
        </w:rPr>
        <w:t xml:space="preserve"> ;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woda - zaleca się stosować wodę pitną z wodociągu, która nie wymaga badań. W przypadku czerpania wody z innych źródeł, woda musi spełniać wymagania normy PN-EN 1008 ;</w:t>
      </w:r>
    </w:p>
    <w:p w:rsidR="00EA3F52" w:rsidRPr="000C7559" w:rsidRDefault="00421F96" w:rsidP="001539C4">
      <w:pPr>
        <w:jc w:val="both"/>
      </w:pPr>
      <w:r w:rsidRPr="000C7559">
        <w:t>2.4. Materiały do wypełnienia szczelin dylatacyjnych</w:t>
      </w:r>
    </w:p>
    <w:p w:rsidR="00EA3F52" w:rsidRPr="000C7559" w:rsidRDefault="00421F96" w:rsidP="001539C4">
      <w:pPr>
        <w:jc w:val="both"/>
      </w:pPr>
      <w:r w:rsidRPr="000C7559">
        <w:t>Do uszczelniania szczelin dylatacyjnych można stosować masy zalewowe na stosowane na gorąco lub stosowane na zimno.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 xml:space="preserve">Masy zalewowe stosowane na gorąco powinny spełniać wymagania PN-EN 14188-1 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Masy zalewowe stosowane na zimno powinny spełniać wymagania PN-EN 14188-2.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 xml:space="preserve">3. Sprzęt </w:t>
      </w:r>
    </w:p>
    <w:p w:rsidR="00EA3F52" w:rsidRPr="000C7559" w:rsidRDefault="00421F96" w:rsidP="001539C4">
      <w:pPr>
        <w:jc w:val="both"/>
      </w:pPr>
      <w:r w:rsidRPr="000C7559">
        <w:t xml:space="preserve">Ogólne wymagania dotyczące sprzętu podano w </w:t>
      </w:r>
      <w:r w:rsidR="00741101">
        <w:t>SST</w:t>
      </w:r>
      <w:r w:rsidRPr="000C7559">
        <w:t xml:space="preserve"> D-M.00.00.00. „Wymagania ogólne”.</w:t>
      </w:r>
    </w:p>
    <w:p w:rsidR="00EA3F52" w:rsidRPr="000C7559" w:rsidRDefault="00421F96" w:rsidP="001539C4">
      <w:pPr>
        <w:jc w:val="both"/>
      </w:pPr>
      <w:r w:rsidRPr="000C7559">
        <w:t>Roboty można wykonywać ręcznie przy pomocy drobnego sprzętu z zastosowaniem:</w:t>
      </w:r>
    </w:p>
    <w:p w:rsidR="00EA3F52" w:rsidRPr="000C7559" w:rsidRDefault="00421F96" w:rsidP="001539C4">
      <w:pPr>
        <w:jc w:val="both"/>
      </w:pPr>
      <w:r w:rsidRPr="000C7559">
        <w:t>betoniarek do wytwarzania zapraw oraz przygotowania podsypki cementowo-piaskowej,</w:t>
      </w:r>
    </w:p>
    <w:p w:rsidR="00EA3F52" w:rsidRPr="000C7559" w:rsidRDefault="00421F96" w:rsidP="001539C4">
      <w:pPr>
        <w:jc w:val="both"/>
      </w:pPr>
      <w:r w:rsidRPr="000C7559">
        <w:t>wibratorów płytowych, ubijaków ręcznych lub mechanicznych.</w:t>
      </w:r>
    </w:p>
    <w:p w:rsidR="00EA3F52" w:rsidRPr="000C7559" w:rsidRDefault="00421F96" w:rsidP="001539C4">
      <w:pPr>
        <w:jc w:val="both"/>
      </w:pPr>
      <w:r w:rsidRPr="000C7559">
        <w:t>Do wytwarzania betonu na ławy:</w:t>
      </w:r>
    </w:p>
    <w:p w:rsidR="00EA3F52" w:rsidRPr="000C7559" w:rsidRDefault="00421F96" w:rsidP="001539C4">
      <w:pPr>
        <w:pStyle w:val="Akapitzlist"/>
        <w:numPr>
          <w:ilvl w:val="0"/>
          <w:numId w:val="29"/>
        </w:numPr>
        <w:ind w:hanging="153"/>
        <w:jc w:val="both"/>
      </w:pPr>
      <w:r w:rsidRPr="000C7559">
        <w:t>wytwórnia stacjonarne do wytwarzania mieszanki betonowej wyposażona w urządzenia do wagowego dozowania składników,</w:t>
      </w:r>
    </w:p>
    <w:p w:rsidR="00EA3F52" w:rsidRPr="000C7559" w:rsidRDefault="00421F96" w:rsidP="001539C4">
      <w:pPr>
        <w:pStyle w:val="Akapitzlist"/>
        <w:numPr>
          <w:ilvl w:val="0"/>
          <w:numId w:val="29"/>
        </w:numPr>
        <w:ind w:hanging="153"/>
        <w:jc w:val="both"/>
      </w:pPr>
      <w:r w:rsidRPr="000C7559">
        <w:t>samochody samowyładowcze do transportu wyprodukowanej mieszanki betonowej.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4. Transport</w:t>
      </w:r>
    </w:p>
    <w:p w:rsidR="00EA3F52" w:rsidRPr="000C7559" w:rsidRDefault="00421F96" w:rsidP="001539C4">
      <w:pPr>
        <w:jc w:val="both"/>
      </w:pPr>
      <w:r w:rsidRPr="000C7559">
        <w:t xml:space="preserve">Ogólne wymagania dotyczące transportu podano w </w:t>
      </w:r>
      <w:r w:rsidR="00741101">
        <w:t>SST</w:t>
      </w:r>
      <w:r w:rsidRPr="000C7559">
        <w:t xml:space="preserve"> D-M.00.00.00. „Wymagania ogólne”.</w:t>
      </w:r>
    </w:p>
    <w:p w:rsidR="00EA3F52" w:rsidRPr="000C7559" w:rsidRDefault="00421F96" w:rsidP="001539C4">
      <w:pPr>
        <w:jc w:val="both"/>
      </w:pPr>
      <w:r w:rsidRPr="000C7559">
        <w:t>Krawężniki mogą być przewożone dowolnymi środkami transportu; w trakcie transportu powinny być zabezpieczone przed przemieszczaniem się i uszkodzeniem. Należy je układać na podkładach i przekładkach drewnianych długością w kierunku osi podłużnej środka transportowego. Sposób ich załadunku na środki transportowe i zabezpieczenie przed przesunięciem w czasie jazdy powinny być zgodne z obowiązującymi przepisami.</w:t>
      </w:r>
    </w:p>
    <w:p w:rsidR="00EA3F52" w:rsidRPr="000C7559" w:rsidRDefault="00421F96" w:rsidP="001539C4">
      <w:pPr>
        <w:jc w:val="both"/>
      </w:pPr>
      <w:r w:rsidRPr="000C7559">
        <w:t>Wyprodukowaną mieszankę betonową należy dostarczać na budowę w warunkach zabezpieczających przed wysychaniem, wpływami atmosferycznymi i segregacją.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5. Wykonanie Robót</w:t>
      </w:r>
    </w:p>
    <w:p w:rsidR="00EA3F52" w:rsidRPr="000C7559" w:rsidRDefault="00421F96" w:rsidP="001539C4">
      <w:pPr>
        <w:jc w:val="both"/>
      </w:pPr>
      <w:r w:rsidRPr="000C7559">
        <w:t xml:space="preserve">Ogólne zasady wykonywania Robót podano w </w:t>
      </w:r>
      <w:r w:rsidR="00741101">
        <w:t>SST</w:t>
      </w:r>
      <w:r w:rsidRPr="000C7559">
        <w:t xml:space="preserve"> D-M.00.00.00 „Wymagania ogólne”.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5.1. Wykonanie koryta pod ławę</w:t>
      </w:r>
    </w:p>
    <w:p w:rsidR="00EA3F52" w:rsidRPr="000C7559" w:rsidRDefault="00421F96" w:rsidP="001539C4">
      <w:pPr>
        <w:jc w:val="both"/>
      </w:pPr>
      <w:r w:rsidRPr="000C7559">
        <w:t>Roboty ziemne (wykopy) związane z wykonaniem koryta gruntowego pod ławę betonową z oporem, wykonane będę ręcznie. Geometria wykopu oraz głębokość dostosowana do wymiarów ław i krawężników.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5.2. Wykonanie ławy pod krawężnik</w:t>
      </w:r>
    </w:p>
    <w:p w:rsidR="00EA3F52" w:rsidRPr="000C7559" w:rsidRDefault="00421F96" w:rsidP="001539C4">
      <w:pPr>
        <w:jc w:val="both"/>
      </w:pPr>
      <w:r w:rsidRPr="000C7559">
        <w:t xml:space="preserve">Ławę betonową z oporem należy wykonać w szalowaniu. Wymiary ławy betonowej dostosowane do prefabrykatu krawężnika. 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klasa konsystencji mieszanki betonowej powinna wynosić S1 lub S2 według metody opadu stożka.</w:t>
      </w:r>
    </w:p>
    <w:p w:rsidR="00EA3F52" w:rsidRPr="000C7559" w:rsidRDefault="00421F96" w:rsidP="001539C4">
      <w:pPr>
        <w:jc w:val="both"/>
      </w:pPr>
      <w:r w:rsidRPr="000C7559">
        <w:t xml:space="preserve">W miejscach, gdzie przewiduje się ułożenie ścieku </w:t>
      </w:r>
      <w:proofErr w:type="spellStart"/>
      <w:r w:rsidRPr="000C7559">
        <w:t>przykrawężnikowego</w:t>
      </w:r>
      <w:proofErr w:type="spellEnd"/>
      <w:r w:rsidRPr="000C7559">
        <w:t xml:space="preserve"> wymiary ławy betonowej poszerzone o szerokość zewnętrzną ścieku zgodnie z dokumentacją.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t>Wykonanie ławy betonowej polega na rozścieleniu dowiezionego betonu oraz odpowiednim jego zagęszczeniu i</w:t>
      </w:r>
      <w:r w:rsidRPr="000C7559">
        <w:rPr>
          <w:snapToGrid/>
        </w:rPr>
        <w:t xml:space="preserve"> wyrównany, zgodnie z wymaganiami normy PN-EN 13670.</w:t>
      </w:r>
    </w:p>
    <w:p w:rsidR="00EA3F52" w:rsidRPr="000C7559" w:rsidRDefault="00421F96" w:rsidP="001539C4">
      <w:pPr>
        <w:jc w:val="both"/>
      </w:pPr>
      <w:r w:rsidRPr="000C7559">
        <w:t xml:space="preserve">Co 50m wykonać szczeliny dylatacyjne wypełnione bitumiczną masą zalewową. </w:t>
      </w:r>
    </w:p>
    <w:p w:rsidR="00EA3F52" w:rsidRPr="000C7559" w:rsidRDefault="00421F96" w:rsidP="001539C4">
      <w:pPr>
        <w:jc w:val="both"/>
      </w:pPr>
      <w:r w:rsidRPr="000C7559">
        <w:t>Bezpośrednio po zagęszczeniu beton należy zabezpieczyć przed wyparowaniem wody. Pielęgnację należy rozpocząć przed upływem 90 min. Poprzez kilkakrotne zwilżanie wodą w ciągu dnia w czasie, co najmniej 3 dni do 7 dni w czasie suchej pogody.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5.3. Wykonanie podsypki cementowo-piaskowej pod krawężnik</w:t>
      </w:r>
    </w:p>
    <w:p w:rsidR="00EA3F52" w:rsidRPr="000C7559" w:rsidRDefault="00421F96" w:rsidP="001539C4">
      <w:pPr>
        <w:jc w:val="both"/>
      </w:pPr>
      <w:r w:rsidRPr="000C7559">
        <w:t>Na wykonanej ławie betonowej należy rozścielić ręcznie podsypkę cementowo-piaskową o grubości podanej w dokumentacji projektowej, celem prawidłowego osadzenia krawężnika.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5.4. Ustawienie krawężników</w:t>
      </w:r>
    </w:p>
    <w:p w:rsidR="00EA3F52" w:rsidRPr="000C7559" w:rsidRDefault="00421F96" w:rsidP="001539C4">
      <w:pPr>
        <w:jc w:val="both"/>
      </w:pPr>
      <w:r w:rsidRPr="000C7559">
        <w:t xml:space="preserve">Krawężniki należy wykonywać ze spoinami szerokości </w:t>
      </w:r>
      <w:smartTag w:uri="urn:schemas-microsoft-com:office:smarttags" w:element="metricconverter">
        <w:smartTagPr>
          <w:attr w:name="ProductID" w:val="5 mm"/>
        </w:smartTagPr>
        <w:r w:rsidRPr="000C7559">
          <w:t>5 mm</w:t>
        </w:r>
      </w:smartTag>
      <w:r w:rsidRPr="000C7559">
        <w:t xml:space="preserve"> minimum, co 50m stosować szczeliny dylatacyjne nad szczelinami dylatacyjnymi ławy betonowej.</w:t>
      </w:r>
    </w:p>
    <w:p w:rsidR="00EA3F52" w:rsidRPr="000C7559" w:rsidRDefault="00421F96" w:rsidP="001539C4">
      <w:pPr>
        <w:jc w:val="both"/>
      </w:pPr>
      <w:r w:rsidRPr="000C7559">
        <w:t>Szczeliny nie wymagają wypełnienia.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W przypadku konieczności uszczelnienia połączeń między krawężnikami spoina powinna być wypełniona masami elastycznymi przeznaczonymi do nawierzchni brukowych. Nie należy wypełniać spoin materiałami sztywnymi.</w:t>
      </w:r>
    </w:p>
    <w:p w:rsidR="00EA3F52" w:rsidRPr="000C7559" w:rsidRDefault="00421F96" w:rsidP="001539C4">
      <w:pPr>
        <w:jc w:val="both"/>
      </w:pPr>
      <w:r w:rsidRPr="000C7559">
        <w:t>Przy układaniu krawężników na łukach do R≤3m należy stosować wyokrąglone elementy prefabrykowane.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6. Kontrola jakości Robót</w:t>
      </w:r>
    </w:p>
    <w:p w:rsidR="00EA3F52" w:rsidRPr="000C7559" w:rsidRDefault="00421F96" w:rsidP="001539C4">
      <w:pPr>
        <w:jc w:val="both"/>
      </w:pPr>
      <w:r w:rsidRPr="000C7559">
        <w:t xml:space="preserve">Ogólne zasady kontroli jakości Robót podano w </w:t>
      </w:r>
      <w:r w:rsidR="00741101">
        <w:t>SST</w:t>
      </w:r>
      <w:r w:rsidRPr="000C7559">
        <w:t xml:space="preserve"> D-M.00.00.00 „Wymagania ogólne”.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6.1. Badania przed przystąpieniem do robót</w:t>
      </w:r>
    </w:p>
    <w:p w:rsidR="00EA3F52" w:rsidRPr="000C7559" w:rsidRDefault="00421F96" w:rsidP="001539C4">
      <w:pPr>
        <w:jc w:val="both"/>
      </w:pPr>
      <w:r w:rsidRPr="000C7559">
        <w:t>Przed przystąpieniem do robót Wykonawca powinien:</w:t>
      </w:r>
    </w:p>
    <w:p w:rsidR="00EA3F52" w:rsidRPr="000C7559" w:rsidRDefault="00421F96" w:rsidP="001539C4">
      <w:pPr>
        <w:pStyle w:val="Akapitzlist"/>
        <w:numPr>
          <w:ilvl w:val="0"/>
          <w:numId w:val="30"/>
        </w:numPr>
        <w:ind w:hanging="153"/>
        <w:jc w:val="both"/>
      </w:pPr>
      <w:r w:rsidRPr="000C7559">
        <w:t>uzyskać wymagane dokumenty, dopuszczające wyroby budowlane do obrotu i powszechnego stosowania (certyfikaty zgodności, deklarację właściwości użytkowych, ew. badania materiałów wykonane przez dostawców itp.),</w:t>
      </w:r>
    </w:p>
    <w:p w:rsidR="00EA3F52" w:rsidRPr="000C7559" w:rsidRDefault="00421F96" w:rsidP="001539C4">
      <w:pPr>
        <w:pStyle w:val="Akapitzlist"/>
        <w:numPr>
          <w:ilvl w:val="0"/>
          <w:numId w:val="30"/>
        </w:numPr>
        <w:ind w:hanging="153"/>
        <w:jc w:val="both"/>
      </w:pPr>
      <w:r w:rsidRPr="000C7559">
        <w:lastRenderedPageBreak/>
        <w:t>sprawdzić  cechy zewnętrzne  gotowych materiałów.</w:t>
      </w:r>
    </w:p>
    <w:p w:rsidR="00EA3F52" w:rsidRPr="000C7559" w:rsidRDefault="00421F96" w:rsidP="001539C4">
      <w:pPr>
        <w:jc w:val="both"/>
      </w:pPr>
      <w:r w:rsidRPr="000C7559">
        <w:t>Wszystkie dokumenty oraz wyniki badań Wykonawca przedstawia Inżynierowi do akceptacji.</w:t>
      </w:r>
    </w:p>
    <w:p w:rsidR="00EA3F52" w:rsidRPr="003501BD" w:rsidRDefault="00421F96" w:rsidP="001539C4">
      <w:pPr>
        <w:jc w:val="both"/>
        <w:rPr>
          <w:b/>
        </w:rPr>
      </w:pPr>
      <w:r w:rsidRPr="003501BD">
        <w:rPr>
          <w:b/>
        </w:rPr>
        <w:t>6.2. Badania w czasie wykonywania robót</w:t>
      </w:r>
    </w:p>
    <w:p w:rsidR="00EA3F52" w:rsidRPr="000C7559" w:rsidRDefault="00421F96" w:rsidP="001539C4">
      <w:pPr>
        <w:jc w:val="both"/>
        <w:rPr>
          <w:snapToGrid/>
        </w:rPr>
      </w:pPr>
      <w:r w:rsidRPr="003501BD">
        <w:rPr>
          <w:b/>
          <w:snapToGrid/>
        </w:rPr>
        <w:t>6.2.1</w:t>
      </w:r>
      <w:r w:rsidRPr="000C7559">
        <w:rPr>
          <w:snapToGrid/>
        </w:rPr>
        <w:t xml:space="preserve"> Badania odbiorcze krawężników 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Badania odbiorcze krawężników oparto o normę PN-EN 1340 Załącznik B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Rozróżnia się dwa przypadki: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Przypadek I: Wyrób nie został poddany ocenie zgodności przez stronę trzecią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Przypadek II: Wyrób został poddany ocenie zgodności przez stronę trzecią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W przypadku wątpliwości badać tylko sporne właściwości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Krawężniki do badań powinny być reprezentatywne dla dostawy i powinny być pobrane równomiernie z całej dostawy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 xml:space="preserve">Liczba krawężników przeznaczonych do pobrania z każdej partii powinna być zgodna </w:t>
      </w: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z Tablicą 2</w:t>
      </w:r>
    </w:p>
    <w:p w:rsidR="00EA3F52" w:rsidRPr="003501BD" w:rsidRDefault="00EA3F52" w:rsidP="001539C4">
      <w:pPr>
        <w:jc w:val="both"/>
        <w:rPr>
          <w:snapToGrid/>
          <w:sz w:val="10"/>
          <w:szCs w:val="10"/>
        </w:rPr>
      </w:pPr>
    </w:p>
    <w:p w:rsidR="00EA3F52" w:rsidRPr="000C7559" w:rsidRDefault="00421F96" w:rsidP="001539C4">
      <w:pPr>
        <w:jc w:val="both"/>
        <w:rPr>
          <w:snapToGrid/>
        </w:rPr>
      </w:pPr>
      <w:r w:rsidRPr="000C7559">
        <w:rPr>
          <w:snapToGrid/>
        </w:rPr>
        <w:t>Tablica 2: Plan pobierania próbek do badań odbiorczych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508"/>
        <w:gridCol w:w="2135"/>
        <w:gridCol w:w="1785"/>
      </w:tblGrid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Właściwość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Metoda badania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Przypadek I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Przypadek II</w:t>
            </w:r>
            <w:r w:rsidR="00421F96" w:rsidRPr="000C7559">
              <w:rPr>
                <w:snapToGrid/>
                <w:vertAlign w:val="superscript"/>
              </w:rPr>
              <w:t>3)</w:t>
            </w:r>
          </w:p>
        </w:tc>
      </w:tr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Wygląd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J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8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4 (16)</w:t>
            </w:r>
            <w:r w:rsidR="00421F96" w:rsidRPr="000C7559">
              <w:rPr>
                <w:snapToGrid/>
                <w:vertAlign w:val="superscript"/>
              </w:rPr>
              <w:t>1)</w:t>
            </w:r>
          </w:p>
        </w:tc>
      </w:tr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Grubość warstwy ścieralnej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C.6</w:t>
            </w:r>
            <w:r w:rsidR="00421F96" w:rsidRPr="000C7559">
              <w:rPr>
                <w:snapToGrid/>
                <w:vertAlign w:val="superscript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8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4 (16)</w:t>
            </w:r>
          </w:p>
        </w:tc>
      </w:tr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Kształt i wymiary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C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8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4 (16)</w:t>
            </w:r>
            <w:r w:rsidR="00421F96" w:rsidRPr="000C7559">
              <w:rPr>
                <w:snapToGrid/>
                <w:vertAlign w:val="superscript"/>
              </w:rPr>
              <w:t>1)</w:t>
            </w:r>
          </w:p>
        </w:tc>
      </w:tr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Wytrzymałość na zginanie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F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8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4 (16)</w:t>
            </w:r>
          </w:p>
        </w:tc>
      </w:tr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ścieranie</w:t>
            </w:r>
            <w:r w:rsidR="00421F96" w:rsidRPr="000C7559">
              <w:rPr>
                <w:snapToGrid/>
                <w:vertAlign w:val="superscript"/>
              </w:rPr>
              <w:t>4)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G lub H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</w:t>
            </w:r>
          </w:p>
        </w:tc>
      </w:tr>
      <w:tr w:rsidR="00EA3F52" w:rsidRPr="000C7559"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poślizg/poślizgnięcie</w:t>
            </w:r>
            <w:r w:rsidRPr="000C7559">
              <w:rPr>
                <w:snapToGrid/>
                <w:vertAlign w:val="superscript"/>
              </w:rPr>
              <w:t>4)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I</w:t>
            </w:r>
          </w:p>
        </w:tc>
        <w:tc>
          <w:tcPr>
            <w:tcW w:w="2268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5</w:t>
            </w:r>
          </w:p>
        </w:tc>
        <w:tc>
          <w:tcPr>
            <w:tcW w:w="1875" w:type="dxa"/>
            <w:shd w:val="clear" w:color="auto" w:fill="auto"/>
          </w:tcPr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5</w:t>
            </w:r>
            <w:r w:rsidR="00421F96" w:rsidRPr="000C7559">
              <w:rPr>
                <w:snapToGrid/>
                <w:vertAlign w:val="superscript"/>
              </w:rPr>
              <w:t>1)</w:t>
            </w:r>
          </w:p>
        </w:tc>
      </w:tr>
      <w:tr w:rsidR="00EA3F52" w:rsidRPr="000C7559" w:rsidTr="003501BD">
        <w:trPr>
          <w:trHeight w:val="1433"/>
        </w:trPr>
        <w:tc>
          <w:tcPr>
            <w:tcW w:w="2943" w:type="dxa"/>
            <w:shd w:val="clear" w:color="auto" w:fill="auto"/>
          </w:tcPr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warunki atmosferyczne</w:t>
            </w: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 xml:space="preserve">Nasiąkliwość </w:t>
            </w: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Odporność na zamrażanie/rozmrażanie z udziałem soli odladzającej</w:t>
            </w:r>
            <w:r w:rsidRPr="000C7559">
              <w:rPr>
                <w:snapToGrid/>
                <w:vertAlign w:val="superscript"/>
              </w:rPr>
              <w:t>4)</w:t>
            </w:r>
          </w:p>
        </w:tc>
        <w:tc>
          <w:tcPr>
            <w:tcW w:w="2694" w:type="dxa"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E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Załącznik D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2268" w:type="dxa"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</w:t>
            </w:r>
            <w:r w:rsidR="00421F96" w:rsidRPr="000C7559">
              <w:rPr>
                <w:snapToGrid/>
                <w:vertAlign w:val="superscript"/>
              </w:rPr>
              <w:t>5)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  <w:tc>
          <w:tcPr>
            <w:tcW w:w="1875" w:type="dxa"/>
            <w:shd w:val="clear" w:color="auto" w:fill="auto"/>
          </w:tcPr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1F69B1" w:rsidP="001539C4">
            <w:pPr>
              <w:jc w:val="both"/>
              <w:rPr>
                <w:snapToGrid/>
              </w:rPr>
            </w:pPr>
            <w:r w:rsidRPr="000C7559">
              <w:rPr>
                <w:snapToGrid/>
              </w:rPr>
              <w:t>3</w:t>
            </w:r>
            <w:r w:rsidR="00421F96" w:rsidRPr="000C7559">
              <w:rPr>
                <w:snapToGrid/>
                <w:vertAlign w:val="superscript"/>
              </w:rPr>
              <w:t>5)</w:t>
            </w: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  <w:p w:rsidR="00EA3F52" w:rsidRPr="000C7559" w:rsidRDefault="00EA3F52" w:rsidP="001539C4">
            <w:pPr>
              <w:jc w:val="both"/>
              <w:rPr>
                <w:snapToGrid/>
              </w:rPr>
            </w:pPr>
          </w:p>
        </w:tc>
      </w:tr>
      <w:tr w:rsidR="00EA3F52" w:rsidRPr="000C7559">
        <w:tc>
          <w:tcPr>
            <w:tcW w:w="9780" w:type="dxa"/>
            <w:gridSpan w:val="4"/>
            <w:shd w:val="clear" w:color="auto" w:fill="auto"/>
          </w:tcPr>
          <w:p w:rsidR="00EA3F52" w:rsidRPr="001539C4" w:rsidRDefault="00421F96" w:rsidP="001539C4">
            <w:pPr>
              <w:jc w:val="both"/>
              <w:rPr>
                <w:snapToGrid/>
                <w:sz w:val="16"/>
                <w:szCs w:val="16"/>
              </w:rPr>
            </w:pPr>
            <w:r w:rsidRPr="001539C4">
              <w:rPr>
                <w:snapToGrid/>
                <w:sz w:val="16"/>
                <w:szCs w:val="16"/>
              </w:rPr>
              <w:t>te krawężniki mogą być użyte  do dalszych badań</w:t>
            </w:r>
          </w:p>
          <w:p w:rsidR="00EA3F52" w:rsidRPr="001539C4" w:rsidRDefault="00421F96" w:rsidP="001539C4">
            <w:pPr>
              <w:jc w:val="both"/>
              <w:rPr>
                <w:snapToGrid/>
                <w:sz w:val="16"/>
                <w:szCs w:val="16"/>
              </w:rPr>
            </w:pPr>
            <w:r w:rsidRPr="001539C4">
              <w:rPr>
                <w:snapToGrid/>
                <w:sz w:val="16"/>
                <w:szCs w:val="16"/>
              </w:rPr>
              <w:t>punkt C.6 2) stosuje się tylko do krawężników z warstwą ścieralną</w:t>
            </w:r>
          </w:p>
          <w:p w:rsidR="00EA3F52" w:rsidRPr="001539C4" w:rsidRDefault="00421F96" w:rsidP="001539C4">
            <w:pPr>
              <w:jc w:val="both"/>
              <w:rPr>
                <w:snapToGrid/>
                <w:sz w:val="16"/>
                <w:szCs w:val="16"/>
              </w:rPr>
            </w:pPr>
            <w:r w:rsidRPr="001539C4">
              <w:rPr>
                <w:snapToGrid/>
                <w:sz w:val="16"/>
                <w:szCs w:val="16"/>
              </w:rPr>
              <w:t>liczba w nawiasie odpowiada liczbie , która powinna być pobrana z partii w celu uniknięcia powtórnego pobierania próbek w przypadku gdy według kryteriów zgodności należy zbadać dodatkowe krawężniki w celu dokonania oceny zgodności</w:t>
            </w:r>
          </w:p>
          <w:p w:rsidR="00EA3F52" w:rsidRPr="001539C4" w:rsidRDefault="00421F96" w:rsidP="001539C4">
            <w:pPr>
              <w:jc w:val="both"/>
              <w:rPr>
                <w:snapToGrid/>
                <w:sz w:val="16"/>
                <w:szCs w:val="16"/>
              </w:rPr>
            </w:pPr>
            <w:r w:rsidRPr="001539C4">
              <w:rPr>
                <w:snapToGrid/>
                <w:sz w:val="16"/>
                <w:szCs w:val="16"/>
              </w:rPr>
              <w:t>Badanie wymagane w przypadku wątpliwości lub sytuacji spornej</w:t>
            </w:r>
          </w:p>
          <w:p w:rsidR="00EA3F52" w:rsidRPr="000C7559" w:rsidRDefault="00421F96" w:rsidP="001539C4">
            <w:pPr>
              <w:jc w:val="both"/>
              <w:rPr>
                <w:snapToGrid/>
              </w:rPr>
            </w:pPr>
            <w:r w:rsidRPr="001539C4">
              <w:rPr>
                <w:snapToGrid/>
                <w:sz w:val="16"/>
                <w:szCs w:val="16"/>
              </w:rPr>
              <w:t>W przypadku krawężników dwuwarstwowych badaniu należy poddać po 3 próbki dla warstwy fakturowej i konstrukcyjnej</w:t>
            </w:r>
          </w:p>
        </w:tc>
      </w:tr>
    </w:tbl>
    <w:p w:rsidR="00EA3F52" w:rsidRPr="003501BD" w:rsidRDefault="00EA3F52" w:rsidP="001539C4">
      <w:pPr>
        <w:jc w:val="both"/>
        <w:rPr>
          <w:sz w:val="10"/>
          <w:szCs w:val="10"/>
        </w:rPr>
      </w:pPr>
    </w:p>
    <w:p w:rsidR="00EA3F52" w:rsidRPr="000C7559" w:rsidRDefault="00421F96" w:rsidP="001539C4">
      <w:pPr>
        <w:jc w:val="both"/>
      </w:pPr>
      <w:r w:rsidRPr="003501BD">
        <w:rPr>
          <w:b/>
        </w:rPr>
        <w:t>6.2.2.</w:t>
      </w:r>
      <w:r w:rsidRPr="000C7559">
        <w:t xml:space="preserve"> Kontrola wykonania ławy betonowej. </w:t>
      </w:r>
    </w:p>
    <w:p w:rsidR="00EA3F52" w:rsidRPr="000C7559" w:rsidRDefault="00421F96" w:rsidP="001539C4">
      <w:pPr>
        <w:jc w:val="both"/>
      </w:pPr>
      <w:r w:rsidRPr="000C7559">
        <w:t xml:space="preserve">Należy sprawdzić co 20 </w:t>
      </w:r>
      <w:proofErr w:type="spellStart"/>
      <w:r w:rsidRPr="000C7559">
        <w:t>mb</w:t>
      </w:r>
      <w:proofErr w:type="spellEnd"/>
      <w:r w:rsidRPr="000C7559">
        <w:t>:</w:t>
      </w:r>
    </w:p>
    <w:p w:rsidR="00EA3F52" w:rsidRPr="000C7559" w:rsidRDefault="00421F96" w:rsidP="001539C4">
      <w:pPr>
        <w:jc w:val="both"/>
      </w:pPr>
      <w:r w:rsidRPr="000C7559">
        <w:t xml:space="preserve">zgodność profilu podłużnego górnej powierzchni ławy z Dokumentacja Projektową; dopuszczalne odchyłki niwelety ławy  </w:t>
      </w:r>
      <w:r w:rsidRPr="000C7559">
        <w:sym w:font="Symbol" w:char="F0B1"/>
      </w:r>
      <w:r w:rsidRPr="000C7559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C7559">
          <w:t>1 cm</w:t>
        </w:r>
      </w:smartTag>
      <w:r w:rsidRPr="000C7559">
        <w:t xml:space="preserve"> na każde 100mb,</w:t>
      </w:r>
    </w:p>
    <w:p w:rsidR="00EA3F52" w:rsidRPr="000C7559" w:rsidRDefault="00421F96" w:rsidP="001539C4">
      <w:pPr>
        <w:jc w:val="both"/>
      </w:pPr>
      <w:r w:rsidRPr="000C7559">
        <w:t xml:space="preserve">odchylenie linii od projektowanego kierunku - nie może przekraczać </w:t>
      </w:r>
      <w:r w:rsidRPr="000C7559">
        <w:sym w:font="Symbol" w:char="F0B1"/>
      </w:r>
      <w:r w:rsidRPr="000C7559">
        <w:t xml:space="preserve"> 2 cm na każde 100 </w:t>
      </w:r>
      <w:proofErr w:type="spellStart"/>
      <w:r w:rsidRPr="000C7559">
        <w:t>mb</w:t>
      </w:r>
      <w:proofErr w:type="spellEnd"/>
      <w:r w:rsidRPr="000C7559">
        <w:t>,</w:t>
      </w:r>
    </w:p>
    <w:p w:rsidR="00EA3F52" w:rsidRPr="000C7559" w:rsidRDefault="00421F96" w:rsidP="001539C4">
      <w:pPr>
        <w:jc w:val="both"/>
      </w:pPr>
      <w:r w:rsidRPr="000C7559">
        <w:t>wymiary ławy , dopuszczalne odchyłki:</w:t>
      </w:r>
    </w:p>
    <w:p w:rsidR="00EA3F52" w:rsidRPr="000C7559" w:rsidRDefault="00421F96" w:rsidP="001539C4">
      <w:pPr>
        <w:jc w:val="both"/>
      </w:pPr>
      <w:r w:rsidRPr="000C7559">
        <w:t>- dla wysokości</w:t>
      </w:r>
      <w:r w:rsidRPr="000C7559">
        <w:tab/>
        <w:t xml:space="preserve">- </w:t>
      </w:r>
      <w:r w:rsidRPr="000C7559">
        <w:sym w:font="Symbol" w:char="F0B1"/>
      </w:r>
      <w:r w:rsidRPr="000C7559">
        <w:t xml:space="preserve"> 10% wysokości projektowanej,</w:t>
      </w:r>
    </w:p>
    <w:p w:rsidR="00EA3F52" w:rsidRPr="000C7559" w:rsidRDefault="00421F96" w:rsidP="001539C4">
      <w:pPr>
        <w:jc w:val="both"/>
      </w:pPr>
      <w:r w:rsidRPr="000C7559">
        <w:t>- dla szerokości</w:t>
      </w:r>
      <w:r w:rsidRPr="000C7559">
        <w:tab/>
        <w:t xml:space="preserve">- </w:t>
      </w:r>
      <w:r w:rsidRPr="000C7559">
        <w:sym w:font="Symbol" w:char="F0B1"/>
      </w:r>
      <w:r w:rsidRPr="000C7559">
        <w:t xml:space="preserve"> 20% szerokości projektowanej.</w:t>
      </w:r>
    </w:p>
    <w:p w:rsidR="00EA3F52" w:rsidRPr="000C7559" w:rsidRDefault="00421F96" w:rsidP="001539C4">
      <w:pPr>
        <w:jc w:val="both"/>
      </w:pPr>
      <w:r w:rsidRPr="000C7559">
        <w:t xml:space="preserve">równość górnej powierzchni ławy mierzona łatą </w:t>
      </w:r>
      <w:smartTag w:uri="urn:schemas-microsoft-com:office:smarttags" w:element="metricconverter">
        <w:smartTagPr>
          <w:attr w:name="ProductID" w:val="3 m"/>
        </w:smartTagPr>
        <w:r w:rsidRPr="000C7559">
          <w:t>3 m</w:t>
        </w:r>
      </w:smartTag>
      <w:r w:rsidRPr="000C7559">
        <w:t xml:space="preserve"> - nierówności nie mogą przekraczać </w:t>
      </w:r>
      <w:smartTag w:uri="urn:schemas-microsoft-com:office:smarttags" w:element="metricconverter">
        <w:smartTagPr>
          <w:attr w:name="ProductID" w:val="1 cm"/>
        </w:smartTagPr>
        <w:r w:rsidRPr="000C7559">
          <w:t>1 cm</w:t>
        </w:r>
      </w:smartTag>
      <w:r w:rsidRPr="000C7559">
        <w:t xml:space="preserve"> na każde 100 </w:t>
      </w:r>
      <w:proofErr w:type="spellStart"/>
      <w:r w:rsidRPr="000C7559">
        <w:t>mb</w:t>
      </w:r>
      <w:proofErr w:type="spellEnd"/>
      <w:r w:rsidRPr="000C7559">
        <w:t>.</w:t>
      </w:r>
    </w:p>
    <w:p w:rsidR="00EA3F52" w:rsidRPr="000C7559" w:rsidRDefault="00421F96" w:rsidP="001539C4">
      <w:pPr>
        <w:jc w:val="both"/>
      </w:pPr>
      <w:r w:rsidRPr="003501BD">
        <w:rPr>
          <w:b/>
        </w:rPr>
        <w:t>6.2.3.</w:t>
      </w:r>
      <w:r w:rsidRPr="000C7559">
        <w:t xml:space="preserve"> Kontrola ułożenia krawężników</w:t>
      </w:r>
    </w:p>
    <w:p w:rsidR="00EA3F52" w:rsidRPr="000C7559" w:rsidRDefault="00421F96" w:rsidP="001539C4">
      <w:pPr>
        <w:jc w:val="both"/>
      </w:pPr>
      <w:r w:rsidRPr="000C7559">
        <w:t xml:space="preserve">Należy sprawdzić co 20 </w:t>
      </w:r>
      <w:proofErr w:type="spellStart"/>
      <w:r w:rsidRPr="000C7559">
        <w:t>mb</w:t>
      </w:r>
      <w:proofErr w:type="spellEnd"/>
      <w:r w:rsidRPr="000C7559">
        <w:t xml:space="preserve"> :</w:t>
      </w:r>
    </w:p>
    <w:p w:rsidR="00EA3F52" w:rsidRPr="000C7559" w:rsidRDefault="00421F96" w:rsidP="001539C4">
      <w:pPr>
        <w:jc w:val="both"/>
      </w:pPr>
      <w:r w:rsidRPr="000C7559">
        <w:t xml:space="preserve">zgodność niwelety górnej płaszczyzny krawężników z Dokumentacją Projektową, dopuszczalne odchyłki niwelety </w:t>
      </w:r>
      <w:r w:rsidRPr="000C7559">
        <w:sym w:font="Symbol" w:char="F0B1"/>
      </w:r>
      <w:r w:rsidRPr="000C7559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C7559">
          <w:t>1 cm</w:t>
        </w:r>
      </w:smartTag>
      <w:r w:rsidRPr="000C7559">
        <w:t xml:space="preserve"> na każde 100 </w:t>
      </w:r>
      <w:proofErr w:type="spellStart"/>
      <w:r w:rsidRPr="000C7559">
        <w:t>mb</w:t>
      </w:r>
      <w:proofErr w:type="spellEnd"/>
      <w:r w:rsidRPr="000C7559">
        <w:t>,</w:t>
      </w:r>
    </w:p>
    <w:p w:rsidR="00EA3F52" w:rsidRPr="000C7559" w:rsidRDefault="00421F96" w:rsidP="001539C4">
      <w:pPr>
        <w:jc w:val="both"/>
      </w:pPr>
      <w:r w:rsidRPr="000C7559">
        <w:t xml:space="preserve">usytuowanie w planie - odchyłki nie mogą przekraczać </w:t>
      </w:r>
      <w:r w:rsidRPr="000C7559">
        <w:sym w:font="Symbol" w:char="F0B1"/>
      </w:r>
      <w:r w:rsidRPr="000C7559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C7559">
          <w:t>1 cm</w:t>
        </w:r>
      </w:smartTag>
      <w:r w:rsidRPr="000C7559">
        <w:t xml:space="preserve"> na każde 100 </w:t>
      </w:r>
      <w:proofErr w:type="spellStart"/>
      <w:r w:rsidRPr="000C7559">
        <w:t>mb</w:t>
      </w:r>
      <w:proofErr w:type="spellEnd"/>
      <w:r w:rsidRPr="000C7559">
        <w:t>,</w:t>
      </w:r>
    </w:p>
    <w:p w:rsidR="00EA3F52" w:rsidRPr="000C7559" w:rsidRDefault="00421F96" w:rsidP="001539C4">
      <w:pPr>
        <w:jc w:val="both"/>
      </w:pPr>
      <w:r w:rsidRPr="000C7559">
        <w:t xml:space="preserve">równość górnej powierzchni krawężników mierzona łatą </w:t>
      </w:r>
      <w:smartTag w:uri="urn:schemas-microsoft-com:office:smarttags" w:element="metricconverter">
        <w:smartTagPr>
          <w:attr w:name="ProductID" w:val="3 m"/>
        </w:smartTagPr>
        <w:r w:rsidRPr="000C7559">
          <w:t>3 m</w:t>
        </w:r>
      </w:smartTag>
      <w:r w:rsidRPr="000C7559">
        <w:t xml:space="preserve"> - nierówności nie mogą przekraczać 0,5cm na każde 100mb;</w:t>
      </w:r>
    </w:p>
    <w:p w:rsidR="00EA3F52" w:rsidRPr="000C7559" w:rsidRDefault="00421F96" w:rsidP="001539C4">
      <w:pPr>
        <w:jc w:val="both"/>
        <w:rPr>
          <w:b/>
        </w:rPr>
      </w:pPr>
      <w:bookmarkStart w:id="1" w:name="_Toc428169263"/>
      <w:bookmarkStart w:id="2" w:name="_Toc428323653"/>
      <w:bookmarkStart w:id="3" w:name="_Toc428759427"/>
      <w:r w:rsidRPr="000C7559">
        <w:rPr>
          <w:b/>
        </w:rPr>
        <w:t>7. Obmiar robót</w:t>
      </w:r>
      <w:bookmarkEnd w:id="1"/>
      <w:bookmarkEnd w:id="2"/>
      <w:bookmarkEnd w:id="3"/>
    </w:p>
    <w:p w:rsidR="00EA3F52" w:rsidRPr="000C7559" w:rsidRDefault="00421F96" w:rsidP="001539C4">
      <w:pPr>
        <w:jc w:val="both"/>
      </w:pPr>
      <w:bookmarkStart w:id="4" w:name="_Toc428169264"/>
      <w:bookmarkStart w:id="5" w:name="_Toc428323654"/>
      <w:bookmarkStart w:id="6" w:name="_Toc428759428"/>
      <w:r w:rsidRPr="000C7559">
        <w:t xml:space="preserve">Kontrakt ryczałtowy – jednostką obmiaru jest wykonana i odebrana protokołem Odbioru Końcowego jednostka określona w </w:t>
      </w:r>
      <w:r w:rsidR="001C4D59">
        <w:t>SST</w:t>
      </w:r>
      <w:r w:rsidRPr="000C7559">
        <w:t>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8. Odbiór robót</w:t>
      </w:r>
      <w:bookmarkEnd w:id="4"/>
      <w:bookmarkEnd w:id="5"/>
      <w:bookmarkEnd w:id="6"/>
    </w:p>
    <w:p w:rsidR="00EA3F52" w:rsidRPr="000C7559" w:rsidRDefault="00421F96" w:rsidP="001539C4">
      <w:pPr>
        <w:jc w:val="both"/>
      </w:pPr>
      <w:r w:rsidRPr="000C7559">
        <w:t xml:space="preserve">Ogólne zasady odbioru robót podano w </w:t>
      </w:r>
      <w:r w:rsidR="001C4D59">
        <w:t>SST</w:t>
      </w:r>
      <w:r w:rsidRPr="000C7559">
        <w:t xml:space="preserve"> D-M-00.00.00 „Wymagania ogólne”.</w:t>
      </w:r>
    </w:p>
    <w:p w:rsidR="00EA3F52" w:rsidRPr="000C7559" w:rsidRDefault="00421F96" w:rsidP="001539C4">
      <w:pPr>
        <w:jc w:val="both"/>
      </w:pPr>
      <w:r w:rsidRPr="000C7559">
        <w:t xml:space="preserve">Roboty uznaje się za wykonane zgodnie z dokumentacją projektową, </w:t>
      </w:r>
      <w:r w:rsidR="001C4D59">
        <w:t>SST</w:t>
      </w:r>
      <w:r w:rsidRPr="000C7559">
        <w:t xml:space="preserve"> i wymaganiami Inżyniera, jeżeli wszystkie pomiary i badania z zachowaniem tolerancji wg pkt 6 dały wyniki pozytywne.</w:t>
      </w:r>
    </w:p>
    <w:p w:rsidR="00EA3F52" w:rsidRPr="000C7559" w:rsidRDefault="00421F96" w:rsidP="001539C4">
      <w:pPr>
        <w:jc w:val="both"/>
        <w:rPr>
          <w:b/>
        </w:rPr>
      </w:pPr>
      <w:bookmarkStart w:id="7" w:name="_Toc428169265"/>
      <w:bookmarkStart w:id="8" w:name="_Toc428323655"/>
      <w:bookmarkStart w:id="9" w:name="_Toc428759429"/>
      <w:r w:rsidRPr="000C7559">
        <w:rPr>
          <w:b/>
        </w:rPr>
        <w:t>9. Podstawa płatności</w:t>
      </w:r>
      <w:bookmarkEnd w:id="7"/>
      <w:bookmarkEnd w:id="8"/>
      <w:bookmarkEnd w:id="9"/>
    </w:p>
    <w:p w:rsidR="00EA3F52" w:rsidRPr="000C7559" w:rsidRDefault="00421F96" w:rsidP="001539C4">
      <w:pPr>
        <w:jc w:val="both"/>
      </w:pPr>
      <w:r w:rsidRPr="000C7559">
        <w:t>Wynagrodzenie ryczałtowe: zasady płatności podano w umowie pomiędzy Zamawiającym a Wykonawcą.</w:t>
      </w:r>
    </w:p>
    <w:p w:rsidR="00EA3F52" w:rsidRPr="000C7559" w:rsidRDefault="00421F96" w:rsidP="001539C4">
      <w:pPr>
        <w:jc w:val="both"/>
        <w:rPr>
          <w:b/>
        </w:rPr>
      </w:pPr>
      <w:r w:rsidRPr="000C7559">
        <w:rPr>
          <w:b/>
        </w:rPr>
        <w:t>10. Przepisy związane</w:t>
      </w:r>
    </w:p>
    <w:p w:rsidR="00EA3F52" w:rsidRPr="000C7559" w:rsidRDefault="00421F96" w:rsidP="001539C4">
      <w:pPr>
        <w:jc w:val="both"/>
      </w:pPr>
      <w:r w:rsidRPr="000C7559">
        <w:rPr>
          <w:spacing w:val="-3"/>
          <w:lang w:val="de-DE"/>
        </w:rPr>
        <w:t>PN-EN  197-1</w:t>
      </w:r>
      <w:r w:rsidRPr="000C7559">
        <w:rPr>
          <w:spacing w:val="-3"/>
          <w:lang w:val="de-DE"/>
        </w:rPr>
        <w:tab/>
      </w:r>
      <w:proofErr w:type="spellStart"/>
      <w:r w:rsidRPr="000C7559">
        <w:rPr>
          <w:spacing w:val="-3"/>
          <w:lang w:val="de-DE"/>
        </w:rPr>
        <w:t>Cement</w:t>
      </w:r>
      <w:proofErr w:type="spellEnd"/>
      <w:r w:rsidRPr="000C7559">
        <w:rPr>
          <w:spacing w:val="-3"/>
          <w:lang w:val="de-DE"/>
        </w:rPr>
        <w:t xml:space="preserve">. </w:t>
      </w:r>
      <w:r w:rsidRPr="000C7559">
        <w:rPr>
          <w:spacing w:val="-3"/>
        </w:rPr>
        <w:t>Skład, wymagania i kryteria zgodności dotyczące cementów powszechnego użytku</w:t>
      </w:r>
      <w:r w:rsidRPr="000C7559">
        <w:t>.</w:t>
      </w:r>
    </w:p>
    <w:p w:rsidR="00EA3F52" w:rsidRPr="000C7559" w:rsidRDefault="00421F96" w:rsidP="001539C4">
      <w:pPr>
        <w:jc w:val="both"/>
      </w:pPr>
      <w:r w:rsidRPr="000C7559">
        <w:t>PN-EN 206-1</w:t>
      </w:r>
      <w:r w:rsidRPr="000C7559">
        <w:tab/>
        <w:t>Beton. Część 1: Wymagania, właściwości, produkcja i zgodność</w:t>
      </w:r>
    </w:p>
    <w:p w:rsidR="00EA3F52" w:rsidRPr="000C7559" w:rsidRDefault="00421F96" w:rsidP="001539C4">
      <w:pPr>
        <w:jc w:val="both"/>
      </w:pPr>
      <w:r w:rsidRPr="000C7559">
        <w:rPr>
          <w:spacing w:val="-3"/>
        </w:rPr>
        <w:lastRenderedPageBreak/>
        <w:t>PN-EN 1008</w:t>
      </w:r>
      <w:r w:rsidRPr="000C7559">
        <w:rPr>
          <w:spacing w:val="-3"/>
        </w:rPr>
        <w:tab/>
      </w:r>
      <w:r w:rsidRPr="000C7559">
        <w:rPr>
          <w:rStyle w:val="biggertext"/>
        </w:rPr>
        <w:t>Woda zarobowa do betonu - Specyfikacja pobierania próbek, badanie i ocena przydatności wody zarobowej do betonu, w tym wody odzyskanej z procesów produkcji betonu</w:t>
      </w:r>
      <w:r w:rsidRPr="000C7559">
        <w:t>.</w:t>
      </w:r>
    </w:p>
    <w:p w:rsidR="00EA3F52" w:rsidRPr="000C7559" w:rsidRDefault="00421F96" w:rsidP="001539C4">
      <w:pPr>
        <w:jc w:val="both"/>
        <w:rPr>
          <w:spacing w:val="-3"/>
        </w:rPr>
      </w:pPr>
      <w:r w:rsidRPr="000C7559">
        <w:rPr>
          <w:spacing w:val="-3"/>
        </w:rPr>
        <w:t>PN-EN 1340</w:t>
      </w:r>
      <w:r w:rsidRPr="000C7559">
        <w:rPr>
          <w:spacing w:val="-3"/>
        </w:rPr>
        <w:tab/>
        <w:t>Krawężniki betonowe. Wymagania i metody badań.</w:t>
      </w:r>
    </w:p>
    <w:p w:rsidR="00EA3F52" w:rsidRPr="000C7559" w:rsidRDefault="00421F96" w:rsidP="001539C4">
      <w:pPr>
        <w:jc w:val="both"/>
      </w:pPr>
      <w:r w:rsidRPr="000C7559">
        <w:rPr>
          <w:noProof/>
          <w:lang w:val="de-DE"/>
        </w:rPr>
        <w:t>PN-EN 1426</w:t>
      </w:r>
      <w:r w:rsidRPr="000C7559">
        <w:rPr>
          <w:noProof/>
          <w:lang w:val="de-DE"/>
        </w:rPr>
        <w:tab/>
        <w:t xml:space="preserve">Asfalty i produkty asfaltowe. </w:t>
      </w:r>
      <w:r w:rsidRPr="000C7559">
        <w:rPr>
          <w:noProof/>
        </w:rPr>
        <w:t>Oznaczanie penetracji igłą,</w:t>
      </w:r>
      <w:r w:rsidRPr="000C7559">
        <w:t>.</w:t>
      </w:r>
    </w:p>
    <w:p w:rsidR="00EA3F52" w:rsidRPr="000C7559" w:rsidRDefault="00421F96" w:rsidP="001539C4">
      <w:pPr>
        <w:jc w:val="both"/>
      </w:pPr>
      <w:r w:rsidRPr="000C7559">
        <w:rPr>
          <w:noProof/>
          <w:lang w:val="de-DE"/>
        </w:rPr>
        <w:t>PN-EN 1427</w:t>
      </w:r>
      <w:r w:rsidRPr="000C7559">
        <w:rPr>
          <w:noProof/>
          <w:lang w:val="de-DE"/>
        </w:rPr>
        <w:tab/>
      </w:r>
      <w:proofErr w:type="spellStart"/>
      <w:r w:rsidRPr="000C7559">
        <w:rPr>
          <w:lang w:val="de-DE"/>
        </w:rPr>
        <w:t>Asfalty</w:t>
      </w:r>
      <w:proofErr w:type="spellEnd"/>
      <w:r w:rsidRPr="000C7559">
        <w:rPr>
          <w:lang w:val="de-DE"/>
        </w:rPr>
        <w:t xml:space="preserve"> i </w:t>
      </w:r>
      <w:proofErr w:type="spellStart"/>
      <w:r w:rsidRPr="000C7559">
        <w:rPr>
          <w:lang w:val="de-DE"/>
        </w:rPr>
        <w:t>produkty</w:t>
      </w:r>
      <w:proofErr w:type="spellEnd"/>
      <w:r w:rsidRPr="000C7559">
        <w:rPr>
          <w:lang w:val="de-DE"/>
        </w:rPr>
        <w:t xml:space="preserve"> </w:t>
      </w:r>
      <w:proofErr w:type="spellStart"/>
      <w:r w:rsidRPr="000C7559">
        <w:rPr>
          <w:lang w:val="de-DE"/>
        </w:rPr>
        <w:t>asfaltowe</w:t>
      </w:r>
      <w:proofErr w:type="spellEnd"/>
      <w:r w:rsidRPr="000C7559">
        <w:rPr>
          <w:lang w:val="de-DE"/>
        </w:rPr>
        <w:t xml:space="preserve">. </w:t>
      </w:r>
      <w:r w:rsidRPr="000C7559">
        <w:t>Oznaczanie temperatury mięknienia. Metoda Pierścień i Kula.</w:t>
      </w:r>
    </w:p>
    <w:p w:rsidR="00EA3F52" w:rsidRPr="000C7559" w:rsidRDefault="00421F96" w:rsidP="001539C4">
      <w:pPr>
        <w:jc w:val="both"/>
        <w:rPr>
          <w:rFonts w:eastAsia="CenturyGothic"/>
          <w:snapToGrid/>
        </w:rPr>
      </w:pPr>
      <w:r w:rsidRPr="000C7559">
        <w:rPr>
          <w:rFonts w:eastAsia="CenturyGothic"/>
          <w:snapToGrid/>
        </w:rPr>
        <w:t>PN-EN 13139</w:t>
      </w:r>
      <w:r w:rsidRPr="000C7559">
        <w:rPr>
          <w:rFonts w:eastAsia="CenturyGothic"/>
          <w:snapToGrid/>
        </w:rPr>
        <w:tab/>
        <w:t>Kruszywa do zaprawy.</w:t>
      </w:r>
    </w:p>
    <w:p w:rsidR="00EA3F52" w:rsidRPr="000C7559" w:rsidRDefault="00421F96" w:rsidP="001539C4">
      <w:pPr>
        <w:jc w:val="both"/>
        <w:rPr>
          <w:rFonts w:eastAsia="CenturyGothic"/>
          <w:snapToGrid/>
        </w:rPr>
      </w:pPr>
      <w:r w:rsidRPr="000C7559">
        <w:rPr>
          <w:rFonts w:eastAsia="CenturyGothic"/>
          <w:snapToGrid/>
        </w:rPr>
        <w:t>PN-EN 13242</w:t>
      </w:r>
      <w:r w:rsidRPr="000C7559">
        <w:rPr>
          <w:rFonts w:eastAsia="CenturyGothic"/>
          <w:snapToGrid/>
        </w:rPr>
        <w:tab/>
        <w:t>Kruszywa do niezwiązanych i związanych hydraulicznie materiałów stosowanych w obiektach budowlanych i budownictwie drogowym.</w:t>
      </w:r>
    </w:p>
    <w:p w:rsidR="00EA3F52" w:rsidRPr="000C7559" w:rsidRDefault="00421F96" w:rsidP="001539C4">
      <w:pPr>
        <w:jc w:val="both"/>
        <w:rPr>
          <w:rFonts w:eastAsia="CenturyGothic"/>
          <w:snapToGrid/>
        </w:rPr>
      </w:pPr>
      <w:r w:rsidRPr="000C7559">
        <w:rPr>
          <w:rFonts w:eastAsia="CenturyGothic"/>
          <w:snapToGrid/>
        </w:rPr>
        <w:t>PN-EN 14188-1</w:t>
      </w:r>
      <w:r w:rsidRPr="000C7559">
        <w:rPr>
          <w:rFonts w:eastAsia="CenturyGothic"/>
          <w:snapToGrid/>
        </w:rPr>
        <w:tab/>
        <w:t>Wypełniacze złączy i zalewy -- Część 1: Specyfikacja zalew na gorąco</w:t>
      </w:r>
    </w:p>
    <w:p w:rsidR="00EA3F52" w:rsidRPr="000C7559" w:rsidRDefault="00421F96" w:rsidP="001539C4">
      <w:pPr>
        <w:jc w:val="both"/>
      </w:pPr>
      <w:r w:rsidRPr="000C7559">
        <w:rPr>
          <w:rFonts w:eastAsia="CenturyGothic"/>
          <w:snapToGrid/>
        </w:rPr>
        <w:t>PN-EN 14188-2</w:t>
      </w:r>
      <w:r w:rsidRPr="000C7559">
        <w:rPr>
          <w:rFonts w:eastAsia="CenturyGothic"/>
          <w:snapToGrid/>
        </w:rPr>
        <w:tab/>
        <w:t>Wypełniacze szczelin i zalewy -- Część 2: Specyfikacja zalew na zimno</w:t>
      </w:r>
    </w:p>
    <w:p w:rsidR="00EA3F52" w:rsidRPr="000C7559" w:rsidRDefault="00421F96" w:rsidP="001539C4">
      <w:pPr>
        <w:jc w:val="both"/>
      </w:pPr>
      <w:r w:rsidRPr="000C7559">
        <w:t>PN-N-03010</w:t>
      </w:r>
      <w:r w:rsidRPr="000C7559">
        <w:tab/>
        <w:t>Statystyczna kontrola jakości. Losowy wybór jednostek produktu do próbki.</w:t>
      </w:r>
    </w:p>
    <w:p w:rsidR="00EA3F52" w:rsidRPr="000C7559" w:rsidRDefault="00421F96" w:rsidP="001539C4">
      <w:pPr>
        <w:jc w:val="both"/>
      </w:pPr>
      <w:r w:rsidRPr="000C7559">
        <w:t>BN-68/8933-04</w:t>
      </w:r>
      <w:r w:rsidRPr="000C7559">
        <w:tab/>
        <w:t xml:space="preserve">Drogi samochodowe. Pomiar równości nawierzchni </w:t>
      </w:r>
      <w:proofErr w:type="spellStart"/>
      <w:r w:rsidRPr="000C7559">
        <w:t>planografem</w:t>
      </w:r>
      <w:proofErr w:type="spellEnd"/>
      <w:r w:rsidRPr="000C7559">
        <w:t xml:space="preserve"> i łatą.</w:t>
      </w:r>
    </w:p>
    <w:p w:rsidR="00EA3F52" w:rsidRPr="000C7559" w:rsidRDefault="00421F96" w:rsidP="001539C4">
      <w:pPr>
        <w:jc w:val="both"/>
      </w:pPr>
      <w:r w:rsidRPr="000C7559">
        <w:t>PN-EN 12620</w:t>
      </w:r>
      <w:r w:rsidRPr="000C7559">
        <w:tab/>
        <w:t>Kruszywa do betonu</w:t>
      </w:r>
    </w:p>
    <w:p w:rsidR="00EA3F52" w:rsidRPr="000C7559" w:rsidRDefault="00421F96" w:rsidP="001539C4">
      <w:pPr>
        <w:jc w:val="both"/>
      </w:pPr>
      <w:r w:rsidRPr="000C7559">
        <w:t>PN-EN 13670</w:t>
      </w:r>
      <w:r w:rsidRPr="000C7559">
        <w:tab/>
        <w:t>Wykonanie konstrukcji z betonu</w:t>
      </w:r>
    </w:p>
    <w:p w:rsidR="00EA3F52" w:rsidRPr="000C7559" w:rsidRDefault="00EA3F52" w:rsidP="001539C4">
      <w:pPr>
        <w:jc w:val="both"/>
      </w:pPr>
    </w:p>
    <w:sectPr w:rsidR="00EA3F52" w:rsidRPr="000C7559" w:rsidSect="001C4D5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55" w:right="1418" w:bottom="993" w:left="1418" w:header="568" w:footer="714" w:gutter="0"/>
      <w:pgNumType w:start="15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AB5" w:rsidRDefault="005C4AB5">
      <w:r>
        <w:separator/>
      </w:r>
    </w:p>
  </w:endnote>
  <w:endnote w:type="continuationSeparator" w:id="0">
    <w:p w:rsidR="005C4AB5" w:rsidRDefault="005C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F52" w:rsidRDefault="00421F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3F52" w:rsidRDefault="00EA3F5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D59" w:rsidRPr="001C4D59" w:rsidRDefault="001C4D59">
    <w:pPr>
      <w:pStyle w:val="Stopka"/>
      <w:jc w:val="right"/>
      <w:rPr>
        <w:sz w:val="16"/>
        <w:szCs w:val="16"/>
      </w:rPr>
    </w:pPr>
  </w:p>
  <w:p w:rsidR="00EA3F52" w:rsidRDefault="00EA3F52" w:rsidP="003501BD">
    <w:pPr>
      <w:pStyle w:val="Stopka"/>
      <w:jc w:val="center"/>
      <w:rPr>
        <w:rFonts w:ascii="Calibri" w:hAnsi="Calibri" w:cs="Calibri"/>
        <w:i/>
        <w:i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AB5" w:rsidRDefault="005C4AB5">
      <w:r>
        <w:separator/>
      </w:r>
    </w:p>
  </w:footnote>
  <w:footnote w:type="continuationSeparator" w:id="0">
    <w:p w:rsidR="005C4AB5" w:rsidRDefault="005C4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F52" w:rsidRDefault="00421F96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A3F52" w:rsidRDefault="00EA3F52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559" w:rsidRPr="000C7559" w:rsidRDefault="000C7559" w:rsidP="000C7559">
    <w:pPr>
      <w:pBdr>
        <w:bottom w:val="single" w:sz="4" w:space="1" w:color="auto"/>
      </w:pBdr>
      <w:suppressAutoHyphens/>
      <w:jc w:val="center"/>
      <w:rPr>
        <w:sz w:val="16"/>
        <w:szCs w:val="16"/>
      </w:rPr>
    </w:pPr>
    <w:r w:rsidRPr="000C7559">
      <w:rPr>
        <w:sz w:val="16"/>
        <w:szCs w:val="16"/>
      </w:rPr>
      <w:t xml:space="preserve">D.08.01.01. </w:t>
    </w:r>
    <w:r w:rsidRPr="000C7559">
      <w:rPr>
        <w:sz w:val="16"/>
        <w:szCs w:val="16"/>
      </w:rPr>
      <w:tab/>
    </w:r>
    <w:r w:rsidRPr="000C7559">
      <w:rPr>
        <w:caps/>
        <w:sz w:val="16"/>
        <w:szCs w:val="16"/>
      </w:rPr>
      <w:t>Krawężniki betonowe</w:t>
    </w:r>
  </w:p>
  <w:p w:rsidR="00EA3F52" w:rsidRPr="000C7559" w:rsidRDefault="00EA3F52" w:rsidP="000C7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51262"/>
    <w:multiLevelType w:val="hybridMultilevel"/>
    <w:tmpl w:val="BF7A4B9C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E69EE"/>
    <w:multiLevelType w:val="multilevel"/>
    <w:tmpl w:val="B6F67BDC"/>
    <w:lvl w:ilvl="0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0"/>
        </w:tabs>
        <w:ind w:left="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</w:abstractNum>
  <w:abstractNum w:abstractNumId="4" w15:restartNumberingAfterBreak="0">
    <w:nsid w:val="06702966"/>
    <w:multiLevelType w:val="hybridMultilevel"/>
    <w:tmpl w:val="EE364EEC"/>
    <w:lvl w:ilvl="0" w:tplc="4AA883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9"/>
        </w:tabs>
        <w:ind w:left="3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19"/>
        </w:tabs>
        <w:ind w:left="25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39"/>
        </w:tabs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79"/>
        </w:tabs>
        <w:ind w:left="46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99"/>
        </w:tabs>
        <w:ind w:left="5399" w:hanging="360"/>
      </w:pPr>
      <w:rPr>
        <w:rFonts w:ascii="Wingdings" w:hAnsi="Wingdings" w:hint="default"/>
      </w:rPr>
    </w:lvl>
  </w:abstractNum>
  <w:abstractNum w:abstractNumId="5" w15:restartNumberingAfterBreak="0">
    <w:nsid w:val="085603F7"/>
    <w:multiLevelType w:val="hybridMultilevel"/>
    <w:tmpl w:val="996C40F8"/>
    <w:lvl w:ilvl="0" w:tplc="08D897BC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0"/>
        </w:tabs>
        <w:ind w:left="1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</w:abstractNum>
  <w:abstractNum w:abstractNumId="6" w15:restartNumberingAfterBreak="0">
    <w:nsid w:val="08991932"/>
    <w:multiLevelType w:val="hybridMultilevel"/>
    <w:tmpl w:val="93022ED8"/>
    <w:lvl w:ilvl="0" w:tplc="848EB2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E6E89"/>
    <w:multiLevelType w:val="multilevel"/>
    <w:tmpl w:val="0B2615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D86CC2"/>
    <w:multiLevelType w:val="hybridMultilevel"/>
    <w:tmpl w:val="17F68C24"/>
    <w:lvl w:ilvl="0" w:tplc="4AA883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9"/>
        </w:tabs>
        <w:ind w:left="3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19"/>
        </w:tabs>
        <w:ind w:left="25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39"/>
        </w:tabs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79"/>
        </w:tabs>
        <w:ind w:left="46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99"/>
        </w:tabs>
        <w:ind w:left="5399" w:hanging="360"/>
      </w:pPr>
      <w:rPr>
        <w:rFonts w:ascii="Wingdings" w:hAnsi="Wingdings" w:hint="default"/>
      </w:rPr>
    </w:lvl>
  </w:abstractNum>
  <w:abstractNum w:abstractNumId="9" w15:restartNumberingAfterBreak="0">
    <w:nsid w:val="1CB50BEB"/>
    <w:multiLevelType w:val="multilevel"/>
    <w:tmpl w:val="B05ADC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upperLetter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0" w15:restartNumberingAfterBreak="0">
    <w:nsid w:val="1F425F9E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25822D16"/>
    <w:multiLevelType w:val="hybridMultilevel"/>
    <w:tmpl w:val="B6F67BDC"/>
    <w:lvl w:ilvl="0" w:tplc="08D897BC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0"/>
        </w:tabs>
        <w:ind w:left="1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</w:abstractNum>
  <w:abstractNum w:abstractNumId="12" w15:restartNumberingAfterBreak="0">
    <w:nsid w:val="25F614EF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26A701E4"/>
    <w:multiLevelType w:val="hybridMultilevel"/>
    <w:tmpl w:val="3E72227E"/>
    <w:lvl w:ilvl="0" w:tplc="08D897BC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0"/>
        </w:tabs>
        <w:ind w:left="120" w:hanging="360"/>
      </w:pPr>
      <w:rPr>
        <w:rFonts w:hint="default"/>
      </w:rPr>
    </w:lvl>
    <w:lvl w:ilvl="2" w:tplc="95A449F2">
      <w:start w:val="1"/>
      <w:numFmt w:val="decimal"/>
      <w:lvlText w:val="%3)"/>
      <w:lvlJc w:val="left"/>
      <w:pPr>
        <w:ind w:left="84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</w:abstractNum>
  <w:abstractNum w:abstractNumId="14" w15:restartNumberingAfterBreak="0">
    <w:nsid w:val="2DBD689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327458ED"/>
    <w:multiLevelType w:val="hybridMultilevel"/>
    <w:tmpl w:val="92288AE4"/>
    <w:lvl w:ilvl="0" w:tplc="1BDE90D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FE0C6C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7" w15:restartNumberingAfterBreak="0">
    <w:nsid w:val="44B6446E"/>
    <w:multiLevelType w:val="hybridMultilevel"/>
    <w:tmpl w:val="159C7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D551F"/>
    <w:multiLevelType w:val="hybridMultilevel"/>
    <w:tmpl w:val="9D1E2210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F6981"/>
    <w:multiLevelType w:val="hybridMultilevel"/>
    <w:tmpl w:val="B0F4F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281D91"/>
    <w:multiLevelType w:val="hybridMultilevel"/>
    <w:tmpl w:val="DD2A50D2"/>
    <w:lvl w:ilvl="0" w:tplc="4AA883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9"/>
        </w:tabs>
        <w:ind w:left="3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19"/>
        </w:tabs>
        <w:ind w:left="25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39"/>
        </w:tabs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79"/>
        </w:tabs>
        <w:ind w:left="46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99"/>
        </w:tabs>
        <w:ind w:left="5399" w:hanging="360"/>
      </w:pPr>
      <w:rPr>
        <w:rFonts w:ascii="Wingdings" w:hAnsi="Wingdings" w:hint="default"/>
      </w:rPr>
    </w:lvl>
  </w:abstractNum>
  <w:abstractNum w:abstractNumId="21" w15:restartNumberingAfterBreak="0">
    <w:nsid w:val="5B727A3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37062F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619E3693"/>
    <w:multiLevelType w:val="hybridMultilevel"/>
    <w:tmpl w:val="BE507B78"/>
    <w:lvl w:ilvl="0" w:tplc="75467AE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10E7F"/>
    <w:multiLevelType w:val="hybridMultilevel"/>
    <w:tmpl w:val="C43832A2"/>
    <w:lvl w:ilvl="0" w:tplc="BA247CF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F0251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9050F15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16"/>
  </w:num>
  <w:num w:numId="2">
    <w:abstractNumId w:val="0"/>
    <w:lvlOverride w:ilvl="0">
      <w:lvl w:ilvl="0">
        <w:start w:val="2"/>
        <w:numFmt w:val="bullet"/>
        <w:lvlText w:val="-"/>
        <w:legacy w:legacy="1" w:legacySpace="0" w:legacyIndent="480"/>
        <w:lvlJc w:val="left"/>
        <w:pPr>
          <w:ind w:left="600" w:hanging="480"/>
        </w:pPr>
      </w:lvl>
    </w:lvlOverride>
  </w:num>
  <w:num w:numId="3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4"/>
  </w:num>
  <w:num w:numId="5">
    <w:abstractNumId w:val="22"/>
  </w:num>
  <w:num w:numId="6">
    <w:abstractNumId w:val="21"/>
  </w:num>
  <w:num w:numId="7">
    <w:abstractNumId w:val="10"/>
  </w:num>
  <w:num w:numId="8">
    <w:abstractNumId w:val="26"/>
  </w:num>
  <w:num w:numId="9">
    <w:abstractNumId w:val="25"/>
  </w:num>
  <w:num w:numId="10">
    <w:abstractNumId w:val="12"/>
  </w:num>
  <w:num w:numId="11">
    <w:abstractNumId w:val="9"/>
  </w:num>
  <w:num w:numId="1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4">
    <w:abstractNumId w:val="11"/>
  </w:num>
  <w:num w:numId="15">
    <w:abstractNumId w:val="5"/>
  </w:num>
  <w:num w:numId="16">
    <w:abstractNumId w:val="20"/>
  </w:num>
  <w:num w:numId="17">
    <w:abstractNumId w:val="4"/>
  </w:num>
  <w:num w:numId="18">
    <w:abstractNumId w:val="8"/>
  </w:num>
  <w:num w:numId="19">
    <w:abstractNumId w:val="1"/>
  </w:num>
  <w:num w:numId="20">
    <w:abstractNumId w:val="3"/>
  </w:num>
  <w:num w:numId="21">
    <w:abstractNumId w:val="13"/>
  </w:num>
  <w:num w:numId="22">
    <w:abstractNumId w:val="6"/>
  </w:num>
  <w:num w:numId="23">
    <w:abstractNumId w:val="19"/>
  </w:num>
  <w:num w:numId="24">
    <w:abstractNumId w:val="7"/>
  </w:num>
  <w:num w:numId="25">
    <w:abstractNumId w:val="24"/>
  </w:num>
  <w:num w:numId="26">
    <w:abstractNumId w:val="15"/>
  </w:num>
  <w:num w:numId="27">
    <w:abstractNumId w:val="23"/>
  </w:num>
  <w:num w:numId="28">
    <w:abstractNumId w:val="17"/>
  </w:num>
  <w:num w:numId="29">
    <w:abstractNumId w:val="18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52"/>
    <w:rsid w:val="0006594B"/>
    <w:rsid w:val="000C7559"/>
    <w:rsid w:val="001539C4"/>
    <w:rsid w:val="00170B15"/>
    <w:rsid w:val="001C4D59"/>
    <w:rsid w:val="001F69B1"/>
    <w:rsid w:val="00315BEE"/>
    <w:rsid w:val="003501BD"/>
    <w:rsid w:val="003D13FC"/>
    <w:rsid w:val="00421F96"/>
    <w:rsid w:val="005C4AB5"/>
    <w:rsid w:val="005C6684"/>
    <w:rsid w:val="006335B0"/>
    <w:rsid w:val="00741101"/>
    <w:rsid w:val="0075481D"/>
    <w:rsid w:val="00D9628D"/>
    <w:rsid w:val="00EA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9EA8411"/>
  <w15:docId w15:val="{07199A75-EA9F-4BAC-9331-531AA04E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</w:pPr>
    <w:rPr>
      <w:snapToGrid w:val="0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5"/>
      <w:jc w:val="both"/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2">
    <w:name w:val="Body Text Indent 2"/>
    <w:basedOn w:val="Normalny"/>
    <w:pPr>
      <w:ind w:firstLine="705"/>
      <w:jc w:val="both"/>
    </w:pPr>
    <w:rPr>
      <w:sz w:val="24"/>
    </w:rPr>
  </w:style>
  <w:style w:type="paragraph" w:styleId="Tekstpodstawowywcity3">
    <w:name w:val="Body Text Indent 3"/>
    <w:basedOn w:val="Normalny"/>
    <w:pPr>
      <w:ind w:firstLine="709"/>
      <w:jc w:val="both"/>
    </w:pPr>
    <w:rPr>
      <w:sz w:val="24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Tekstpodstawowy3">
    <w:name w:val="Body Text 3"/>
    <w:basedOn w:val="Normalny"/>
    <w:pPr>
      <w:jc w:val="both"/>
    </w:pPr>
  </w:style>
  <w:style w:type="character" w:customStyle="1" w:styleId="biggertext">
    <w:name w:val="biggertext"/>
    <w:basedOn w:val="Domylnaczcionkaakapitu"/>
  </w:style>
  <w:style w:type="character" w:customStyle="1" w:styleId="Nagwek3Znak">
    <w:name w:val="Nagłówek 3 Znak"/>
    <w:link w:val="Nagwek3"/>
    <w:semiHidden/>
    <w:rPr>
      <w:rFonts w:ascii="Cambria" w:eastAsia="Times New Roman" w:hAnsi="Cambria" w:cs="Times New Roman"/>
      <w:b/>
      <w:bCs/>
      <w:snapToGrid w:val="0"/>
      <w:sz w:val="26"/>
      <w:szCs w:val="26"/>
    </w:rPr>
  </w:style>
  <w:style w:type="paragraph" w:customStyle="1" w:styleId="AAAAA">
    <w:name w:val="AAAA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napToGrid w:val="0"/>
      <w:sz w:val="16"/>
      <w:szCs w:val="16"/>
    </w:rPr>
  </w:style>
  <w:style w:type="paragraph" w:styleId="Poprawka">
    <w:name w:val="Revision"/>
    <w:hidden/>
    <w:uiPriority w:val="99"/>
    <w:semiHidden/>
    <w:rPr>
      <w:snapToGrid w:val="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Pr>
      <w:snapToGrid w:val="0"/>
    </w:rPr>
  </w:style>
  <w:style w:type="character" w:customStyle="1" w:styleId="NagwekZnak">
    <w:name w:val="Nagłówek Znak"/>
    <w:aliases w:val="Nagłówek strony Znak"/>
    <w:link w:val="Nagwek"/>
    <w:rsid w:val="001F69B1"/>
    <w:rPr>
      <w:snapToGrid w:val="0"/>
    </w:rPr>
  </w:style>
  <w:style w:type="paragraph" w:styleId="Akapitzlist">
    <w:name w:val="List Paragraph"/>
    <w:basedOn w:val="Normalny"/>
    <w:uiPriority w:val="34"/>
    <w:qFormat/>
    <w:rsid w:val="00350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5B076-C995-4C3B-95DA-B4AD65E9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2017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Profil</Company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WT-LD Kraków</dc:creator>
  <cp:lastModifiedBy>User</cp:lastModifiedBy>
  <cp:revision>24</cp:revision>
  <cp:lastPrinted>2019-02-22T11:04:00Z</cp:lastPrinted>
  <dcterms:created xsi:type="dcterms:W3CDTF">2015-03-10T15:57:00Z</dcterms:created>
  <dcterms:modified xsi:type="dcterms:W3CDTF">2019-02-22T11:04:00Z</dcterms:modified>
</cp:coreProperties>
</file>