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7A5A" w:rsidRPr="00427D05" w:rsidRDefault="005028B2" w:rsidP="008409AA">
      <w:pPr>
        <w:rPr>
          <w:rFonts w:ascii="Times New Roman" w:hAnsi="Times New Roman"/>
          <w:b/>
          <w:sz w:val="20"/>
        </w:rPr>
      </w:pPr>
      <w:r w:rsidRPr="00427D05">
        <w:rPr>
          <w:rFonts w:ascii="Times New Roman" w:hAnsi="Times New Roman"/>
          <w:b/>
          <w:sz w:val="20"/>
        </w:rPr>
        <w:t xml:space="preserve">D.06.03.01. </w:t>
      </w:r>
      <w:r w:rsidR="008409AA" w:rsidRPr="00427D05">
        <w:rPr>
          <w:rFonts w:ascii="Times New Roman" w:hAnsi="Times New Roman"/>
          <w:b/>
          <w:sz w:val="20"/>
        </w:rPr>
        <w:tab/>
      </w:r>
      <w:r w:rsidRPr="00427D05">
        <w:rPr>
          <w:rFonts w:ascii="Times New Roman" w:hAnsi="Times New Roman"/>
          <w:b/>
          <w:sz w:val="20"/>
        </w:rPr>
        <w:t xml:space="preserve">UMOCNIENIE POBOCZY </w:t>
      </w:r>
    </w:p>
    <w:p w:rsidR="008409AA" w:rsidRPr="008409AA" w:rsidRDefault="008409AA" w:rsidP="008409AA">
      <w:pPr>
        <w:rPr>
          <w:rFonts w:ascii="Times New Roman" w:hAnsi="Times New Roman"/>
          <w:spacing w:val="-3"/>
          <w:sz w:val="20"/>
        </w:rPr>
      </w:pP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1. WSTĘP</w:t>
      </w:r>
    </w:p>
    <w:p w:rsidR="00A87A5A" w:rsidRPr="008409AA" w:rsidRDefault="005028B2" w:rsidP="009845F5">
      <w:pPr>
        <w:jc w:val="both"/>
        <w:rPr>
          <w:rFonts w:ascii="Times New Roman" w:hAnsi="Times New Roman"/>
          <w:b/>
          <w:sz w:val="20"/>
        </w:rPr>
      </w:pPr>
      <w:r w:rsidRPr="008409AA">
        <w:rPr>
          <w:rFonts w:ascii="Times New Roman" w:hAnsi="Times New Roman"/>
          <w:b/>
          <w:sz w:val="20"/>
        </w:rPr>
        <w:t xml:space="preserve">1.1 Przedmiot </w:t>
      </w:r>
      <w:r w:rsidR="00394DA5">
        <w:rPr>
          <w:rFonts w:ascii="Times New Roman" w:hAnsi="Times New Roman"/>
          <w:b/>
          <w:sz w:val="20"/>
        </w:rPr>
        <w:t>SST</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Przedmiotem niniejszych </w:t>
      </w:r>
      <w:r w:rsidR="00394DA5">
        <w:rPr>
          <w:rFonts w:ascii="Times New Roman" w:hAnsi="Times New Roman"/>
          <w:sz w:val="20"/>
        </w:rPr>
        <w:t>SST</w:t>
      </w:r>
      <w:r w:rsidRPr="008409AA">
        <w:rPr>
          <w:rFonts w:ascii="Times New Roman" w:hAnsi="Times New Roman"/>
          <w:sz w:val="20"/>
        </w:rPr>
        <w:t xml:space="preserve"> są wytyczne dla robót związanych z wykonaniem umocnienia poboczy z mieszanek niezwiązanych kruszywa</w:t>
      </w:r>
      <w:r w:rsidR="00394DA5" w:rsidRPr="00394DA5">
        <w:rPr>
          <w:rFonts w:ascii="Times New Roman" w:hAnsi="Times New Roman"/>
          <w:b/>
          <w:bCs/>
          <w:iCs/>
          <w:sz w:val="20"/>
        </w:rPr>
        <w:t>.</w:t>
      </w:r>
    </w:p>
    <w:p w:rsidR="00A87A5A" w:rsidRPr="008409AA" w:rsidRDefault="005028B2" w:rsidP="009845F5">
      <w:pPr>
        <w:jc w:val="both"/>
        <w:rPr>
          <w:rFonts w:ascii="Times New Roman" w:hAnsi="Times New Roman"/>
          <w:b/>
          <w:sz w:val="20"/>
        </w:rPr>
      </w:pPr>
      <w:r w:rsidRPr="008409AA">
        <w:rPr>
          <w:rFonts w:ascii="Times New Roman" w:hAnsi="Times New Roman"/>
          <w:b/>
          <w:sz w:val="20"/>
        </w:rPr>
        <w:t>1.2. Zakres stosowania</w:t>
      </w:r>
    </w:p>
    <w:p w:rsidR="00A87A5A" w:rsidRPr="008409AA" w:rsidRDefault="00394DA5" w:rsidP="009845F5">
      <w:pPr>
        <w:jc w:val="both"/>
        <w:rPr>
          <w:rFonts w:ascii="Times New Roman" w:hAnsi="Times New Roman"/>
          <w:sz w:val="20"/>
        </w:rPr>
      </w:pPr>
      <w:r>
        <w:rPr>
          <w:rFonts w:ascii="Times New Roman" w:hAnsi="Times New Roman"/>
          <w:sz w:val="20"/>
        </w:rPr>
        <w:t>SST</w:t>
      </w:r>
      <w:r w:rsidR="005028B2" w:rsidRPr="008409AA">
        <w:rPr>
          <w:rFonts w:ascii="Times New Roman" w:hAnsi="Times New Roman"/>
          <w:sz w:val="20"/>
        </w:rPr>
        <w:t xml:space="preserve"> stosowane jako dokument przetargowy i kontraktowy przy zlecaniu i realizacji robót wymienionych w pkt 1.1</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1.3. Określenia podstawowe</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 xml:space="preserve">Mieszanka niezwiązana – ziarnisty materiał, zazwyczaj o określonym składzie ziarnowym (od </w:t>
      </w:r>
      <w:r w:rsidRPr="008409AA">
        <w:rPr>
          <w:rFonts w:ascii="Times New Roman" w:hAnsi="Times New Roman"/>
          <w:i/>
          <w:spacing w:val="-3"/>
          <w:sz w:val="20"/>
        </w:rPr>
        <w:t>d</w:t>
      </w:r>
      <w:r w:rsidRPr="008409AA">
        <w:rPr>
          <w:rFonts w:ascii="Times New Roman" w:hAnsi="Times New Roman"/>
          <w:spacing w:val="-3"/>
          <w:sz w:val="20"/>
        </w:rPr>
        <w:t xml:space="preserve">=0 do </w:t>
      </w:r>
      <w:r w:rsidRPr="008409AA">
        <w:rPr>
          <w:rFonts w:ascii="Times New Roman" w:hAnsi="Times New Roman"/>
          <w:i/>
          <w:spacing w:val="-3"/>
          <w:sz w:val="20"/>
        </w:rPr>
        <w:t>D</w:t>
      </w:r>
      <w:r w:rsidRPr="008409AA">
        <w:rPr>
          <w:rFonts w:ascii="Times New Roman" w:hAnsi="Times New Roman"/>
          <w:spacing w:val="-3"/>
          <w:sz w:val="20"/>
        </w:rPr>
        <w:t>), który jest stosowany do wykonania ulepszonego podłoża gruntowego oraz warstw konstrukcyjnych nawierzchni dróg.</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Podbudowa pomocnicza – warstwa zapewniająca przenoszenie obciążeń z warstwy podbudowy zasadniczej na warstwę podłoża.</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Podbudowa zasadnicza – warstwa zapewniająca przenoszenie obciążeń z warstw wyżej leżących na warstwę podbudowy pomocniczej lub podłoże.</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 xml:space="preserve">Nawierzchnia z kruszywa niezwiązanego – </w:t>
      </w:r>
      <w:r w:rsidRPr="008409AA">
        <w:rPr>
          <w:rFonts w:ascii="Times New Roman" w:hAnsi="Times New Roman"/>
          <w:sz w:val="20"/>
        </w:rPr>
        <w:t>nawierzchnia drogowa, której wierzchnia warstwa, poddawana bezpośredniemu oddziaływaniu ruchu i czynników atmosferycznych, wykonana jest z mieszanki kruszyw niezwiązanych o uziarnieniu ciągłym.</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 xml:space="preserve">Pozostałe określenia podstawowe podane w niniejszej </w:t>
      </w:r>
      <w:r w:rsidR="00483335">
        <w:rPr>
          <w:rFonts w:ascii="Times New Roman" w:hAnsi="Times New Roman"/>
          <w:spacing w:val="-3"/>
          <w:sz w:val="20"/>
        </w:rPr>
        <w:t>SST</w:t>
      </w:r>
      <w:r w:rsidRPr="008409AA">
        <w:rPr>
          <w:rFonts w:ascii="Times New Roman" w:hAnsi="Times New Roman"/>
          <w:spacing w:val="-3"/>
          <w:sz w:val="20"/>
        </w:rPr>
        <w:t xml:space="preserve"> są zgodne z obowiązującymi, odpowiednimi normami i z definicjami zamieszczonymi w </w:t>
      </w:r>
      <w:r w:rsidR="00483335">
        <w:rPr>
          <w:rFonts w:ascii="Times New Roman" w:hAnsi="Times New Roman"/>
          <w:spacing w:val="-3"/>
          <w:sz w:val="20"/>
        </w:rPr>
        <w:t>SST</w:t>
      </w:r>
      <w:r w:rsidRPr="008409AA">
        <w:rPr>
          <w:rFonts w:ascii="Times New Roman" w:hAnsi="Times New Roman"/>
          <w:spacing w:val="-3"/>
          <w:sz w:val="20"/>
        </w:rPr>
        <w:t xml:space="preserve"> D-M.00.00.00. "Wymagania ogólne".</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2. MATERIAŁY</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 xml:space="preserve">Ogólne wymagania dotyczące materiałów, ich pozyskiwania i składowania podano w </w:t>
      </w:r>
      <w:r w:rsidR="00483335">
        <w:rPr>
          <w:rFonts w:ascii="Times New Roman" w:hAnsi="Times New Roman"/>
          <w:spacing w:val="-3"/>
          <w:sz w:val="20"/>
        </w:rPr>
        <w:t>SST</w:t>
      </w:r>
      <w:r w:rsidRPr="008409AA">
        <w:rPr>
          <w:rFonts w:ascii="Times New Roman" w:hAnsi="Times New Roman"/>
          <w:spacing w:val="-3"/>
          <w:sz w:val="20"/>
        </w:rPr>
        <w:t xml:space="preserve"> </w:t>
      </w:r>
      <w:r w:rsidRPr="008409AA">
        <w:rPr>
          <w:rFonts w:ascii="Times New Roman" w:hAnsi="Times New Roman"/>
          <w:spacing w:val="-3"/>
          <w:sz w:val="20"/>
        </w:rPr>
        <w:br/>
        <w:t>D-M.00.00.00. "Wymagania ogólne".</w:t>
      </w:r>
    </w:p>
    <w:p w:rsidR="00A87A5A" w:rsidRPr="008409AA" w:rsidRDefault="005028B2" w:rsidP="009845F5">
      <w:pPr>
        <w:jc w:val="both"/>
        <w:rPr>
          <w:rFonts w:ascii="Times New Roman" w:hAnsi="Times New Roman"/>
          <w:sz w:val="20"/>
        </w:rPr>
      </w:pPr>
      <w:r w:rsidRPr="008409AA">
        <w:rPr>
          <w:rFonts w:ascii="Times New Roman" w:hAnsi="Times New Roman"/>
          <w:sz w:val="20"/>
        </w:rPr>
        <w:t>Wszystkie materiały użyte do budowy powinny pochodzić tylko ze źródeł uzgodnionych i zatwierdzonych przez Inżyniera.</w:t>
      </w:r>
    </w:p>
    <w:p w:rsidR="00A87A5A" w:rsidRPr="008409AA" w:rsidRDefault="005028B2" w:rsidP="009845F5">
      <w:pPr>
        <w:jc w:val="both"/>
        <w:rPr>
          <w:rFonts w:ascii="Times New Roman" w:hAnsi="Times New Roman"/>
          <w:b/>
          <w:sz w:val="20"/>
        </w:rPr>
      </w:pPr>
      <w:r w:rsidRPr="008409AA">
        <w:rPr>
          <w:rFonts w:ascii="Times New Roman" w:hAnsi="Times New Roman"/>
          <w:b/>
          <w:sz w:val="20"/>
        </w:rPr>
        <w:t>2.1. Materiały do wykonania umocnienia poboczy.</w:t>
      </w:r>
    </w:p>
    <w:p w:rsidR="00A87A5A" w:rsidRPr="008409AA" w:rsidRDefault="005028B2" w:rsidP="009845F5">
      <w:pPr>
        <w:jc w:val="both"/>
        <w:rPr>
          <w:rFonts w:ascii="Times New Roman" w:hAnsi="Times New Roman"/>
          <w:sz w:val="20"/>
        </w:rPr>
      </w:pPr>
      <w:r w:rsidRPr="008409AA">
        <w:rPr>
          <w:rFonts w:ascii="Times New Roman" w:hAnsi="Times New Roman"/>
          <w:b/>
          <w:sz w:val="20"/>
        </w:rPr>
        <w:t>2.1.1.</w:t>
      </w:r>
      <w:r w:rsidRPr="008409AA">
        <w:rPr>
          <w:rFonts w:ascii="Times New Roman" w:hAnsi="Times New Roman"/>
          <w:sz w:val="20"/>
        </w:rPr>
        <w:t xml:space="preserve"> Kruszywa</w:t>
      </w:r>
    </w:p>
    <w:p w:rsidR="00A87A5A" w:rsidRPr="008409AA" w:rsidRDefault="005028B2" w:rsidP="009845F5">
      <w:pPr>
        <w:jc w:val="both"/>
        <w:rPr>
          <w:rFonts w:ascii="Times New Roman" w:hAnsi="Times New Roman"/>
          <w:sz w:val="20"/>
        </w:rPr>
      </w:pPr>
      <w:r w:rsidRPr="008409AA">
        <w:rPr>
          <w:rFonts w:ascii="Times New Roman" w:hAnsi="Times New Roman"/>
          <w:sz w:val="20"/>
        </w:rPr>
        <w:t>Kruszywa przeznaczone do wytwarzania mieszanek niezwiązanych do warstwy nawierzchni z kruszywa niezwiązanego powinny spełniać wymagania WT-4 2010 Mieszanki Niezwiązane Tablica 1, dla nawierzchni z kruszywa niezwiązanego.</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 </w:t>
      </w:r>
      <w:r w:rsidRPr="008409AA">
        <w:rPr>
          <w:rFonts w:ascii="Times New Roman" w:hAnsi="Times New Roman"/>
          <w:b/>
          <w:sz w:val="20"/>
        </w:rPr>
        <w:t>2.1.2.</w:t>
      </w:r>
      <w:r w:rsidRPr="008409AA">
        <w:rPr>
          <w:rFonts w:ascii="Times New Roman" w:hAnsi="Times New Roman"/>
          <w:sz w:val="20"/>
        </w:rPr>
        <w:t xml:space="preserve"> Woda</w:t>
      </w:r>
    </w:p>
    <w:p w:rsidR="00A87A5A" w:rsidRPr="008409AA" w:rsidRDefault="005028B2" w:rsidP="009845F5">
      <w:pPr>
        <w:jc w:val="both"/>
        <w:rPr>
          <w:rFonts w:ascii="Times New Roman" w:hAnsi="Times New Roman"/>
          <w:sz w:val="20"/>
        </w:rPr>
      </w:pPr>
      <w:r w:rsidRPr="008409AA">
        <w:rPr>
          <w:rFonts w:ascii="Times New Roman" w:hAnsi="Times New Roman"/>
          <w:sz w:val="20"/>
        </w:rPr>
        <w:t>Do zraszania kruszywa należy stosować wodę nie zawierającą składników wpływających szkodliwie na mieszankę kruszywa, ale umożliwiającą zagęszczenie mieszanki niezwiązanej. Woda powinna odpowiadać wymaganiom PN-EN 1008.</w:t>
      </w:r>
    </w:p>
    <w:p w:rsidR="00A87A5A" w:rsidRPr="008409AA" w:rsidRDefault="005028B2" w:rsidP="009845F5">
      <w:pPr>
        <w:jc w:val="both"/>
        <w:rPr>
          <w:rFonts w:ascii="Times New Roman" w:hAnsi="Times New Roman"/>
          <w:b/>
          <w:sz w:val="20"/>
        </w:rPr>
      </w:pPr>
      <w:r w:rsidRPr="008409AA">
        <w:rPr>
          <w:rFonts w:ascii="Times New Roman" w:hAnsi="Times New Roman"/>
          <w:b/>
          <w:sz w:val="20"/>
        </w:rPr>
        <w:t>2.2. Wymagania wobec mieszanki niezwiązanej do wykonania podbudowy zasadniczej lub pomocniczej:</w:t>
      </w:r>
    </w:p>
    <w:p w:rsidR="00A87A5A" w:rsidRPr="008409AA" w:rsidRDefault="005028B2" w:rsidP="009845F5">
      <w:pPr>
        <w:jc w:val="both"/>
        <w:rPr>
          <w:rFonts w:ascii="Times New Roman" w:hAnsi="Times New Roman"/>
          <w:sz w:val="20"/>
        </w:rPr>
      </w:pPr>
      <w:r w:rsidRPr="008409AA">
        <w:rPr>
          <w:rFonts w:ascii="Times New Roman" w:hAnsi="Times New Roman"/>
          <w:b/>
          <w:sz w:val="20"/>
        </w:rPr>
        <w:t>2.2.1.</w:t>
      </w:r>
      <w:r w:rsidRPr="008409AA">
        <w:rPr>
          <w:rFonts w:ascii="Times New Roman" w:hAnsi="Times New Roman"/>
          <w:sz w:val="20"/>
        </w:rPr>
        <w:t xml:space="preserve"> Postanowienia ogólne</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Do warstwy nawierzchni z kruszywa niezwiązanego przewiduje się zastosowanie mieszanek kruszyw o uziarnieniu 0/31,5mm. </w:t>
      </w:r>
    </w:p>
    <w:p w:rsidR="00A87A5A" w:rsidRPr="008409AA" w:rsidRDefault="005028B2" w:rsidP="009845F5">
      <w:pPr>
        <w:jc w:val="both"/>
        <w:rPr>
          <w:rFonts w:ascii="Times New Roman" w:hAnsi="Times New Roman"/>
          <w:sz w:val="20"/>
        </w:rPr>
      </w:pPr>
      <w:r w:rsidRPr="008409AA">
        <w:rPr>
          <w:rFonts w:ascii="Times New Roman" w:hAnsi="Times New Roman"/>
          <w:sz w:val="20"/>
        </w:rPr>
        <w:t>W przypadku braku możliwości pozyskania mieszanki o wymaganym uziarnieniu dopuszcza się użycie kruszywa o innym uziarnieniu, zgodnie z WT-4, po uprzednim uzgodnieniu z Inżynierem</w:t>
      </w:r>
    </w:p>
    <w:p w:rsidR="00A87A5A" w:rsidRPr="008409AA" w:rsidRDefault="005028B2" w:rsidP="009845F5">
      <w:pPr>
        <w:jc w:val="both"/>
        <w:rPr>
          <w:rFonts w:ascii="Times New Roman" w:hAnsi="Times New Roman"/>
          <w:sz w:val="20"/>
        </w:rPr>
      </w:pPr>
      <w:r w:rsidRPr="008409AA">
        <w:rPr>
          <w:rFonts w:ascii="Times New Roman" w:hAnsi="Times New Roman"/>
          <w:b/>
          <w:sz w:val="20"/>
        </w:rPr>
        <w:t>2.2.2.</w:t>
      </w:r>
      <w:r w:rsidRPr="008409AA">
        <w:rPr>
          <w:rFonts w:ascii="Times New Roman" w:hAnsi="Times New Roman"/>
          <w:sz w:val="20"/>
        </w:rPr>
        <w:t xml:space="preserve"> Wymagania dla mieszanki kruszyw </w:t>
      </w:r>
    </w:p>
    <w:p w:rsidR="00A87A5A" w:rsidRPr="008409AA" w:rsidRDefault="005028B2" w:rsidP="009845F5">
      <w:pPr>
        <w:jc w:val="both"/>
        <w:rPr>
          <w:rFonts w:ascii="Times New Roman" w:hAnsi="Times New Roman"/>
          <w:sz w:val="20"/>
        </w:rPr>
      </w:pPr>
      <w:r w:rsidRPr="008409AA">
        <w:rPr>
          <w:rFonts w:ascii="Times New Roman" w:hAnsi="Times New Roman"/>
          <w:sz w:val="20"/>
        </w:rPr>
        <w:t>Mieszanka kruszyw powinna być tak produkowana i składowana, aby wykazywała zachowanie jednakowych właściwości i spełniała wymagania podane w WT-4 Mieszanki Niezwiązane 2010 pkt. 2.5 dla nawierzchni z kruszywa niezwiązanego oraz Tablicy 6 dla nawierzchni z kruszywa niezwiązanego, i w Katalogu Typowych Konstrukcji Nawierzchni Sztywnych 2014 lub w Katalogu Typowych Konstrukcji Nawierzchni Podatnych i Półsztywnych 2014, w zależności od konstrukcji nawierzchni.</w:t>
      </w:r>
    </w:p>
    <w:p w:rsidR="00A87A5A" w:rsidRPr="008409AA" w:rsidRDefault="005028B2" w:rsidP="009845F5">
      <w:pPr>
        <w:jc w:val="both"/>
        <w:rPr>
          <w:rFonts w:ascii="Times New Roman" w:hAnsi="Times New Roman"/>
          <w:sz w:val="20"/>
        </w:rPr>
      </w:pPr>
      <w:r w:rsidRPr="008409AA">
        <w:rPr>
          <w:rFonts w:ascii="Times New Roman" w:hAnsi="Times New Roman"/>
          <w:sz w:val="20"/>
        </w:rPr>
        <w:t>Dostarczona mieszanka kruszywa musi być identyfikowalna przez następujące informacje:</w:t>
      </w:r>
    </w:p>
    <w:p w:rsidR="00A87A5A" w:rsidRPr="008409AA" w:rsidRDefault="005028B2" w:rsidP="009845F5">
      <w:pPr>
        <w:jc w:val="both"/>
        <w:rPr>
          <w:rFonts w:ascii="Times New Roman" w:hAnsi="Times New Roman"/>
          <w:sz w:val="20"/>
        </w:rPr>
      </w:pPr>
      <w:r w:rsidRPr="008409AA">
        <w:rPr>
          <w:rFonts w:ascii="Times New Roman" w:hAnsi="Times New Roman"/>
          <w:sz w:val="20"/>
        </w:rPr>
        <w:t>powołanie na WT-4 2010</w:t>
      </w:r>
    </w:p>
    <w:p w:rsidR="00A87A5A" w:rsidRPr="008409AA" w:rsidRDefault="005028B2" w:rsidP="009845F5">
      <w:pPr>
        <w:jc w:val="both"/>
        <w:rPr>
          <w:rFonts w:ascii="Times New Roman" w:hAnsi="Times New Roman"/>
          <w:sz w:val="20"/>
        </w:rPr>
      </w:pPr>
      <w:r w:rsidRPr="008409AA">
        <w:rPr>
          <w:rFonts w:ascii="Times New Roman" w:hAnsi="Times New Roman"/>
          <w:sz w:val="20"/>
        </w:rPr>
        <w:t>źródło i producenta – jeśli materiał został przemieszczony, powinno być podane zarówno źródło jak i lokalizacja składowiska</w:t>
      </w:r>
    </w:p>
    <w:p w:rsidR="00A87A5A" w:rsidRPr="008409AA" w:rsidRDefault="005028B2" w:rsidP="009845F5">
      <w:pPr>
        <w:jc w:val="both"/>
        <w:rPr>
          <w:rFonts w:ascii="Times New Roman" w:hAnsi="Times New Roman"/>
          <w:sz w:val="20"/>
        </w:rPr>
      </w:pPr>
      <w:r w:rsidRPr="008409AA">
        <w:rPr>
          <w:rFonts w:ascii="Times New Roman" w:hAnsi="Times New Roman"/>
          <w:sz w:val="20"/>
        </w:rPr>
        <w:t>wymiar górnego kruszywa (D)</w:t>
      </w:r>
    </w:p>
    <w:p w:rsidR="00A87A5A" w:rsidRPr="008409AA" w:rsidRDefault="005028B2" w:rsidP="009845F5">
      <w:pPr>
        <w:jc w:val="both"/>
        <w:rPr>
          <w:rFonts w:ascii="Times New Roman" w:hAnsi="Times New Roman"/>
          <w:sz w:val="20"/>
        </w:rPr>
      </w:pPr>
      <w:r w:rsidRPr="008409AA">
        <w:rPr>
          <w:rFonts w:ascii="Times New Roman" w:hAnsi="Times New Roman"/>
          <w:sz w:val="20"/>
        </w:rPr>
        <w:t>rodzaje kruszywa zawarte w mieszance</w:t>
      </w:r>
    </w:p>
    <w:p w:rsidR="00A87A5A" w:rsidRPr="008409AA" w:rsidRDefault="005028B2" w:rsidP="009845F5">
      <w:pPr>
        <w:jc w:val="both"/>
        <w:rPr>
          <w:rFonts w:ascii="Times New Roman" w:hAnsi="Times New Roman"/>
          <w:sz w:val="20"/>
        </w:rPr>
      </w:pPr>
      <w:r w:rsidRPr="008409AA">
        <w:rPr>
          <w:rFonts w:ascii="Times New Roman" w:hAnsi="Times New Roman"/>
          <w:sz w:val="20"/>
        </w:rPr>
        <w:t>gęstość szkieletu mieszanki i wilgotność optymalna.</w:t>
      </w:r>
    </w:p>
    <w:p w:rsidR="00A87A5A" w:rsidRPr="008409AA" w:rsidRDefault="005028B2" w:rsidP="009845F5">
      <w:pPr>
        <w:jc w:val="both"/>
        <w:rPr>
          <w:rFonts w:ascii="Times New Roman" w:hAnsi="Times New Roman"/>
          <w:sz w:val="20"/>
        </w:rPr>
      </w:pPr>
      <w:r w:rsidRPr="008409AA">
        <w:rPr>
          <w:rFonts w:ascii="Times New Roman" w:hAnsi="Times New Roman"/>
          <w:sz w:val="20"/>
        </w:rPr>
        <w:t>Dokument dostawy powinien zawierać co najmniej następujące dane</w:t>
      </w:r>
    </w:p>
    <w:p w:rsidR="00A87A5A" w:rsidRPr="008409AA" w:rsidRDefault="005028B2" w:rsidP="009845F5">
      <w:pPr>
        <w:pStyle w:val="Akapitzlist"/>
        <w:numPr>
          <w:ilvl w:val="0"/>
          <w:numId w:val="35"/>
        </w:numPr>
        <w:ind w:hanging="153"/>
        <w:jc w:val="both"/>
        <w:rPr>
          <w:rFonts w:ascii="Times New Roman" w:hAnsi="Times New Roman"/>
          <w:sz w:val="20"/>
        </w:rPr>
      </w:pPr>
      <w:r w:rsidRPr="008409AA">
        <w:rPr>
          <w:rFonts w:ascii="Times New Roman" w:hAnsi="Times New Roman"/>
          <w:sz w:val="20"/>
        </w:rPr>
        <w:t>oznaczenie wg asortymentu</w:t>
      </w:r>
    </w:p>
    <w:p w:rsidR="00A87A5A" w:rsidRPr="008409AA" w:rsidRDefault="005028B2" w:rsidP="009845F5">
      <w:pPr>
        <w:pStyle w:val="Akapitzlist"/>
        <w:numPr>
          <w:ilvl w:val="0"/>
          <w:numId w:val="35"/>
        </w:numPr>
        <w:ind w:hanging="153"/>
        <w:jc w:val="both"/>
        <w:rPr>
          <w:rFonts w:ascii="Times New Roman" w:hAnsi="Times New Roman"/>
          <w:sz w:val="20"/>
        </w:rPr>
      </w:pPr>
      <w:r w:rsidRPr="008409AA">
        <w:rPr>
          <w:rFonts w:ascii="Times New Roman" w:hAnsi="Times New Roman"/>
          <w:sz w:val="20"/>
        </w:rPr>
        <w:t>datę wysyłki i pochodzenie</w:t>
      </w:r>
    </w:p>
    <w:p w:rsidR="00A87A5A" w:rsidRPr="008409AA" w:rsidRDefault="005028B2" w:rsidP="009845F5">
      <w:pPr>
        <w:pStyle w:val="Akapitzlist"/>
        <w:numPr>
          <w:ilvl w:val="0"/>
          <w:numId w:val="35"/>
        </w:numPr>
        <w:ind w:hanging="153"/>
        <w:jc w:val="both"/>
        <w:rPr>
          <w:rFonts w:ascii="Times New Roman" w:hAnsi="Times New Roman"/>
          <w:sz w:val="20"/>
        </w:rPr>
      </w:pPr>
      <w:r w:rsidRPr="008409AA">
        <w:rPr>
          <w:rFonts w:ascii="Times New Roman" w:hAnsi="Times New Roman"/>
          <w:sz w:val="20"/>
        </w:rPr>
        <w:t>wielkość dostawy</w:t>
      </w:r>
    </w:p>
    <w:p w:rsidR="00A87A5A" w:rsidRPr="008409AA" w:rsidRDefault="005028B2" w:rsidP="009845F5">
      <w:pPr>
        <w:pStyle w:val="Akapitzlist"/>
        <w:numPr>
          <w:ilvl w:val="0"/>
          <w:numId w:val="35"/>
        </w:numPr>
        <w:ind w:hanging="153"/>
        <w:jc w:val="both"/>
        <w:rPr>
          <w:rFonts w:ascii="Times New Roman" w:hAnsi="Times New Roman"/>
          <w:sz w:val="20"/>
        </w:rPr>
      </w:pPr>
      <w:r w:rsidRPr="008409AA">
        <w:rPr>
          <w:rFonts w:ascii="Times New Roman" w:hAnsi="Times New Roman"/>
          <w:sz w:val="20"/>
        </w:rPr>
        <w:t>kolejny numer dokumentu dostawy.</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Producent mieszanek musi prowadzić zakładową kontrolę produkcji (ZKP), aby zapewnić, że wyrób spełnia wymagania niniejszej </w:t>
      </w:r>
      <w:r w:rsidR="00483335">
        <w:rPr>
          <w:rFonts w:ascii="Times New Roman" w:hAnsi="Times New Roman"/>
          <w:sz w:val="20"/>
        </w:rPr>
        <w:t>SST</w:t>
      </w:r>
      <w:r w:rsidRPr="008409AA">
        <w:rPr>
          <w:rFonts w:ascii="Times New Roman" w:hAnsi="Times New Roman"/>
          <w:sz w:val="20"/>
        </w:rPr>
        <w:t>. Przy produkcji mieszanek niezwiązanych przeznaczonych do wykonania warstw konstrukcji nawierzchni należy stosować system 4.</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3. SPRZĘT</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lastRenderedPageBreak/>
        <w:t xml:space="preserve">Ogólne wymagania dotyczące sprzętu podano w </w:t>
      </w:r>
      <w:r w:rsidR="00483335">
        <w:rPr>
          <w:rFonts w:ascii="Times New Roman" w:hAnsi="Times New Roman"/>
          <w:spacing w:val="-3"/>
          <w:sz w:val="20"/>
        </w:rPr>
        <w:t>SST</w:t>
      </w:r>
      <w:r w:rsidRPr="008409AA">
        <w:rPr>
          <w:rFonts w:ascii="Times New Roman" w:hAnsi="Times New Roman"/>
          <w:spacing w:val="-3"/>
          <w:sz w:val="20"/>
        </w:rPr>
        <w:t xml:space="preserve"> D-M.00.00.00. "Wymagania ogólne".</w:t>
      </w:r>
    </w:p>
    <w:p w:rsidR="00A87A5A" w:rsidRPr="008409AA" w:rsidRDefault="005028B2" w:rsidP="009845F5">
      <w:pPr>
        <w:jc w:val="both"/>
        <w:rPr>
          <w:rFonts w:ascii="Times New Roman" w:hAnsi="Times New Roman"/>
          <w:sz w:val="20"/>
        </w:rPr>
      </w:pPr>
      <w:r w:rsidRPr="008409AA">
        <w:rPr>
          <w:rFonts w:ascii="Times New Roman" w:hAnsi="Times New Roman"/>
          <w:sz w:val="20"/>
        </w:rPr>
        <w:t>Wykonawca przystępujący do wykonania nawierzchni z kruszywa niezwiązanego powinien wykazać się możliwością korzystania z następującego sprzętu:</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mieszarki stacjonarne do wytwarzania mieszanki kruszyw, wyposażone w urządzenia dozujące wodę. Mieszarki powinny zapewnić wytworzenie jednorodnej mieszanki o wilgotności optymalnej.</w:t>
      </w:r>
    </w:p>
    <w:p w:rsidR="00A87A5A" w:rsidRPr="008409AA" w:rsidRDefault="005028B2" w:rsidP="009845F5">
      <w:pPr>
        <w:jc w:val="both"/>
        <w:rPr>
          <w:rFonts w:ascii="Times New Roman" w:hAnsi="Times New Roman"/>
          <w:sz w:val="20"/>
        </w:rPr>
      </w:pPr>
      <w:r w:rsidRPr="008409AA">
        <w:rPr>
          <w:rFonts w:ascii="Times New Roman" w:hAnsi="Times New Roman"/>
          <w:sz w:val="20"/>
        </w:rPr>
        <w:t>Wymagania to jest zbędne w przypadku, gdy producent kruszywa gwarantuje dostawy jednorodnej mieszanki o wymaganym uziarnieniu i odpowiedniej wilgotności.</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równiarki lub układarki do rozłożenia mieszanki. Za zgodą Inżyniera do rozkładania mieszanki na drogach o ruchu mniejszym od ciężkiego można dopuścić spycharki.</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walce ogumione i stalowe wibracyjne lub statyczne,</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płyty wibracyjne lub ubijaki mechaniczne do zagęszczania w miejscach trudnodostępnych</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4. TRANSPORT</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 xml:space="preserve">Ogólne wymagania dotyczące transportu podano w </w:t>
      </w:r>
      <w:r w:rsidR="00483335">
        <w:rPr>
          <w:rFonts w:ascii="Times New Roman" w:hAnsi="Times New Roman"/>
          <w:spacing w:val="-3"/>
          <w:sz w:val="20"/>
        </w:rPr>
        <w:t>SST</w:t>
      </w:r>
      <w:r w:rsidRPr="008409AA">
        <w:rPr>
          <w:rFonts w:ascii="Times New Roman" w:hAnsi="Times New Roman"/>
          <w:spacing w:val="-3"/>
          <w:sz w:val="20"/>
        </w:rPr>
        <w:t xml:space="preserve"> D-M.00.00.00. "Wymagania ogólne".</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Transport kruszywa może odbywać się samochodami samowyładowczymi w sposób zabezpieczający je przed zanieczyszczeniem, zmieszaniem z innymi materiałami, nadmiernym wysuszeniem lub zawilgoceniem.</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5. WYKONANIE ROBÓT</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 xml:space="preserve">Ogólne zasady wykonania Robót podano w </w:t>
      </w:r>
      <w:r w:rsidR="00483335">
        <w:rPr>
          <w:rFonts w:ascii="Times New Roman" w:hAnsi="Times New Roman"/>
          <w:spacing w:val="-3"/>
          <w:sz w:val="20"/>
        </w:rPr>
        <w:t>SST</w:t>
      </w:r>
      <w:r w:rsidRPr="008409AA">
        <w:rPr>
          <w:rFonts w:ascii="Times New Roman" w:hAnsi="Times New Roman"/>
          <w:spacing w:val="-3"/>
          <w:sz w:val="20"/>
        </w:rPr>
        <w:t xml:space="preserve"> D-M.00.00.00. "Wymagania ogólne" pkt.5</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5.1. Przygotowanie podłoża</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Podłoże pod podbudowę powinno spełniać wymagania określone według odpowiedniej specyfikacji asortymentowej w zależności od układu warstw konstrukcyjnych na danej drodze.</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5.2. Wytwarzanie mieszanki kruszywa</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5.3. Odcinek próbny</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Co najmniej 3 dni przez rozpoczęciem robót, Wykonawca wykona odcinek próbny w celu:</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stwierdzenia, czy sprzęt budowlany do mieszania, rozkładania i zagęszczania kruszywa jest właściwy,</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określenia grubości warstwy materiału z w stanie luźnym koniecznej do osiągnięcia wymaganej grubości warstwy po zagęszczeniu,</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określenia ilości warstwy koniecznych dla osiągnięcia wymaganego zagęszczenia;</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ustalenia liczby przejść sprzętu zagęszczającego, potrzebnej do uzyskania wymaganego wskaźnika zagęszczenia.</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Na odcinku próbnym Wykonawca powinien użyć takich materiałów oraz sprzętu, jakie będą stosowane do wykonania umocnionych poboczy na budowie.</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 xml:space="preserve">Wykonawca może przystąpić do wykonania </w:t>
      </w:r>
      <w:r w:rsidRPr="008409AA">
        <w:rPr>
          <w:rFonts w:ascii="Times New Roman" w:hAnsi="Times New Roman"/>
          <w:sz w:val="20"/>
        </w:rPr>
        <w:t>nawierzchni poboczy</w:t>
      </w:r>
      <w:r w:rsidRPr="008409AA">
        <w:rPr>
          <w:rFonts w:ascii="Times New Roman" w:hAnsi="Times New Roman"/>
          <w:spacing w:val="-3"/>
          <w:sz w:val="20"/>
        </w:rPr>
        <w:t xml:space="preserve"> po zaakceptowaniu odcinka próbnego przez Inżyniera.</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5.4. Wbudowanie mieszanki</w:t>
      </w:r>
    </w:p>
    <w:p w:rsidR="00A87A5A" w:rsidRPr="008409AA" w:rsidRDefault="005028B2" w:rsidP="009845F5">
      <w:pPr>
        <w:jc w:val="both"/>
        <w:rPr>
          <w:rFonts w:ascii="Times New Roman" w:hAnsi="Times New Roman"/>
          <w:spacing w:val="-3"/>
          <w:sz w:val="20"/>
        </w:rPr>
      </w:pPr>
      <w:r w:rsidRPr="008409AA">
        <w:rPr>
          <w:rFonts w:ascii="Times New Roman" w:hAnsi="Times New Roman"/>
          <w:sz w:val="20"/>
        </w:rPr>
        <w:t xml:space="preserve">Warstwa nawierzchni z kruszywa niezwiązanego powinna być rozłożona w sposób zapewniający osiągnięcie wymaganych spadków i rzędnych wysokościowych. Jeżeli nawierzchnia poboczy składa się z więcej niż jednej warstwy kruszywa, to każda warstwa powinna być wyprofilowana i zagęszczona z zachowaniem wymaganych spadków i rzędnych wysokościowych. Grubość pojedynczo układanej warstwy nie może przekraczać 20cm po zagęszczeniu. Rozpoczęcie budowy każdej następnej warstwy może nastąpić po odbiorze poprzedniej warstwy przez Inżyniera. </w:t>
      </w:r>
      <w:r w:rsidRPr="008409AA">
        <w:rPr>
          <w:rFonts w:ascii="Times New Roman" w:hAnsi="Times New Roman"/>
          <w:spacing w:val="-3"/>
          <w:sz w:val="20"/>
        </w:rPr>
        <w:t>Warstwa nawierzchni poboczy powinna być rozłożona w sposób zapewniający osiągnięcie wymaganych spadków i rzędnych wysokościowych. W miejscach, gdzie widoczna jest segregacja kruszywa należy przed zagęszczeniem wymienić kruszywo na materiał o odpowiednich właściwościach.</w:t>
      </w:r>
    </w:p>
    <w:p w:rsidR="00A87A5A" w:rsidRPr="008409AA" w:rsidRDefault="005028B2" w:rsidP="009845F5">
      <w:pPr>
        <w:jc w:val="both"/>
        <w:rPr>
          <w:rFonts w:ascii="Times New Roman" w:hAnsi="Times New Roman"/>
          <w:sz w:val="20"/>
        </w:rPr>
      </w:pPr>
      <w:r w:rsidRPr="008409AA">
        <w:rPr>
          <w:rFonts w:ascii="Times New Roman" w:hAnsi="Times New Roman"/>
          <w:sz w:val="20"/>
        </w:rPr>
        <w:t>Zawartość wody w mieszance kruszywa w czasie wbudowania i zagęszczania powinna odpowiadać wymaganej zawartości wody określonej w tablicy 6 WT-4 2010.</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5.5. Zagęszczenie mieszanki</w:t>
      </w:r>
    </w:p>
    <w:p w:rsidR="00A87A5A" w:rsidRPr="008409AA" w:rsidRDefault="005028B2" w:rsidP="009845F5">
      <w:pPr>
        <w:jc w:val="both"/>
        <w:rPr>
          <w:rFonts w:ascii="Times New Roman" w:hAnsi="Times New Roman"/>
          <w:sz w:val="20"/>
        </w:rPr>
      </w:pPr>
      <w:r w:rsidRPr="008409AA">
        <w:rPr>
          <w:rFonts w:ascii="Times New Roman" w:hAnsi="Times New Roman"/>
          <w:sz w:val="20"/>
        </w:rPr>
        <w:t>Nawierzchnię należy zagęszczać walcami ogumionymi i wibracyjnymi gładkimi lub innymi urządzeniami umożliwiającymi uzyskanie wymaganego zagęszczenia. W ostatniej fazie zagęszczania należy sprawdzić profil szablonem. Zagęszczenie podbudowy należy wykonywać warstwami przy zachowaniu wilgotności optymalnej.</w:t>
      </w:r>
    </w:p>
    <w:p w:rsidR="00A87A5A" w:rsidRPr="008409AA" w:rsidRDefault="005028B2" w:rsidP="009845F5">
      <w:pPr>
        <w:jc w:val="both"/>
        <w:rPr>
          <w:rFonts w:ascii="Times New Roman" w:hAnsi="Times New Roman"/>
          <w:sz w:val="20"/>
        </w:rPr>
      </w:pPr>
      <w:r w:rsidRPr="008409AA">
        <w:rPr>
          <w:rFonts w:ascii="Times New Roman" w:hAnsi="Times New Roman"/>
          <w:sz w:val="20"/>
        </w:rPr>
        <w:t>Zagęszczenie i nośność podbudowy powinny być uzyskiwane równomiernie na całej szerokości.</w:t>
      </w:r>
    </w:p>
    <w:p w:rsidR="00A87A5A" w:rsidRPr="008409AA" w:rsidRDefault="005028B2" w:rsidP="009845F5">
      <w:pPr>
        <w:jc w:val="both"/>
        <w:rPr>
          <w:rFonts w:ascii="Times New Roman" w:hAnsi="Times New Roman"/>
          <w:sz w:val="20"/>
        </w:rPr>
      </w:pPr>
      <w:r w:rsidRPr="008409AA">
        <w:rPr>
          <w:rFonts w:ascii="Times New Roman" w:hAnsi="Times New Roman"/>
          <w:sz w:val="20"/>
        </w:rPr>
        <w:t>Zagęszczenie i nośność kontroluje się płytą VSS (średnicy 30 cm) przez sprawdzenie modułów odkształcenia, które powinny odpowiadać warunkom podanym w pkt. 6.2.3.</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5.6. Utrzymanie nawierzchni</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Nawierzchnia po wykonaniu powinna być utrzymywana w dobrym sta</w:t>
      </w:r>
      <w:bookmarkStart w:id="0" w:name="_GoBack"/>
      <w:bookmarkEnd w:id="0"/>
      <w:r w:rsidRPr="008409AA">
        <w:rPr>
          <w:rFonts w:ascii="Times New Roman" w:hAnsi="Times New Roman"/>
          <w:spacing w:val="-3"/>
          <w:sz w:val="20"/>
        </w:rPr>
        <w:t>nie. Jeżeli Wykonawca będzie wykorzystywał, za zgodą Inżyniera, gotową warstwę do ruchu budowlanego, to jest obowiązany naprawić wszelkie uszkodzenia spowodowane przez ten ruch. Koszt napraw wynikłych z niewłaściwego utrzymania nawierzchni obciąża Wykonawcę robót.</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6. KONTROLA JAKOŚCI ROBÓT</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 xml:space="preserve">Ogólne zasady kontroli jakości Robót podano w </w:t>
      </w:r>
      <w:r w:rsidR="00483335">
        <w:rPr>
          <w:rFonts w:ascii="Times New Roman" w:hAnsi="Times New Roman"/>
          <w:spacing w:val="-3"/>
          <w:sz w:val="20"/>
        </w:rPr>
        <w:t>SST</w:t>
      </w:r>
      <w:r w:rsidRPr="008409AA">
        <w:rPr>
          <w:rFonts w:ascii="Times New Roman" w:hAnsi="Times New Roman"/>
          <w:spacing w:val="-3"/>
          <w:sz w:val="20"/>
        </w:rPr>
        <w:t xml:space="preserve"> D-M.00.00.00. "Wymagania ogólne".</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lastRenderedPageBreak/>
        <w:t>6.1. Badania przed rozpoczęciem robót</w:t>
      </w:r>
    </w:p>
    <w:p w:rsidR="00A87A5A" w:rsidRPr="008409AA" w:rsidRDefault="005028B2" w:rsidP="009845F5">
      <w:pPr>
        <w:jc w:val="both"/>
        <w:rPr>
          <w:rFonts w:ascii="Times New Roman" w:hAnsi="Times New Roman"/>
          <w:sz w:val="20"/>
        </w:rPr>
      </w:pPr>
      <w:r w:rsidRPr="008409AA">
        <w:rPr>
          <w:rFonts w:ascii="Times New Roman" w:hAnsi="Times New Roman"/>
          <w:sz w:val="20"/>
        </w:rPr>
        <w:t>Przed przystąpieniem do robót Wykonawca powinien:</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przedstawić Inżynierowi do akceptacji źródła poboru mieszanki oraz wszystkich dodatkowych materiałów, dołączając wszystkie dokumenty potwierdzające jakość materiałów składowych </w:t>
      </w:r>
    </w:p>
    <w:p w:rsidR="00A87A5A" w:rsidRPr="008409AA" w:rsidRDefault="005028B2" w:rsidP="009845F5">
      <w:pPr>
        <w:jc w:val="both"/>
        <w:rPr>
          <w:rFonts w:ascii="Times New Roman" w:hAnsi="Times New Roman"/>
          <w:sz w:val="20"/>
        </w:rPr>
      </w:pPr>
      <w:r w:rsidRPr="008409AA">
        <w:rPr>
          <w:rFonts w:ascii="Times New Roman" w:hAnsi="Times New Roman"/>
          <w:sz w:val="20"/>
        </w:rPr>
        <w:t>uzyskać wymagane dokumenty, dopuszczające wyroby budowlane do obrotu i powszechnego stosowania (np. stwierdzenie o oznakowaniu materiału znakiem CE lub znakiem budowlanym B, certyfikat zgodności, deklarację właściwości użytkowych, aprobatę techniczną, ew. badania materiałów wykonane przez dostawców itp.),</w:t>
      </w:r>
    </w:p>
    <w:p w:rsidR="00A87A5A" w:rsidRPr="008409AA" w:rsidRDefault="005028B2" w:rsidP="009845F5">
      <w:pPr>
        <w:jc w:val="both"/>
        <w:rPr>
          <w:rFonts w:ascii="Times New Roman" w:hAnsi="Times New Roman"/>
          <w:sz w:val="20"/>
        </w:rPr>
      </w:pPr>
      <w:r w:rsidRPr="008409AA">
        <w:rPr>
          <w:rFonts w:ascii="Times New Roman" w:hAnsi="Times New Roman"/>
          <w:sz w:val="20"/>
        </w:rPr>
        <w:t>opracować receptę laboratoryjną dla mieszanki kruszywa oraz przedstawić Inżynierowi wraz z wynikami badań do zatwierdzenia;</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wykonać własne badania właściwości materiałów przeznaczonych do wykonania robót, określone przez Inżyniera. </w:t>
      </w:r>
      <w:r w:rsidRPr="008409AA">
        <w:rPr>
          <w:rFonts w:ascii="Times New Roman" w:hAnsi="Times New Roman"/>
          <w:spacing w:val="-3"/>
          <w:sz w:val="20"/>
        </w:rPr>
        <w:t>Badania te powinny obejmować wszystkie właściwości kruszywa określone w pkt. 2.</w:t>
      </w:r>
    </w:p>
    <w:p w:rsidR="00A87A5A" w:rsidRPr="008409AA" w:rsidRDefault="005028B2" w:rsidP="009845F5">
      <w:pPr>
        <w:jc w:val="both"/>
        <w:rPr>
          <w:rFonts w:ascii="Times New Roman" w:hAnsi="Times New Roman"/>
          <w:sz w:val="20"/>
        </w:rPr>
      </w:pPr>
      <w:r w:rsidRPr="008409AA">
        <w:rPr>
          <w:rFonts w:ascii="Times New Roman" w:hAnsi="Times New Roman"/>
          <w:sz w:val="20"/>
        </w:rPr>
        <w:t>Wszystkie dokumenty oraz wyniki badań Wykonawca przedstawia Inżynierowi do akceptacji.</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6.2. Badania w czasie robót</w:t>
      </w:r>
    </w:p>
    <w:p w:rsidR="008409AA" w:rsidRPr="008409AA" w:rsidRDefault="008409AA" w:rsidP="008409AA">
      <w:pPr>
        <w:rPr>
          <w:rFonts w:ascii="Times New Roman" w:hAnsi="Times New Roman"/>
          <w:bCs/>
          <w:sz w:val="10"/>
          <w:szCs w:val="10"/>
        </w:rPr>
      </w:pPr>
    </w:p>
    <w:p w:rsidR="00A87A5A" w:rsidRPr="008409AA" w:rsidRDefault="005028B2" w:rsidP="008409AA">
      <w:pPr>
        <w:rPr>
          <w:rFonts w:ascii="Times New Roman" w:hAnsi="Times New Roman"/>
          <w:bCs/>
          <w:sz w:val="20"/>
        </w:rPr>
      </w:pPr>
      <w:r w:rsidRPr="008409AA">
        <w:rPr>
          <w:rFonts w:ascii="Times New Roman" w:hAnsi="Times New Roman"/>
          <w:bCs/>
          <w:sz w:val="20"/>
        </w:rPr>
        <w:t xml:space="preserve">Tablica 1. Częstotliwość oraz zakres badań przy wykonywaniu </w:t>
      </w:r>
      <w:r w:rsidRPr="008409AA">
        <w:rPr>
          <w:rFonts w:ascii="Times New Roman" w:hAnsi="Times New Roman"/>
          <w:sz w:val="20"/>
        </w:rPr>
        <w:t>nawierzchni z kruszywa niezwiązanego</w:t>
      </w:r>
    </w:p>
    <w:tbl>
      <w:tblPr>
        <w:tblW w:w="9001" w:type="dxa"/>
        <w:tblLayout w:type="fixed"/>
        <w:tblCellMar>
          <w:left w:w="70" w:type="dxa"/>
          <w:right w:w="70" w:type="dxa"/>
        </w:tblCellMar>
        <w:tblLook w:val="0000" w:firstRow="0" w:lastRow="0" w:firstColumn="0" w:lastColumn="0" w:noHBand="0" w:noVBand="0"/>
      </w:tblPr>
      <w:tblGrid>
        <w:gridCol w:w="496"/>
        <w:gridCol w:w="4394"/>
        <w:gridCol w:w="1559"/>
        <w:gridCol w:w="2552"/>
      </w:tblGrid>
      <w:tr w:rsidR="00A87A5A" w:rsidRPr="008409AA">
        <w:trPr>
          <w:cantSplit/>
        </w:trPr>
        <w:tc>
          <w:tcPr>
            <w:tcW w:w="496" w:type="dxa"/>
            <w:vMerge w:val="restart"/>
            <w:tcBorders>
              <w:top w:val="single" w:sz="6" w:space="0" w:color="auto"/>
              <w:left w:val="single" w:sz="6" w:space="0" w:color="auto"/>
              <w:bottom w:val="double" w:sz="6" w:space="0" w:color="auto"/>
              <w:right w:val="single" w:sz="4" w:space="0" w:color="auto"/>
            </w:tcBorders>
          </w:tcPr>
          <w:p w:rsidR="00A87A5A" w:rsidRPr="008409AA" w:rsidRDefault="005028B2" w:rsidP="008409AA">
            <w:pPr>
              <w:rPr>
                <w:rFonts w:ascii="Times New Roman" w:hAnsi="Times New Roman"/>
                <w:sz w:val="20"/>
              </w:rPr>
            </w:pPr>
            <w:r w:rsidRPr="008409AA">
              <w:rPr>
                <w:rFonts w:ascii="Times New Roman" w:hAnsi="Times New Roman"/>
                <w:bCs/>
                <w:sz w:val="20"/>
              </w:rPr>
              <w:t xml:space="preserve"> </w:t>
            </w:r>
            <w:r w:rsidRPr="008409AA">
              <w:rPr>
                <w:rFonts w:ascii="Times New Roman" w:hAnsi="Times New Roman"/>
                <w:sz w:val="20"/>
              </w:rPr>
              <w:t>Lp.</w:t>
            </w:r>
          </w:p>
        </w:tc>
        <w:tc>
          <w:tcPr>
            <w:tcW w:w="4394" w:type="dxa"/>
            <w:vMerge w:val="restart"/>
            <w:tcBorders>
              <w:top w:val="single" w:sz="6" w:space="0" w:color="auto"/>
              <w:left w:val="single" w:sz="4"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Wyszczególnienie badań</w:t>
            </w:r>
          </w:p>
        </w:tc>
        <w:tc>
          <w:tcPr>
            <w:tcW w:w="4111" w:type="dxa"/>
            <w:gridSpan w:val="2"/>
            <w:tcBorders>
              <w:top w:val="single" w:sz="6" w:space="0" w:color="auto"/>
              <w:left w:val="single" w:sz="6" w:space="0" w:color="auto"/>
              <w:bottom w:val="single" w:sz="6" w:space="0" w:color="auto"/>
              <w:right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Częstotliwość badań</w:t>
            </w:r>
          </w:p>
        </w:tc>
      </w:tr>
      <w:tr w:rsidR="00A87A5A" w:rsidRPr="008409AA">
        <w:trPr>
          <w:cantSplit/>
        </w:trPr>
        <w:tc>
          <w:tcPr>
            <w:tcW w:w="496" w:type="dxa"/>
            <w:vMerge/>
            <w:tcBorders>
              <w:left w:val="single" w:sz="6" w:space="0" w:color="auto"/>
              <w:bottom w:val="double" w:sz="6" w:space="0" w:color="auto"/>
              <w:right w:val="single" w:sz="4" w:space="0" w:color="auto"/>
            </w:tcBorders>
          </w:tcPr>
          <w:p w:rsidR="00A87A5A" w:rsidRPr="008409AA" w:rsidRDefault="00A87A5A" w:rsidP="008409AA">
            <w:pPr>
              <w:rPr>
                <w:rFonts w:ascii="Times New Roman" w:hAnsi="Times New Roman"/>
                <w:sz w:val="20"/>
              </w:rPr>
            </w:pPr>
          </w:p>
        </w:tc>
        <w:tc>
          <w:tcPr>
            <w:tcW w:w="4394" w:type="dxa"/>
            <w:vMerge/>
            <w:tcBorders>
              <w:left w:val="single" w:sz="4" w:space="0" w:color="auto"/>
              <w:bottom w:val="double" w:sz="6" w:space="0" w:color="auto"/>
            </w:tcBorders>
          </w:tcPr>
          <w:p w:rsidR="00A87A5A" w:rsidRPr="008409AA" w:rsidRDefault="00A87A5A" w:rsidP="008409AA">
            <w:pPr>
              <w:rPr>
                <w:rFonts w:ascii="Times New Roman" w:hAnsi="Times New Roman"/>
                <w:sz w:val="20"/>
              </w:rPr>
            </w:pPr>
          </w:p>
        </w:tc>
        <w:tc>
          <w:tcPr>
            <w:tcW w:w="1559" w:type="dxa"/>
            <w:tcBorders>
              <w:top w:val="single" w:sz="6" w:space="0" w:color="auto"/>
              <w:left w:val="single" w:sz="6" w:space="0" w:color="auto"/>
              <w:bottom w:val="double" w:sz="6" w:space="0" w:color="auto"/>
              <w:right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Minimalna liczba badań na dziennej działce roboczej</w:t>
            </w:r>
          </w:p>
        </w:tc>
        <w:tc>
          <w:tcPr>
            <w:tcW w:w="2552" w:type="dxa"/>
            <w:tcBorders>
              <w:top w:val="single" w:sz="6" w:space="0" w:color="auto"/>
              <w:left w:val="single" w:sz="6" w:space="0" w:color="auto"/>
              <w:bottom w:val="double" w:sz="6" w:space="0" w:color="auto"/>
              <w:right w:val="single" w:sz="6" w:space="0" w:color="auto"/>
            </w:tcBorders>
          </w:tcPr>
          <w:p w:rsidR="00A87A5A" w:rsidRPr="008409AA" w:rsidRDefault="005028B2" w:rsidP="008409AA">
            <w:pPr>
              <w:rPr>
                <w:rFonts w:ascii="Times New Roman" w:hAnsi="Times New Roman"/>
                <w:sz w:val="20"/>
                <w:vertAlign w:val="superscript"/>
              </w:rPr>
            </w:pPr>
            <w:r w:rsidRPr="008409AA">
              <w:rPr>
                <w:rFonts w:ascii="Times New Roman" w:hAnsi="Times New Roman"/>
                <w:sz w:val="20"/>
              </w:rPr>
              <w:t>Maksymalna powierzchnia warstwy przypadająca na jedno badanie (m</w:t>
            </w:r>
            <w:r w:rsidRPr="008409AA">
              <w:rPr>
                <w:rFonts w:ascii="Times New Roman" w:hAnsi="Times New Roman"/>
                <w:sz w:val="20"/>
                <w:vertAlign w:val="superscript"/>
              </w:rPr>
              <w:t>2</w:t>
            </w:r>
            <w:r w:rsidRPr="008409AA">
              <w:rPr>
                <w:rFonts w:ascii="Times New Roman" w:hAnsi="Times New Roman"/>
                <w:sz w:val="20"/>
              </w:rPr>
              <w:t>)</w:t>
            </w:r>
            <w:r w:rsidRPr="008409AA">
              <w:rPr>
                <w:rFonts w:ascii="Times New Roman" w:hAnsi="Times New Roman"/>
                <w:sz w:val="20"/>
                <w:vertAlign w:val="superscript"/>
              </w:rPr>
              <w:t>1)</w:t>
            </w:r>
          </w:p>
        </w:tc>
      </w:tr>
      <w:tr w:rsidR="00A87A5A" w:rsidRPr="008409AA">
        <w:trPr>
          <w:cantSplit/>
        </w:trPr>
        <w:tc>
          <w:tcPr>
            <w:tcW w:w="496" w:type="dxa"/>
            <w:tcBorders>
              <w:left w:val="single" w:sz="6" w:space="0" w:color="auto"/>
              <w:bottom w:val="single" w:sz="6" w:space="0" w:color="auto"/>
              <w:right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1</w:t>
            </w:r>
          </w:p>
        </w:tc>
        <w:tc>
          <w:tcPr>
            <w:tcW w:w="4394" w:type="dxa"/>
            <w:tcBorders>
              <w:left w:val="single" w:sz="6" w:space="0" w:color="auto"/>
              <w:bottom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 xml:space="preserve">Uziarnienie mieszanki </w:t>
            </w:r>
            <w:r w:rsidRPr="008409AA">
              <w:rPr>
                <w:rFonts w:ascii="Times New Roman" w:hAnsi="Times New Roman"/>
                <w:sz w:val="20"/>
              </w:rPr>
              <w:tab/>
            </w:r>
          </w:p>
        </w:tc>
        <w:tc>
          <w:tcPr>
            <w:tcW w:w="1559" w:type="dxa"/>
            <w:vMerge w:val="restart"/>
            <w:tcBorders>
              <w:left w:val="single" w:sz="6" w:space="0" w:color="auto"/>
            </w:tcBorders>
            <w:vAlign w:val="center"/>
          </w:tcPr>
          <w:p w:rsidR="00A87A5A" w:rsidRPr="008409AA" w:rsidRDefault="005028B2" w:rsidP="008409AA">
            <w:pPr>
              <w:rPr>
                <w:rFonts w:ascii="Times New Roman" w:hAnsi="Times New Roman"/>
                <w:sz w:val="20"/>
              </w:rPr>
            </w:pPr>
            <w:r w:rsidRPr="008409AA">
              <w:rPr>
                <w:rFonts w:ascii="Times New Roman" w:hAnsi="Times New Roman"/>
                <w:sz w:val="20"/>
              </w:rPr>
              <w:t>1</w:t>
            </w:r>
          </w:p>
        </w:tc>
        <w:tc>
          <w:tcPr>
            <w:tcW w:w="2552" w:type="dxa"/>
            <w:vMerge w:val="restart"/>
            <w:tcBorders>
              <w:left w:val="single" w:sz="6" w:space="0" w:color="auto"/>
              <w:right w:val="single" w:sz="6" w:space="0" w:color="auto"/>
            </w:tcBorders>
            <w:vAlign w:val="center"/>
          </w:tcPr>
          <w:p w:rsidR="00A87A5A" w:rsidRPr="008409AA" w:rsidRDefault="005028B2" w:rsidP="008409AA">
            <w:pPr>
              <w:rPr>
                <w:rFonts w:ascii="Times New Roman" w:hAnsi="Times New Roman"/>
                <w:sz w:val="20"/>
              </w:rPr>
            </w:pPr>
            <w:r w:rsidRPr="008409AA">
              <w:rPr>
                <w:rFonts w:ascii="Times New Roman" w:hAnsi="Times New Roman"/>
                <w:sz w:val="20"/>
              </w:rPr>
              <w:t>3000</w:t>
            </w:r>
          </w:p>
        </w:tc>
      </w:tr>
      <w:tr w:rsidR="00A87A5A" w:rsidRPr="008409AA">
        <w:trPr>
          <w:cantSplit/>
        </w:trPr>
        <w:tc>
          <w:tcPr>
            <w:tcW w:w="496" w:type="dxa"/>
            <w:tcBorders>
              <w:top w:val="single" w:sz="6" w:space="0" w:color="auto"/>
              <w:left w:val="single" w:sz="6" w:space="0" w:color="auto"/>
              <w:bottom w:val="single" w:sz="6" w:space="0" w:color="auto"/>
              <w:right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2</w:t>
            </w:r>
          </w:p>
        </w:tc>
        <w:tc>
          <w:tcPr>
            <w:tcW w:w="4394" w:type="dxa"/>
            <w:tcBorders>
              <w:top w:val="single" w:sz="6" w:space="0" w:color="auto"/>
              <w:left w:val="single" w:sz="6" w:space="0" w:color="auto"/>
              <w:bottom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 xml:space="preserve">Zawartość wody w mieszance </w:t>
            </w:r>
          </w:p>
        </w:tc>
        <w:tc>
          <w:tcPr>
            <w:tcW w:w="1559" w:type="dxa"/>
            <w:vMerge/>
            <w:tcBorders>
              <w:left w:val="single" w:sz="6" w:space="0" w:color="auto"/>
            </w:tcBorders>
          </w:tcPr>
          <w:p w:rsidR="00A87A5A" w:rsidRPr="008409AA" w:rsidRDefault="00A87A5A" w:rsidP="008409AA">
            <w:pPr>
              <w:rPr>
                <w:rFonts w:ascii="Times New Roman" w:hAnsi="Times New Roman"/>
                <w:sz w:val="20"/>
              </w:rPr>
            </w:pPr>
          </w:p>
        </w:tc>
        <w:tc>
          <w:tcPr>
            <w:tcW w:w="2552" w:type="dxa"/>
            <w:vMerge/>
            <w:tcBorders>
              <w:left w:val="single" w:sz="6" w:space="0" w:color="auto"/>
              <w:bottom w:val="single" w:sz="6" w:space="0" w:color="auto"/>
              <w:right w:val="single" w:sz="6" w:space="0" w:color="auto"/>
            </w:tcBorders>
          </w:tcPr>
          <w:p w:rsidR="00A87A5A" w:rsidRPr="008409AA" w:rsidRDefault="00A87A5A" w:rsidP="008409AA">
            <w:pPr>
              <w:rPr>
                <w:rFonts w:ascii="Times New Roman" w:hAnsi="Times New Roman"/>
                <w:sz w:val="20"/>
              </w:rPr>
            </w:pPr>
          </w:p>
        </w:tc>
      </w:tr>
      <w:tr w:rsidR="00A87A5A" w:rsidRPr="008409AA">
        <w:trPr>
          <w:cantSplit/>
        </w:trPr>
        <w:tc>
          <w:tcPr>
            <w:tcW w:w="496" w:type="dxa"/>
            <w:tcBorders>
              <w:top w:val="single" w:sz="6" w:space="0" w:color="auto"/>
              <w:left w:val="single" w:sz="6" w:space="0" w:color="auto"/>
              <w:bottom w:val="single" w:sz="6" w:space="0" w:color="auto"/>
              <w:right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3</w:t>
            </w:r>
          </w:p>
        </w:tc>
        <w:tc>
          <w:tcPr>
            <w:tcW w:w="4394" w:type="dxa"/>
            <w:tcBorders>
              <w:top w:val="single" w:sz="6" w:space="0" w:color="auto"/>
              <w:left w:val="single" w:sz="6" w:space="0" w:color="auto"/>
              <w:bottom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 xml:space="preserve">Zagęszczenie i nośność warstwy </w:t>
            </w:r>
          </w:p>
        </w:tc>
        <w:tc>
          <w:tcPr>
            <w:tcW w:w="1559" w:type="dxa"/>
            <w:tcBorders>
              <w:top w:val="single" w:sz="6" w:space="0" w:color="auto"/>
              <w:left w:val="single" w:sz="6" w:space="0" w:color="auto"/>
              <w:bottom w:val="single" w:sz="6" w:space="0" w:color="auto"/>
              <w:right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2</w:t>
            </w:r>
          </w:p>
        </w:tc>
        <w:tc>
          <w:tcPr>
            <w:tcW w:w="2552" w:type="dxa"/>
            <w:tcBorders>
              <w:top w:val="single" w:sz="6" w:space="0" w:color="auto"/>
              <w:left w:val="single" w:sz="6" w:space="0" w:color="auto"/>
              <w:bottom w:val="single" w:sz="6" w:space="0" w:color="auto"/>
              <w:right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1000</w:t>
            </w:r>
          </w:p>
        </w:tc>
      </w:tr>
      <w:tr w:rsidR="00A87A5A" w:rsidRPr="008409AA">
        <w:tc>
          <w:tcPr>
            <w:tcW w:w="496" w:type="dxa"/>
            <w:tcBorders>
              <w:top w:val="single" w:sz="6" w:space="0" w:color="auto"/>
              <w:left w:val="single" w:sz="6" w:space="0" w:color="auto"/>
              <w:bottom w:val="single" w:sz="6" w:space="0" w:color="auto"/>
              <w:right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4</w:t>
            </w:r>
          </w:p>
        </w:tc>
        <w:tc>
          <w:tcPr>
            <w:tcW w:w="4394" w:type="dxa"/>
            <w:tcBorders>
              <w:top w:val="single" w:sz="6" w:space="0" w:color="auto"/>
              <w:left w:val="single" w:sz="6" w:space="0" w:color="auto"/>
              <w:bottom w:val="single" w:sz="6" w:space="0" w:color="auto"/>
              <w:right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sz w:val="20"/>
              </w:rPr>
              <w:t>Badanie właściwości mieszanki kruszyw</w:t>
            </w:r>
          </w:p>
        </w:tc>
        <w:tc>
          <w:tcPr>
            <w:tcW w:w="4111" w:type="dxa"/>
            <w:gridSpan w:val="2"/>
            <w:tcBorders>
              <w:top w:val="single" w:sz="6" w:space="0" w:color="auto"/>
              <w:left w:val="single" w:sz="6" w:space="0" w:color="auto"/>
              <w:bottom w:val="single" w:sz="6" w:space="0" w:color="auto"/>
              <w:right w:val="single" w:sz="6" w:space="0" w:color="auto"/>
            </w:tcBorders>
          </w:tcPr>
          <w:p w:rsidR="00A87A5A" w:rsidRPr="008409AA" w:rsidRDefault="005028B2" w:rsidP="008409AA">
            <w:pPr>
              <w:rPr>
                <w:rFonts w:ascii="Times New Roman" w:hAnsi="Times New Roman"/>
                <w:sz w:val="20"/>
              </w:rPr>
            </w:pPr>
            <w:r w:rsidRPr="008409AA">
              <w:rPr>
                <w:rFonts w:ascii="Times New Roman" w:hAnsi="Times New Roman"/>
                <w:w w:val="90"/>
                <w:sz w:val="20"/>
              </w:rPr>
              <w:t>przy zatwierdzeniu materiału oraz przy każdej istotnej zmianie jego właściwości, zmianie złoża, zmianie producenta.</w:t>
            </w:r>
          </w:p>
        </w:tc>
      </w:tr>
    </w:tbl>
    <w:p w:rsidR="00A87A5A" w:rsidRPr="008409AA" w:rsidRDefault="00A87A5A" w:rsidP="008409AA">
      <w:pPr>
        <w:rPr>
          <w:rFonts w:ascii="Times New Roman" w:hAnsi="Times New Roman"/>
          <w:bCs/>
          <w:sz w:val="10"/>
          <w:szCs w:val="10"/>
        </w:rPr>
      </w:pPr>
    </w:p>
    <w:p w:rsidR="00A87A5A" w:rsidRPr="008409AA" w:rsidRDefault="005028B2" w:rsidP="008409AA">
      <w:pPr>
        <w:rPr>
          <w:rFonts w:ascii="Times New Roman" w:hAnsi="Times New Roman"/>
          <w:bCs/>
          <w:sz w:val="20"/>
        </w:rPr>
      </w:pPr>
      <w:r w:rsidRPr="008409AA">
        <w:rPr>
          <w:rFonts w:ascii="Times New Roman" w:hAnsi="Times New Roman"/>
          <w:b/>
          <w:bCs/>
          <w:sz w:val="20"/>
        </w:rPr>
        <w:t>6.2.1.</w:t>
      </w:r>
      <w:r w:rsidRPr="008409AA">
        <w:rPr>
          <w:rFonts w:ascii="Times New Roman" w:hAnsi="Times New Roman"/>
          <w:bCs/>
          <w:sz w:val="20"/>
        </w:rPr>
        <w:t xml:space="preserve"> Uziarnienie mieszanki</w:t>
      </w:r>
    </w:p>
    <w:p w:rsidR="00A87A5A" w:rsidRPr="008409AA" w:rsidRDefault="005028B2" w:rsidP="009845F5">
      <w:pPr>
        <w:jc w:val="both"/>
        <w:rPr>
          <w:rFonts w:ascii="Times New Roman" w:hAnsi="Times New Roman"/>
          <w:sz w:val="20"/>
        </w:rPr>
      </w:pPr>
      <w:r w:rsidRPr="008409AA">
        <w:rPr>
          <w:rFonts w:ascii="Times New Roman" w:hAnsi="Times New Roman"/>
          <w:sz w:val="20"/>
        </w:rPr>
        <w:t>Kontrola uziarnienia rozłożonego kruszywa powinna być przeprowadzana minimum 1 raz na każdej dziennej działce roboczej za pomocą analizy sitowej. Próbki należy pobierać losowo z rozłożonej warstwy, przed jej zagęszczeniem. Uziarnienie mieszanki powinno mieścić się pomiędzy krzywymi granicznymi wg WT-4 2010 dla zaprojektowanego uziarnienia mieszanki do nawierzchni z kruszywa niezwiązanego.</w:t>
      </w:r>
    </w:p>
    <w:p w:rsidR="00A87A5A" w:rsidRPr="008409AA" w:rsidRDefault="005028B2" w:rsidP="009845F5">
      <w:pPr>
        <w:jc w:val="both"/>
        <w:rPr>
          <w:rFonts w:ascii="Times New Roman" w:hAnsi="Times New Roman"/>
          <w:bCs/>
          <w:sz w:val="20"/>
        </w:rPr>
      </w:pPr>
      <w:r w:rsidRPr="008409AA">
        <w:rPr>
          <w:rFonts w:ascii="Times New Roman" w:hAnsi="Times New Roman"/>
          <w:b/>
          <w:bCs/>
          <w:sz w:val="20"/>
        </w:rPr>
        <w:t>6.2.2.</w:t>
      </w:r>
      <w:r w:rsidRPr="008409AA">
        <w:rPr>
          <w:rFonts w:ascii="Times New Roman" w:hAnsi="Times New Roman"/>
          <w:bCs/>
          <w:sz w:val="20"/>
        </w:rPr>
        <w:t xml:space="preserve"> Zawartość wody w mieszance</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Zawartość wody w mieszance kruszyw w czasie wbudowania i zagęszczania badana według PN-EN 13286-2 powinna odpowiadać wymaganej w granicach określonych w WT-4 Mieszanki niezwiązane 2010 Tablica 6. </w:t>
      </w:r>
    </w:p>
    <w:p w:rsidR="00A87A5A" w:rsidRPr="008409AA" w:rsidRDefault="005028B2" w:rsidP="009845F5">
      <w:pPr>
        <w:jc w:val="both"/>
        <w:rPr>
          <w:rFonts w:ascii="Times New Roman" w:hAnsi="Times New Roman"/>
          <w:bCs/>
          <w:sz w:val="20"/>
        </w:rPr>
      </w:pPr>
      <w:r w:rsidRPr="008409AA">
        <w:rPr>
          <w:rFonts w:ascii="Times New Roman" w:hAnsi="Times New Roman"/>
          <w:b/>
          <w:bCs/>
          <w:sz w:val="20"/>
        </w:rPr>
        <w:t>6.2.3.</w:t>
      </w:r>
      <w:r w:rsidRPr="008409AA">
        <w:rPr>
          <w:rFonts w:ascii="Times New Roman" w:hAnsi="Times New Roman"/>
          <w:bCs/>
          <w:sz w:val="20"/>
        </w:rPr>
        <w:t xml:space="preserve"> Zagęszczenie i nośność </w:t>
      </w:r>
      <w:r w:rsidRPr="008409AA">
        <w:rPr>
          <w:rFonts w:ascii="Times New Roman" w:hAnsi="Times New Roman"/>
          <w:sz w:val="20"/>
        </w:rPr>
        <w:t>nawierzchni z kruszywa niezwiązanego</w:t>
      </w:r>
    </w:p>
    <w:p w:rsidR="00A87A5A" w:rsidRPr="008409AA" w:rsidRDefault="005028B2" w:rsidP="009845F5">
      <w:pPr>
        <w:jc w:val="both"/>
        <w:rPr>
          <w:rFonts w:ascii="Times New Roman" w:hAnsi="Times New Roman"/>
          <w:snapToGrid w:val="0"/>
          <w:sz w:val="20"/>
        </w:rPr>
      </w:pPr>
      <w:r w:rsidRPr="008409AA">
        <w:rPr>
          <w:rFonts w:ascii="Times New Roman" w:hAnsi="Times New Roman"/>
          <w:snapToGrid w:val="0"/>
          <w:sz w:val="20"/>
        </w:rPr>
        <w:t>Pomiar wtórnego modułu odkształcenia E</w:t>
      </w:r>
      <w:r w:rsidRPr="008409AA">
        <w:rPr>
          <w:rFonts w:ascii="Times New Roman" w:hAnsi="Times New Roman"/>
          <w:snapToGrid w:val="0"/>
          <w:sz w:val="20"/>
          <w:vertAlign w:val="subscript"/>
        </w:rPr>
        <w:t xml:space="preserve">2 </w:t>
      </w:r>
      <w:r w:rsidRPr="008409AA">
        <w:rPr>
          <w:rFonts w:ascii="Times New Roman" w:hAnsi="Times New Roman"/>
          <w:snapToGrid w:val="0"/>
          <w:sz w:val="20"/>
        </w:rPr>
        <w:t>oraz wskaźnika odkształcenia I</w:t>
      </w:r>
      <w:r w:rsidRPr="008409AA">
        <w:rPr>
          <w:rFonts w:ascii="Times New Roman" w:hAnsi="Times New Roman"/>
          <w:snapToGrid w:val="0"/>
          <w:sz w:val="20"/>
          <w:vertAlign w:val="subscript"/>
        </w:rPr>
        <w:t>0</w:t>
      </w:r>
      <w:r w:rsidRPr="008409AA">
        <w:rPr>
          <w:rFonts w:ascii="Times New Roman" w:hAnsi="Times New Roman"/>
          <w:snapToGrid w:val="0"/>
          <w:sz w:val="20"/>
        </w:rPr>
        <w:t xml:space="preserve"> należy wykonać zgodnie z Instrukcją Badań Podłoża Gruntowego Budowli Drogowych i Mostowych GDDP:1998 część 2 pkt. 2.4.4. Moduł odkształcenia E</w:t>
      </w:r>
      <w:r w:rsidRPr="008409AA">
        <w:rPr>
          <w:rFonts w:ascii="Times New Roman" w:hAnsi="Times New Roman"/>
          <w:snapToGrid w:val="0"/>
          <w:sz w:val="20"/>
          <w:vertAlign w:val="subscript"/>
        </w:rPr>
        <w:t xml:space="preserve">2 </w:t>
      </w:r>
      <w:r w:rsidRPr="008409AA">
        <w:rPr>
          <w:rFonts w:ascii="Times New Roman" w:hAnsi="Times New Roman"/>
          <w:snapToGrid w:val="0"/>
          <w:sz w:val="20"/>
        </w:rPr>
        <w:t>należy wyznaczyć dla obciążenia od 0,15 – 0,25 MPa, a nacisk końcowy doprowadzić do 0,45 MPa.</w:t>
      </w:r>
    </w:p>
    <w:p w:rsidR="00A87A5A" w:rsidRPr="008409AA" w:rsidRDefault="005028B2" w:rsidP="009845F5">
      <w:pPr>
        <w:jc w:val="both"/>
        <w:rPr>
          <w:rFonts w:ascii="Times New Roman" w:hAnsi="Times New Roman"/>
          <w:sz w:val="20"/>
        </w:rPr>
      </w:pPr>
      <w:r w:rsidRPr="008409AA">
        <w:rPr>
          <w:rFonts w:ascii="Times New Roman" w:hAnsi="Times New Roman"/>
          <w:sz w:val="20"/>
        </w:rPr>
        <w:t>E</w:t>
      </w:r>
      <w:r w:rsidRPr="008409AA">
        <w:rPr>
          <w:rFonts w:ascii="Times New Roman" w:hAnsi="Times New Roman"/>
          <w:sz w:val="20"/>
          <w:vertAlign w:val="subscript"/>
        </w:rPr>
        <w:t>1</w:t>
      </w:r>
      <w:r w:rsidRPr="008409AA">
        <w:rPr>
          <w:rFonts w:ascii="Times New Roman" w:hAnsi="Times New Roman"/>
          <w:sz w:val="20"/>
        </w:rPr>
        <w:t xml:space="preserve"> i  E</w:t>
      </w:r>
      <w:r w:rsidRPr="008409AA">
        <w:rPr>
          <w:rFonts w:ascii="Times New Roman" w:hAnsi="Times New Roman"/>
          <w:sz w:val="20"/>
          <w:vertAlign w:val="subscript"/>
        </w:rPr>
        <w:t>2</w:t>
      </w:r>
      <w:r w:rsidRPr="008409AA">
        <w:rPr>
          <w:rFonts w:ascii="Times New Roman" w:hAnsi="Times New Roman"/>
          <w:sz w:val="20"/>
        </w:rPr>
        <w:t xml:space="preserve"> = </w:t>
      </w:r>
      <w:r w:rsidRPr="008409AA">
        <w:rPr>
          <w:rFonts w:ascii="Times New Roman" w:hAnsi="Times New Roman"/>
          <w:position w:val="-24"/>
          <w:sz w:val="20"/>
        </w:rPr>
        <w:object w:dxaOrig="9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pt;height:31.8pt" o:ole="">
            <v:imagedata r:id="rId8" o:title=""/>
          </v:shape>
          <o:OLEObject Type="Embed" ProgID="Equation.3" ShapeID="_x0000_i1025" DrawAspect="Content" ObjectID="_1612340542" r:id="rId9"/>
        </w:object>
      </w:r>
      <w:r w:rsidRPr="008409AA">
        <w:rPr>
          <w:rFonts w:ascii="Times New Roman" w:hAnsi="Times New Roman"/>
          <w:sz w:val="20"/>
        </w:rPr>
        <w:t xml:space="preserve">             </w:t>
      </w:r>
    </w:p>
    <w:p w:rsidR="00A87A5A" w:rsidRPr="008409AA" w:rsidRDefault="005028B2" w:rsidP="009845F5">
      <w:pPr>
        <w:jc w:val="both"/>
        <w:rPr>
          <w:rFonts w:ascii="Times New Roman" w:hAnsi="Times New Roman"/>
          <w:sz w:val="20"/>
        </w:rPr>
      </w:pPr>
      <w:r w:rsidRPr="008409AA">
        <w:rPr>
          <w:rFonts w:ascii="Times New Roman" w:hAnsi="Times New Roman"/>
          <w:sz w:val="20"/>
        </w:rPr>
        <w:t>ΔP – różnica nacisku w MPa</w:t>
      </w:r>
    </w:p>
    <w:p w:rsidR="00A87A5A" w:rsidRPr="008409AA" w:rsidRDefault="005028B2" w:rsidP="009845F5">
      <w:pPr>
        <w:jc w:val="both"/>
        <w:rPr>
          <w:rFonts w:ascii="Times New Roman" w:hAnsi="Times New Roman"/>
          <w:sz w:val="20"/>
        </w:rPr>
      </w:pPr>
      <w:r w:rsidRPr="008409AA">
        <w:rPr>
          <w:rFonts w:ascii="Times New Roman" w:hAnsi="Times New Roman"/>
          <w:sz w:val="20"/>
        </w:rPr>
        <w:t>ΔS – przyrost osiadań odpowiadający tej różnicy nacisków w milimetrach</w:t>
      </w:r>
    </w:p>
    <w:p w:rsidR="00A87A5A" w:rsidRPr="008409AA" w:rsidRDefault="005028B2" w:rsidP="009845F5">
      <w:pPr>
        <w:jc w:val="both"/>
        <w:rPr>
          <w:rFonts w:ascii="Times New Roman" w:hAnsi="Times New Roman"/>
          <w:sz w:val="20"/>
        </w:rPr>
      </w:pPr>
      <w:r w:rsidRPr="008409AA">
        <w:rPr>
          <w:rFonts w:ascii="Times New Roman" w:hAnsi="Times New Roman"/>
          <w:sz w:val="20"/>
        </w:rPr>
        <w:t>D – średnica płyty w milimetrach</w:t>
      </w:r>
    </w:p>
    <w:p w:rsidR="00A87A5A" w:rsidRPr="008409AA" w:rsidRDefault="00A87A5A" w:rsidP="009845F5">
      <w:pPr>
        <w:jc w:val="both"/>
        <w:rPr>
          <w:rFonts w:ascii="Times New Roman" w:hAnsi="Times New Roman"/>
          <w:sz w:val="10"/>
          <w:szCs w:val="10"/>
        </w:rPr>
      </w:pPr>
    </w:p>
    <w:p w:rsidR="00A87A5A" w:rsidRPr="008409AA" w:rsidRDefault="005028B2" w:rsidP="009845F5">
      <w:pPr>
        <w:jc w:val="both"/>
        <w:rPr>
          <w:rFonts w:ascii="Times New Roman" w:hAnsi="Times New Roman"/>
          <w:sz w:val="20"/>
        </w:rPr>
      </w:pPr>
      <w:r w:rsidRPr="008409AA">
        <w:rPr>
          <w:rFonts w:ascii="Times New Roman" w:hAnsi="Times New Roman"/>
          <w:sz w:val="20"/>
        </w:rPr>
        <w:t>Zagęszczenie podbudowy stabilizowanej mechanicznie należy uznać za prawidłowe, gdy wskaźnik odkształcenia I</w:t>
      </w:r>
      <w:r w:rsidRPr="008409AA">
        <w:rPr>
          <w:rFonts w:ascii="Times New Roman" w:hAnsi="Times New Roman"/>
          <w:sz w:val="20"/>
          <w:vertAlign w:val="subscript"/>
        </w:rPr>
        <w:t>o</w:t>
      </w:r>
      <w:r w:rsidRPr="008409AA">
        <w:rPr>
          <w:rFonts w:ascii="Times New Roman" w:hAnsi="Times New Roman"/>
          <w:sz w:val="20"/>
        </w:rPr>
        <w:t xml:space="preserve"> tj. stosunek wtórnego modułu </w:t>
      </w:r>
      <w:r w:rsidRPr="008409AA">
        <w:rPr>
          <w:rFonts w:ascii="Times New Roman" w:hAnsi="Times New Roman"/>
          <w:i/>
          <w:sz w:val="20"/>
        </w:rPr>
        <w:t>E</w:t>
      </w:r>
      <w:r w:rsidRPr="008409AA">
        <w:rPr>
          <w:rFonts w:ascii="Times New Roman" w:hAnsi="Times New Roman"/>
          <w:sz w:val="20"/>
          <w:vertAlign w:val="subscript"/>
        </w:rPr>
        <w:t>2</w:t>
      </w:r>
      <w:r w:rsidRPr="008409AA">
        <w:rPr>
          <w:rFonts w:ascii="Times New Roman" w:hAnsi="Times New Roman"/>
          <w:sz w:val="20"/>
        </w:rPr>
        <w:t xml:space="preserve"> do pierwotnego modułu odkształcenia </w:t>
      </w:r>
      <w:r w:rsidRPr="008409AA">
        <w:rPr>
          <w:rFonts w:ascii="Times New Roman" w:hAnsi="Times New Roman"/>
          <w:i/>
          <w:sz w:val="20"/>
        </w:rPr>
        <w:t>E</w:t>
      </w:r>
      <w:r w:rsidRPr="008409AA">
        <w:rPr>
          <w:rFonts w:ascii="Times New Roman" w:hAnsi="Times New Roman"/>
          <w:sz w:val="20"/>
          <w:vertAlign w:val="subscript"/>
        </w:rPr>
        <w:t>1</w:t>
      </w:r>
      <w:r w:rsidRPr="008409AA">
        <w:rPr>
          <w:rFonts w:ascii="Times New Roman" w:hAnsi="Times New Roman"/>
          <w:sz w:val="20"/>
        </w:rPr>
        <w:t xml:space="preserve"> jest nie większy od 2,2 dla każdej warstwy konstrukcyjnej podbudowy.</w:t>
      </w:r>
    </w:p>
    <w:p w:rsidR="00A87A5A" w:rsidRPr="008409AA" w:rsidRDefault="005028B2" w:rsidP="009845F5">
      <w:pPr>
        <w:jc w:val="both"/>
        <w:rPr>
          <w:rFonts w:ascii="Times New Roman" w:hAnsi="Times New Roman"/>
          <w:sz w:val="20"/>
        </w:rPr>
      </w:pPr>
      <w:r w:rsidRPr="008409AA">
        <w:rPr>
          <w:rFonts w:ascii="Times New Roman" w:hAnsi="Times New Roman"/>
          <w:sz w:val="20"/>
        </w:rPr>
        <w:t>I</w:t>
      </w:r>
      <w:r w:rsidRPr="008409AA">
        <w:rPr>
          <w:rFonts w:ascii="Times New Roman" w:hAnsi="Times New Roman"/>
          <w:sz w:val="20"/>
          <w:vertAlign w:val="subscript"/>
        </w:rPr>
        <w:t>o</w:t>
      </w:r>
      <w:r w:rsidRPr="008409AA">
        <w:rPr>
          <w:rFonts w:ascii="Times New Roman" w:hAnsi="Times New Roman"/>
          <w:sz w:val="20"/>
        </w:rPr>
        <w:t xml:space="preserve"> = </w:t>
      </w:r>
      <w:r w:rsidRPr="008409AA">
        <w:rPr>
          <w:rFonts w:ascii="Times New Roman" w:hAnsi="Times New Roman"/>
          <w:position w:val="-28"/>
          <w:sz w:val="20"/>
        </w:rPr>
        <w:object w:dxaOrig="340" w:dyaOrig="680">
          <v:shape id="_x0000_i1026" type="#_x0000_t75" style="width:17.4pt;height:34.8pt" o:ole="">
            <v:imagedata r:id="rId10" o:title=""/>
          </v:shape>
          <o:OLEObject Type="Embed" ProgID="Equation.3" ShapeID="_x0000_i1026" DrawAspect="Content" ObjectID="_1612340543" r:id="rId11"/>
        </w:object>
      </w:r>
      <w:r w:rsidRPr="008409AA">
        <w:rPr>
          <w:rFonts w:ascii="Times New Roman" w:hAnsi="Times New Roman"/>
          <w:sz w:val="20"/>
        </w:rPr>
        <w:t xml:space="preserve">  </w:t>
      </w:r>
      <w:r w:rsidRPr="008409AA">
        <w:rPr>
          <w:rFonts w:ascii="Times New Roman" w:hAnsi="Times New Roman"/>
          <w:sz w:val="20"/>
        </w:rPr>
        <w:sym w:font="Symbol" w:char="F0A3"/>
      </w:r>
      <w:r w:rsidRPr="008409AA">
        <w:rPr>
          <w:rFonts w:ascii="Times New Roman" w:hAnsi="Times New Roman"/>
          <w:sz w:val="20"/>
        </w:rPr>
        <w:t xml:space="preserve">   2,2</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Minimalna wartość modułu odkształcenia </w:t>
      </w:r>
      <w:r w:rsidRPr="008409AA">
        <w:rPr>
          <w:rFonts w:ascii="Times New Roman" w:hAnsi="Times New Roman"/>
          <w:i/>
          <w:sz w:val="20"/>
        </w:rPr>
        <w:t>E</w:t>
      </w:r>
      <w:r w:rsidRPr="008409AA">
        <w:rPr>
          <w:rFonts w:ascii="Times New Roman" w:hAnsi="Times New Roman"/>
          <w:sz w:val="20"/>
          <w:vertAlign w:val="subscript"/>
        </w:rPr>
        <w:t xml:space="preserve">2 </w:t>
      </w:r>
      <w:r w:rsidRPr="008409AA">
        <w:rPr>
          <w:rFonts w:ascii="Times New Roman" w:hAnsi="Times New Roman"/>
          <w:sz w:val="20"/>
        </w:rPr>
        <w:t xml:space="preserve"> nie mniejsza niż 120 MPa. </w:t>
      </w:r>
    </w:p>
    <w:p w:rsidR="00A87A5A" w:rsidRPr="008409AA" w:rsidRDefault="00A87A5A" w:rsidP="009845F5">
      <w:pPr>
        <w:jc w:val="both"/>
        <w:rPr>
          <w:rFonts w:ascii="Times New Roman" w:hAnsi="Times New Roman"/>
          <w:bCs/>
          <w:sz w:val="10"/>
          <w:szCs w:val="10"/>
        </w:rPr>
      </w:pPr>
    </w:p>
    <w:p w:rsidR="00A87A5A" w:rsidRPr="008409AA" w:rsidRDefault="005028B2" w:rsidP="009845F5">
      <w:pPr>
        <w:jc w:val="both"/>
        <w:rPr>
          <w:rFonts w:ascii="Times New Roman" w:hAnsi="Times New Roman"/>
          <w:bCs/>
          <w:sz w:val="20"/>
        </w:rPr>
      </w:pPr>
      <w:r w:rsidRPr="008409AA">
        <w:rPr>
          <w:rFonts w:ascii="Times New Roman" w:hAnsi="Times New Roman"/>
          <w:b/>
          <w:bCs/>
          <w:sz w:val="20"/>
        </w:rPr>
        <w:t>6.2.4.</w:t>
      </w:r>
      <w:r w:rsidRPr="008409AA">
        <w:rPr>
          <w:rFonts w:ascii="Times New Roman" w:hAnsi="Times New Roman"/>
          <w:bCs/>
          <w:sz w:val="20"/>
        </w:rPr>
        <w:t xml:space="preserve"> Właściwości kruszywa</w:t>
      </w:r>
    </w:p>
    <w:p w:rsidR="00A87A5A" w:rsidRPr="008409AA" w:rsidRDefault="005028B2" w:rsidP="009845F5">
      <w:pPr>
        <w:jc w:val="both"/>
        <w:rPr>
          <w:rFonts w:ascii="Times New Roman" w:hAnsi="Times New Roman"/>
          <w:sz w:val="20"/>
        </w:rPr>
      </w:pPr>
      <w:r w:rsidRPr="008409AA">
        <w:rPr>
          <w:rFonts w:ascii="Times New Roman" w:hAnsi="Times New Roman"/>
          <w:sz w:val="20"/>
        </w:rPr>
        <w:t>Właściwości mieszanki kruszywa obejmujące ocenę wszystkich właściwości określonych w tablicy 1 należy badać dla każdej dostawy. Próbki do badań pełnych powinny być pobierane losowo w obecności Inżyniera.</w:t>
      </w:r>
    </w:p>
    <w:p w:rsidR="00A87A5A" w:rsidRPr="008409AA" w:rsidRDefault="005028B2" w:rsidP="009845F5">
      <w:pPr>
        <w:jc w:val="both"/>
        <w:rPr>
          <w:rFonts w:ascii="Times New Roman" w:hAnsi="Times New Roman"/>
          <w:b/>
          <w:sz w:val="20"/>
        </w:rPr>
      </w:pPr>
      <w:r w:rsidRPr="008409AA">
        <w:rPr>
          <w:rFonts w:ascii="Times New Roman" w:hAnsi="Times New Roman"/>
          <w:b/>
          <w:bCs/>
          <w:sz w:val="20"/>
        </w:rPr>
        <w:t xml:space="preserve">6.3. Wymagania dotyczące cech geometrycznych </w:t>
      </w:r>
      <w:r w:rsidRPr="008409AA">
        <w:rPr>
          <w:rFonts w:ascii="Times New Roman" w:hAnsi="Times New Roman"/>
          <w:b/>
          <w:sz w:val="20"/>
        </w:rPr>
        <w:t>nawierzchni.</w:t>
      </w:r>
    </w:p>
    <w:p w:rsidR="008409AA" w:rsidRPr="008409AA" w:rsidRDefault="008409AA" w:rsidP="009845F5">
      <w:pPr>
        <w:jc w:val="both"/>
        <w:rPr>
          <w:rFonts w:ascii="Times New Roman" w:hAnsi="Times New Roman"/>
          <w:sz w:val="10"/>
          <w:szCs w:val="10"/>
        </w:rPr>
      </w:pPr>
    </w:p>
    <w:p w:rsidR="00A87A5A" w:rsidRPr="008409AA" w:rsidRDefault="005028B2" w:rsidP="009845F5">
      <w:pPr>
        <w:jc w:val="both"/>
        <w:rPr>
          <w:rFonts w:ascii="Times New Roman" w:hAnsi="Times New Roman"/>
          <w:sz w:val="20"/>
        </w:rPr>
      </w:pPr>
      <w:r w:rsidRPr="008409AA">
        <w:rPr>
          <w:rFonts w:ascii="Times New Roman" w:hAnsi="Times New Roman"/>
          <w:sz w:val="20"/>
        </w:rPr>
        <w:t>Tablica 3. Częstotliwość oraz zakres pomiarów wykonanej nawierzchni.</w:t>
      </w: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552"/>
        <w:gridCol w:w="5953"/>
      </w:tblGrid>
      <w:tr w:rsidR="00A87A5A" w:rsidRPr="008409AA">
        <w:tc>
          <w:tcPr>
            <w:tcW w:w="637" w:type="dxa"/>
            <w:tcBorders>
              <w:bottom w:val="double" w:sz="6" w:space="0" w:color="auto"/>
            </w:tcBorders>
          </w:tcPr>
          <w:p w:rsidR="00A87A5A" w:rsidRPr="008409AA" w:rsidRDefault="005028B2" w:rsidP="009845F5">
            <w:pPr>
              <w:jc w:val="both"/>
              <w:rPr>
                <w:rFonts w:ascii="Times New Roman" w:hAnsi="Times New Roman"/>
                <w:sz w:val="20"/>
              </w:rPr>
            </w:pPr>
            <w:r w:rsidRPr="008409AA">
              <w:rPr>
                <w:rFonts w:ascii="Times New Roman" w:hAnsi="Times New Roman"/>
                <w:sz w:val="20"/>
              </w:rPr>
              <w:t>Lp.</w:t>
            </w:r>
          </w:p>
        </w:tc>
        <w:tc>
          <w:tcPr>
            <w:tcW w:w="2552" w:type="dxa"/>
            <w:tcBorders>
              <w:bottom w:val="double" w:sz="6" w:space="0" w:color="auto"/>
            </w:tcBorders>
          </w:tcPr>
          <w:p w:rsidR="00A87A5A" w:rsidRPr="008409AA" w:rsidRDefault="005028B2" w:rsidP="009845F5">
            <w:pPr>
              <w:jc w:val="both"/>
              <w:rPr>
                <w:rFonts w:ascii="Times New Roman" w:hAnsi="Times New Roman"/>
                <w:sz w:val="20"/>
              </w:rPr>
            </w:pPr>
            <w:r w:rsidRPr="008409AA">
              <w:rPr>
                <w:rFonts w:ascii="Times New Roman" w:hAnsi="Times New Roman"/>
                <w:sz w:val="20"/>
              </w:rPr>
              <w:t>Wyszczególnienie badań i pomiarów</w:t>
            </w:r>
          </w:p>
        </w:tc>
        <w:tc>
          <w:tcPr>
            <w:tcW w:w="5953" w:type="dxa"/>
            <w:tcBorders>
              <w:bottom w:val="double" w:sz="6" w:space="0" w:color="auto"/>
            </w:tcBorders>
          </w:tcPr>
          <w:p w:rsidR="00A87A5A" w:rsidRPr="008409AA" w:rsidRDefault="005028B2" w:rsidP="009845F5">
            <w:pPr>
              <w:jc w:val="both"/>
              <w:rPr>
                <w:rFonts w:ascii="Times New Roman" w:hAnsi="Times New Roman"/>
                <w:sz w:val="20"/>
              </w:rPr>
            </w:pPr>
            <w:r w:rsidRPr="008409AA">
              <w:rPr>
                <w:rFonts w:ascii="Times New Roman" w:hAnsi="Times New Roman"/>
                <w:sz w:val="20"/>
              </w:rPr>
              <w:t>Minimalna częstotliwość pomiarów</w:t>
            </w:r>
          </w:p>
        </w:tc>
      </w:tr>
      <w:tr w:rsidR="00A87A5A" w:rsidRPr="008409AA">
        <w:tc>
          <w:tcPr>
            <w:tcW w:w="637" w:type="dxa"/>
            <w:tcBorders>
              <w:top w:val="nil"/>
            </w:tcBorders>
          </w:tcPr>
          <w:p w:rsidR="00A87A5A" w:rsidRPr="008409AA" w:rsidRDefault="005028B2" w:rsidP="009845F5">
            <w:pPr>
              <w:jc w:val="both"/>
              <w:rPr>
                <w:rFonts w:ascii="Times New Roman" w:hAnsi="Times New Roman"/>
                <w:sz w:val="20"/>
              </w:rPr>
            </w:pPr>
            <w:r w:rsidRPr="008409AA">
              <w:rPr>
                <w:rFonts w:ascii="Times New Roman" w:hAnsi="Times New Roman"/>
                <w:sz w:val="20"/>
              </w:rPr>
              <w:t>1</w:t>
            </w:r>
          </w:p>
        </w:tc>
        <w:tc>
          <w:tcPr>
            <w:tcW w:w="2552" w:type="dxa"/>
            <w:tcBorders>
              <w:top w:val="nil"/>
            </w:tcBorders>
          </w:tcPr>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Szerokość podbudowy </w:t>
            </w:r>
          </w:p>
        </w:tc>
        <w:tc>
          <w:tcPr>
            <w:tcW w:w="5953" w:type="dxa"/>
            <w:tcBorders>
              <w:top w:val="nil"/>
            </w:tcBorders>
          </w:tcPr>
          <w:p w:rsidR="00A87A5A" w:rsidRPr="008409AA" w:rsidRDefault="005028B2" w:rsidP="009845F5">
            <w:pPr>
              <w:jc w:val="both"/>
              <w:rPr>
                <w:rFonts w:ascii="Times New Roman" w:hAnsi="Times New Roman"/>
                <w:sz w:val="20"/>
              </w:rPr>
            </w:pPr>
            <w:r w:rsidRPr="008409AA">
              <w:rPr>
                <w:rFonts w:ascii="Times New Roman" w:hAnsi="Times New Roman"/>
                <w:sz w:val="20"/>
              </w:rPr>
              <w:t>Minimum 3 razy na 1 km każdej jezdni</w:t>
            </w:r>
          </w:p>
        </w:tc>
      </w:tr>
      <w:tr w:rsidR="00A87A5A" w:rsidRPr="008409AA">
        <w:tc>
          <w:tcPr>
            <w:tcW w:w="637" w:type="dxa"/>
          </w:tcPr>
          <w:p w:rsidR="00A87A5A" w:rsidRPr="008409AA" w:rsidRDefault="005028B2" w:rsidP="009845F5">
            <w:pPr>
              <w:jc w:val="both"/>
              <w:rPr>
                <w:rFonts w:ascii="Times New Roman" w:hAnsi="Times New Roman"/>
                <w:sz w:val="20"/>
              </w:rPr>
            </w:pPr>
            <w:r w:rsidRPr="008409AA">
              <w:rPr>
                <w:rFonts w:ascii="Times New Roman" w:hAnsi="Times New Roman"/>
                <w:sz w:val="20"/>
              </w:rPr>
              <w:lastRenderedPageBreak/>
              <w:t>2</w:t>
            </w:r>
          </w:p>
        </w:tc>
        <w:tc>
          <w:tcPr>
            <w:tcW w:w="2552" w:type="dxa"/>
          </w:tcPr>
          <w:p w:rsidR="00A87A5A" w:rsidRPr="008409AA" w:rsidRDefault="005028B2" w:rsidP="009845F5">
            <w:pPr>
              <w:jc w:val="both"/>
              <w:rPr>
                <w:rFonts w:ascii="Times New Roman" w:hAnsi="Times New Roman"/>
                <w:sz w:val="20"/>
              </w:rPr>
            </w:pPr>
            <w:r w:rsidRPr="008409AA">
              <w:rPr>
                <w:rFonts w:ascii="Times New Roman" w:hAnsi="Times New Roman"/>
                <w:sz w:val="20"/>
              </w:rPr>
              <w:t>Równość podłużna</w:t>
            </w:r>
          </w:p>
        </w:tc>
        <w:tc>
          <w:tcPr>
            <w:tcW w:w="5953" w:type="dxa"/>
          </w:tcPr>
          <w:p w:rsidR="00A87A5A" w:rsidRPr="008409AA" w:rsidRDefault="005028B2" w:rsidP="009845F5">
            <w:pPr>
              <w:jc w:val="both"/>
              <w:rPr>
                <w:rFonts w:ascii="Times New Roman" w:hAnsi="Times New Roman"/>
                <w:sz w:val="20"/>
              </w:rPr>
            </w:pPr>
            <w:r w:rsidRPr="008409AA">
              <w:rPr>
                <w:rFonts w:ascii="Times New Roman" w:hAnsi="Times New Roman"/>
                <w:sz w:val="20"/>
              </w:rPr>
              <w:t>w sposób ciągły planografem albo co 20 m łatą na każdym pasie ruchu</w:t>
            </w:r>
          </w:p>
        </w:tc>
      </w:tr>
      <w:tr w:rsidR="00A87A5A" w:rsidRPr="008409AA">
        <w:tc>
          <w:tcPr>
            <w:tcW w:w="637" w:type="dxa"/>
          </w:tcPr>
          <w:p w:rsidR="00A87A5A" w:rsidRPr="008409AA" w:rsidRDefault="005028B2" w:rsidP="009845F5">
            <w:pPr>
              <w:jc w:val="both"/>
              <w:rPr>
                <w:rFonts w:ascii="Times New Roman" w:hAnsi="Times New Roman"/>
                <w:sz w:val="20"/>
              </w:rPr>
            </w:pPr>
            <w:r w:rsidRPr="008409AA">
              <w:rPr>
                <w:rFonts w:ascii="Times New Roman" w:hAnsi="Times New Roman"/>
                <w:sz w:val="20"/>
              </w:rPr>
              <w:t>3</w:t>
            </w:r>
          </w:p>
        </w:tc>
        <w:tc>
          <w:tcPr>
            <w:tcW w:w="2552" w:type="dxa"/>
          </w:tcPr>
          <w:p w:rsidR="00A87A5A" w:rsidRPr="008409AA" w:rsidRDefault="005028B2" w:rsidP="009845F5">
            <w:pPr>
              <w:jc w:val="both"/>
              <w:rPr>
                <w:rFonts w:ascii="Times New Roman" w:hAnsi="Times New Roman"/>
                <w:sz w:val="20"/>
              </w:rPr>
            </w:pPr>
            <w:r w:rsidRPr="008409AA">
              <w:rPr>
                <w:rFonts w:ascii="Times New Roman" w:hAnsi="Times New Roman"/>
                <w:sz w:val="20"/>
              </w:rPr>
              <w:t>Równość poprzeczna</w:t>
            </w:r>
          </w:p>
        </w:tc>
        <w:tc>
          <w:tcPr>
            <w:tcW w:w="5953" w:type="dxa"/>
          </w:tcPr>
          <w:p w:rsidR="00A87A5A" w:rsidRPr="008409AA" w:rsidRDefault="005028B2" w:rsidP="009845F5">
            <w:pPr>
              <w:jc w:val="both"/>
              <w:rPr>
                <w:rFonts w:ascii="Times New Roman" w:hAnsi="Times New Roman"/>
                <w:sz w:val="20"/>
              </w:rPr>
            </w:pPr>
            <w:r w:rsidRPr="008409AA">
              <w:rPr>
                <w:rFonts w:ascii="Times New Roman" w:hAnsi="Times New Roman"/>
                <w:sz w:val="20"/>
              </w:rPr>
              <w:t>10 razy na 1 km</w:t>
            </w:r>
          </w:p>
        </w:tc>
      </w:tr>
      <w:tr w:rsidR="00A87A5A" w:rsidRPr="008409AA">
        <w:tc>
          <w:tcPr>
            <w:tcW w:w="637" w:type="dxa"/>
          </w:tcPr>
          <w:p w:rsidR="00A87A5A" w:rsidRPr="008409AA" w:rsidRDefault="005028B2" w:rsidP="009845F5">
            <w:pPr>
              <w:jc w:val="both"/>
              <w:rPr>
                <w:rFonts w:ascii="Times New Roman" w:hAnsi="Times New Roman"/>
                <w:sz w:val="20"/>
              </w:rPr>
            </w:pPr>
            <w:r w:rsidRPr="008409AA">
              <w:rPr>
                <w:rFonts w:ascii="Times New Roman" w:hAnsi="Times New Roman"/>
                <w:sz w:val="20"/>
              </w:rPr>
              <w:t>4</w:t>
            </w:r>
          </w:p>
        </w:tc>
        <w:tc>
          <w:tcPr>
            <w:tcW w:w="2552" w:type="dxa"/>
          </w:tcPr>
          <w:p w:rsidR="00A87A5A" w:rsidRPr="008409AA" w:rsidRDefault="005028B2" w:rsidP="009845F5">
            <w:pPr>
              <w:jc w:val="both"/>
              <w:rPr>
                <w:rFonts w:ascii="Times New Roman" w:hAnsi="Times New Roman"/>
                <w:sz w:val="20"/>
              </w:rPr>
            </w:pPr>
            <w:r w:rsidRPr="008409AA">
              <w:rPr>
                <w:rFonts w:ascii="Times New Roman" w:hAnsi="Times New Roman"/>
                <w:sz w:val="20"/>
              </w:rPr>
              <w:t>Spadki poprzeczne*</w:t>
            </w:r>
            <w:r w:rsidRPr="008409AA">
              <w:rPr>
                <w:rFonts w:ascii="Times New Roman" w:hAnsi="Times New Roman"/>
                <w:sz w:val="20"/>
                <w:vertAlign w:val="superscript"/>
              </w:rPr>
              <w:t>)</w:t>
            </w:r>
          </w:p>
        </w:tc>
        <w:tc>
          <w:tcPr>
            <w:tcW w:w="5953" w:type="dxa"/>
            <w:tcBorders>
              <w:bottom w:val="nil"/>
            </w:tcBorders>
          </w:tcPr>
          <w:p w:rsidR="00A87A5A" w:rsidRPr="008409AA" w:rsidRDefault="005028B2" w:rsidP="009845F5">
            <w:pPr>
              <w:jc w:val="both"/>
              <w:rPr>
                <w:rFonts w:ascii="Times New Roman" w:hAnsi="Times New Roman"/>
                <w:sz w:val="20"/>
              </w:rPr>
            </w:pPr>
            <w:r w:rsidRPr="008409AA">
              <w:rPr>
                <w:rFonts w:ascii="Times New Roman" w:hAnsi="Times New Roman"/>
                <w:sz w:val="20"/>
              </w:rPr>
              <w:t>10 razy na 1 km</w:t>
            </w:r>
          </w:p>
        </w:tc>
      </w:tr>
      <w:tr w:rsidR="00A87A5A" w:rsidRPr="008409AA">
        <w:trPr>
          <w:cantSplit/>
        </w:trPr>
        <w:tc>
          <w:tcPr>
            <w:tcW w:w="637" w:type="dxa"/>
          </w:tcPr>
          <w:p w:rsidR="00A87A5A" w:rsidRPr="008409AA" w:rsidRDefault="005028B2" w:rsidP="009845F5">
            <w:pPr>
              <w:jc w:val="both"/>
              <w:rPr>
                <w:rFonts w:ascii="Times New Roman" w:hAnsi="Times New Roman"/>
                <w:sz w:val="20"/>
              </w:rPr>
            </w:pPr>
            <w:r w:rsidRPr="008409AA">
              <w:rPr>
                <w:rFonts w:ascii="Times New Roman" w:hAnsi="Times New Roman"/>
                <w:sz w:val="20"/>
              </w:rPr>
              <w:t>5</w:t>
            </w:r>
          </w:p>
        </w:tc>
        <w:tc>
          <w:tcPr>
            <w:tcW w:w="2552" w:type="dxa"/>
          </w:tcPr>
          <w:p w:rsidR="00A87A5A" w:rsidRPr="008409AA" w:rsidRDefault="005028B2" w:rsidP="009845F5">
            <w:pPr>
              <w:jc w:val="both"/>
              <w:rPr>
                <w:rFonts w:ascii="Times New Roman" w:hAnsi="Times New Roman"/>
                <w:sz w:val="20"/>
              </w:rPr>
            </w:pPr>
            <w:r w:rsidRPr="008409AA">
              <w:rPr>
                <w:rFonts w:ascii="Times New Roman" w:hAnsi="Times New Roman"/>
                <w:sz w:val="20"/>
              </w:rPr>
              <w:t>Rzędne wysokościowe**)</w:t>
            </w:r>
          </w:p>
        </w:tc>
        <w:tc>
          <w:tcPr>
            <w:tcW w:w="5953" w:type="dxa"/>
            <w:shd w:val="clear" w:color="auto" w:fill="auto"/>
          </w:tcPr>
          <w:p w:rsidR="00A87A5A" w:rsidRPr="008409AA" w:rsidRDefault="005028B2" w:rsidP="009845F5">
            <w:pPr>
              <w:jc w:val="both"/>
              <w:rPr>
                <w:rFonts w:ascii="Times New Roman" w:hAnsi="Times New Roman"/>
                <w:sz w:val="20"/>
              </w:rPr>
            </w:pPr>
            <w:r w:rsidRPr="008409AA">
              <w:rPr>
                <w:rFonts w:ascii="Times New Roman" w:hAnsi="Times New Roman"/>
                <w:sz w:val="20"/>
              </w:rPr>
              <w:t>co 25 m dla drogi ekspresowej i co 50 m dla pozostałych dróg; w osi jezdni i na jej krawędziach każdej jezdni</w:t>
            </w:r>
          </w:p>
        </w:tc>
      </w:tr>
      <w:tr w:rsidR="00A87A5A" w:rsidRPr="008409AA">
        <w:trPr>
          <w:cantSplit/>
        </w:trPr>
        <w:tc>
          <w:tcPr>
            <w:tcW w:w="637" w:type="dxa"/>
          </w:tcPr>
          <w:p w:rsidR="00A87A5A" w:rsidRPr="008409AA" w:rsidRDefault="005028B2" w:rsidP="009845F5">
            <w:pPr>
              <w:jc w:val="both"/>
              <w:rPr>
                <w:rFonts w:ascii="Times New Roman" w:hAnsi="Times New Roman"/>
                <w:sz w:val="20"/>
              </w:rPr>
            </w:pPr>
            <w:r w:rsidRPr="008409AA">
              <w:rPr>
                <w:rFonts w:ascii="Times New Roman" w:hAnsi="Times New Roman"/>
                <w:sz w:val="20"/>
              </w:rPr>
              <w:t>6</w:t>
            </w:r>
          </w:p>
        </w:tc>
        <w:tc>
          <w:tcPr>
            <w:tcW w:w="2552" w:type="dxa"/>
          </w:tcPr>
          <w:p w:rsidR="00A87A5A" w:rsidRPr="008409AA" w:rsidRDefault="005028B2" w:rsidP="009845F5">
            <w:pPr>
              <w:jc w:val="both"/>
              <w:rPr>
                <w:rFonts w:ascii="Times New Roman" w:hAnsi="Times New Roman"/>
                <w:sz w:val="20"/>
              </w:rPr>
            </w:pPr>
            <w:r w:rsidRPr="008409AA">
              <w:rPr>
                <w:rFonts w:ascii="Times New Roman" w:hAnsi="Times New Roman"/>
                <w:sz w:val="20"/>
              </w:rPr>
              <w:t>Ukształtowanie osi w planie*</w:t>
            </w:r>
            <w:r w:rsidRPr="008409AA">
              <w:rPr>
                <w:rFonts w:ascii="Times New Roman" w:hAnsi="Times New Roman"/>
                <w:sz w:val="20"/>
                <w:vertAlign w:val="superscript"/>
              </w:rPr>
              <w:t>)</w:t>
            </w:r>
          </w:p>
        </w:tc>
        <w:tc>
          <w:tcPr>
            <w:tcW w:w="5953" w:type="dxa"/>
            <w:shd w:val="clear" w:color="auto" w:fill="auto"/>
          </w:tcPr>
          <w:p w:rsidR="00A87A5A" w:rsidRPr="008409AA" w:rsidRDefault="005028B2" w:rsidP="009845F5">
            <w:pPr>
              <w:jc w:val="both"/>
              <w:rPr>
                <w:rFonts w:ascii="Times New Roman" w:hAnsi="Times New Roman"/>
                <w:sz w:val="20"/>
              </w:rPr>
            </w:pPr>
            <w:r w:rsidRPr="008409AA">
              <w:rPr>
                <w:rFonts w:ascii="Times New Roman" w:hAnsi="Times New Roman"/>
                <w:sz w:val="20"/>
              </w:rPr>
              <w:t>usytuowanie osi wg dokumentacji projektowej</w:t>
            </w:r>
          </w:p>
        </w:tc>
      </w:tr>
      <w:tr w:rsidR="00A87A5A" w:rsidRPr="008409AA">
        <w:tc>
          <w:tcPr>
            <w:tcW w:w="637" w:type="dxa"/>
          </w:tcPr>
          <w:p w:rsidR="00A87A5A" w:rsidRPr="008409AA" w:rsidRDefault="005028B2" w:rsidP="009845F5">
            <w:pPr>
              <w:jc w:val="both"/>
              <w:rPr>
                <w:rFonts w:ascii="Times New Roman" w:hAnsi="Times New Roman"/>
                <w:sz w:val="20"/>
              </w:rPr>
            </w:pPr>
            <w:r w:rsidRPr="008409AA">
              <w:rPr>
                <w:rFonts w:ascii="Times New Roman" w:hAnsi="Times New Roman"/>
                <w:sz w:val="20"/>
              </w:rPr>
              <w:t>7</w:t>
            </w:r>
          </w:p>
        </w:tc>
        <w:tc>
          <w:tcPr>
            <w:tcW w:w="2552" w:type="dxa"/>
          </w:tcPr>
          <w:p w:rsidR="00A87A5A" w:rsidRPr="008409AA" w:rsidRDefault="005028B2" w:rsidP="009845F5">
            <w:pPr>
              <w:jc w:val="both"/>
              <w:rPr>
                <w:rFonts w:ascii="Times New Roman" w:hAnsi="Times New Roman"/>
                <w:sz w:val="20"/>
              </w:rPr>
            </w:pPr>
            <w:r w:rsidRPr="008409AA">
              <w:rPr>
                <w:rFonts w:ascii="Times New Roman" w:hAnsi="Times New Roman"/>
                <w:sz w:val="20"/>
              </w:rPr>
              <w:t>Grubość nawierzchni</w:t>
            </w:r>
          </w:p>
        </w:tc>
        <w:tc>
          <w:tcPr>
            <w:tcW w:w="5953" w:type="dxa"/>
          </w:tcPr>
          <w:p w:rsidR="00A87A5A" w:rsidRPr="008409AA" w:rsidRDefault="005028B2" w:rsidP="009845F5">
            <w:pPr>
              <w:jc w:val="both"/>
              <w:rPr>
                <w:rFonts w:ascii="Times New Roman" w:hAnsi="Times New Roman"/>
                <w:sz w:val="20"/>
              </w:rPr>
            </w:pPr>
            <w:r w:rsidRPr="008409AA">
              <w:rPr>
                <w:rFonts w:ascii="Times New Roman" w:hAnsi="Times New Roman"/>
                <w:sz w:val="20"/>
              </w:rPr>
              <w:t>Podczas budowy: w 2 punktach na każdej działce roboczej</w:t>
            </w:r>
          </w:p>
          <w:p w:rsidR="00A87A5A" w:rsidRPr="008409AA" w:rsidRDefault="005028B2" w:rsidP="009845F5">
            <w:pPr>
              <w:jc w:val="both"/>
              <w:rPr>
                <w:rFonts w:ascii="Times New Roman" w:hAnsi="Times New Roman"/>
                <w:sz w:val="20"/>
              </w:rPr>
            </w:pPr>
            <w:r w:rsidRPr="008409AA">
              <w:rPr>
                <w:rFonts w:ascii="Times New Roman" w:hAnsi="Times New Roman"/>
                <w:sz w:val="20"/>
              </w:rPr>
              <w:t>Przed odbiorem: nie rzadziej niż raz na 6000 m</w:t>
            </w:r>
            <w:r w:rsidRPr="008409AA">
              <w:rPr>
                <w:rFonts w:ascii="Times New Roman" w:hAnsi="Times New Roman"/>
                <w:sz w:val="20"/>
                <w:vertAlign w:val="superscript"/>
              </w:rPr>
              <w:t>2</w:t>
            </w:r>
            <w:r w:rsidRPr="008409AA">
              <w:rPr>
                <w:rFonts w:ascii="Times New Roman" w:hAnsi="Times New Roman"/>
                <w:sz w:val="20"/>
              </w:rPr>
              <w:t xml:space="preserve"> lub zgodnie z poleceniem Inżyniera w przypadku dróg o małej powierzchni podbudowy</w:t>
            </w:r>
          </w:p>
        </w:tc>
      </w:tr>
    </w:tbl>
    <w:p w:rsidR="00A87A5A" w:rsidRPr="008409AA" w:rsidRDefault="005028B2" w:rsidP="009845F5">
      <w:pPr>
        <w:jc w:val="both"/>
        <w:rPr>
          <w:rFonts w:ascii="Times New Roman" w:hAnsi="Times New Roman"/>
          <w:sz w:val="20"/>
        </w:rPr>
      </w:pPr>
      <w:r w:rsidRPr="008409AA">
        <w:rPr>
          <w:rFonts w:ascii="Times New Roman" w:hAnsi="Times New Roman"/>
          <w:sz w:val="20"/>
        </w:rPr>
        <w:t>*) Dodatkowe pomiary spadków poprzecznych i ukształtowania osi w planie należy wykonać w punktach głównych łuków poziomych.</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 Przed przystąpieniem do robót Wykonawca przedstawi Inżynierowi do akceptacji propozycję miejsc pomiarowych. </w:t>
      </w:r>
    </w:p>
    <w:p w:rsidR="00A87A5A" w:rsidRPr="008409AA" w:rsidRDefault="00A87A5A" w:rsidP="009845F5">
      <w:pPr>
        <w:jc w:val="both"/>
        <w:rPr>
          <w:rFonts w:ascii="Times New Roman" w:hAnsi="Times New Roman"/>
          <w:bCs/>
          <w:sz w:val="10"/>
          <w:szCs w:val="10"/>
        </w:rPr>
      </w:pPr>
    </w:p>
    <w:p w:rsidR="00A87A5A" w:rsidRPr="008409AA" w:rsidRDefault="005028B2" w:rsidP="009845F5">
      <w:pPr>
        <w:jc w:val="both"/>
        <w:rPr>
          <w:rFonts w:ascii="Times New Roman" w:hAnsi="Times New Roman"/>
          <w:bCs/>
          <w:sz w:val="20"/>
        </w:rPr>
      </w:pPr>
      <w:r w:rsidRPr="008409AA">
        <w:rPr>
          <w:rFonts w:ascii="Times New Roman" w:hAnsi="Times New Roman"/>
          <w:b/>
          <w:bCs/>
          <w:sz w:val="20"/>
        </w:rPr>
        <w:t>6.3.1.</w:t>
      </w:r>
      <w:r w:rsidRPr="008409AA">
        <w:rPr>
          <w:rFonts w:ascii="Times New Roman" w:hAnsi="Times New Roman"/>
          <w:bCs/>
          <w:sz w:val="20"/>
        </w:rPr>
        <w:t xml:space="preserve"> Dopuszczalne tolerancje od wielkości wymaganych cech geometrycznych</w:t>
      </w:r>
    </w:p>
    <w:p w:rsidR="00A87A5A" w:rsidRPr="008409AA" w:rsidRDefault="00A87A5A" w:rsidP="009845F5">
      <w:pPr>
        <w:jc w:val="both"/>
        <w:rPr>
          <w:rFonts w:ascii="Times New Roman" w:hAnsi="Times New Roman"/>
          <w:bCs/>
          <w:sz w:val="10"/>
          <w:szCs w:val="10"/>
        </w:rPr>
      </w:pPr>
    </w:p>
    <w:p w:rsidR="00A87A5A" w:rsidRPr="008409AA" w:rsidRDefault="005028B2" w:rsidP="009845F5">
      <w:pPr>
        <w:jc w:val="both"/>
        <w:rPr>
          <w:rFonts w:ascii="Times New Roman" w:hAnsi="Times New Roman"/>
          <w:bCs/>
          <w:sz w:val="20"/>
        </w:rPr>
      </w:pPr>
      <w:r w:rsidRPr="008409AA">
        <w:rPr>
          <w:rFonts w:ascii="Times New Roman" w:hAnsi="Times New Roman"/>
          <w:bCs/>
          <w:sz w:val="20"/>
        </w:rPr>
        <w:t>Tablica 4. Dopuszczalne tolerancje dla wymaganych cech geometrycznych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961"/>
        <w:gridCol w:w="3543"/>
      </w:tblGrid>
      <w:tr w:rsidR="00A87A5A" w:rsidRPr="008409AA">
        <w:tc>
          <w:tcPr>
            <w:tcW w:w="534"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Lp</w:t>
            </w:r>
          </w:p>
        </w:tc>
        <w:tc>
          <w:tcPr>
            <w:tcW w:w="4961"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Cecha mierzona</w:t>
            </w:r>
          </w:p>
        </w:tc>
        <w:tc>
          <w:tcPr>
            <w:tcW w:w="3543"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Tolerancja</w:t>
            </w:r>
          </w:p>
        </w:tc>
      </w:tr>
      <w:tr w:rsidR="00A87A5A" w:rsidRPr="008409AA">
        <w:tc>
          <w:tcPr>
            <w:tcW w:w="534"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1</w:t>
            </w:r>
          </w:p>
        </w:tc>
        <w:tc>
          <w:tcPr>
            <w:tcW w:w="4961"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Szerokość warstwy</w:t>
            </w:r>
          </w:p>
        </w:tc>
        <w:tc>
          <w:tcPr>
            <w:tcW w:w="3543"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+10cm / - 5cm</w:t>
            </w:r>
          </w:p>
        </w:tc>
      </w:tr>
      <w:tr w:rsidR="00A87A5A" w:rsidRPr="008409AA">
        <w:tc>
          <w:tcPr>
            <w:tcW w:w="534"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2</w:t>
            </w:r>
          </w:p>
        </w:tc>
        <w:tc>
          <w:tcPr>
            <w:tcW w:w="4961"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 xml:space="preserve">Nierówności podłużne lub poprzeczne mierzone </w:t>
            </w:r>
            <w:r w:rsidRPr="008409AA">
              <w:rPr>
                <w:rFonts w:ascii="Times New Roman" w:hAnsi="Times New Roman"/>
                <w:sz w:val="20"/>
              </w:rPr>
              <w:t>4-metrową łatą zgodnie z BN-68/8931-04</w:t>
            </w:r>
          </w:p>
        </w:tc>
        <w:tc>
          <w:tcPr>
            <w:tcW w:w="3543"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 xml:space="preserve">10mm </w:t>
            </w:r>
          </w:p>
        </w:tc>
      </w:tr>
      <w:tr w:rsidR="00A87A5A" w:rsidRPr="008409AA">
        <w:tc>
          <w:tcPr>
            <w:tcW w:w="534"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3</w:t>
            </w:r>
          </w:p>
        </w:tc>
        <w:tc>
          <w:tcPr>
            <w:tcW w:w="4961"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Spadki poprzeczne</w:t>
            </w:r>
          </w:p>
        </w:tc>
        <w:tc>
          <w:tcPr>
            <w:tcW w:w="3543"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±0,5%</w:t>
            </w:r>
          </w:p>
        </w:tc>
      </w:tr>
      <w:tr w:rsidR="00A87A5A" w:rsidRPr="008409AA">
        <w:tc>
          <w:tcPr>
            <w:tcW w:w="534"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4</w:t>
            </w:r>
          </w:p>
        </w:tc>
        <w:tc>
          <w:tcPr>
            <w:tcW w:w="4961"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Rzędne wysokościowe</w:t>
            </w:r>
          </w:p>
        </w:tc>
        <w:tc>
          <w:tcPr>
            <w:tcW w:w="3543"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sz w:val="20"/>
              </w:rPr>
              <w:t>±1 cm</w:t>
            </w:r>
          </w:p>
        </w:tc>
      </w:tr>
      <w:tr w:rsidR="00A87A5A" w:rsidRPr="008409AA">
        <w:tc>
          <w:tcPr>
            <w:tcW w:w="534"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5</w:t>
            </w:r>
          </w:p>
        </w:tc>
        <w:tc>
          <w:tcPr>
            <w:tcW w:w="4961"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Ukształtowanie osi w planie</w:t>
            </w:r>
          </w:p>
        </w:tc>
        <w:tc>
          <w:tcPr>
            <w:tcW w:w="3543" w:type="dxa"/>
            <w:shd w:val="clear" w:color="auto" w:fill="auto"/>
          </w:tcPr>
          <w:p w:rsidR="00A87A5A" w:rsidRPr="008409AA" w:rsidRDefault="005028B2" w:rsidP="009845F5">
            <w:pPr>
              <w:jc w:val="both"/>
              <w:rPr>
                <w:rFonts w:ascii="Times New Roman" w:hAnsi="Times New Roman"/>
                <w:sz w:val="20"/>
              </w:rPr>
            </w:pPr>
            <w:r w:rsidRPr="008409AA">
              <w:rPr>
                <w:rFonts w:ascii="Times New Roman" w:hAnsi="Times New Roman"/>
                <w:sz w:val="20"/>
              </w:rPr>
              <w:t>±5cm dla pozostałych dróg</w:t>
            </w:r>
          </w:p>
        </w:tc>
      </w:tr>
      <w:tr w:rsidR="00A87A5A" w:rsidRPr="008409AA">
        <w:trPr>
          <w:trHeight w:val="433"/>
        </w:trPr>
        <w:tc>
          <w:tcPr>
            <w:tcW w:w="534"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6</w:t>
            </w:r>
          </w:p>
        </w:tc>
        <w:tc>
          <w:tcPr>
            <w:tcW w:w="4961" w:type="dxa"/>
            <w:shd w:val="clear" w:color="auto" w:fill="auto"/>
          </w:tcPr>
          <w:p w:rsidR="00A87A5A" w:rsidRPr="008409AA" w:rsidRDefault="005028B2" w:rsidP="009845F5">
            <w:pPr>
              <w:jc w:val="both"/>
              <w:rPr>
                <w:rFonts w:ascii="Times New Roman" w:hAnsi="Times New Roman"/>
                <w:bCs/>
                <w:sz w:val="20"/>
              </w:rPr>
            </w:pPr>
            <w:r w:rsidRPr="008409AA">
              <w:rPr>
                <w:rFonts w:ascii="Times New Roman" w:hAnsi="Times New Roman"/>
                <w:bCs/>
                <w:sz w:val="20"/>
              </w:rPr>
              <w:t>Grubość warstwy</w:t>
            </w:r>
          </w:p>
        </w:tc>
        <w:tc>
          <w:tcPr>
            <w:tcW w:w="3543" w:type="dxa"/>
            <w:shd w:val="clear" w:color="auto" w:fill="auto"/>
          </w:tcPr>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±10% </w:t>
            </w:r>
          </w:p>
        </w:tc>
      </w:tr>
    </w:tbl>
    <w:p w:rsidR="00A87A5A" w:rsidRPr="008409AA" w:rsidRDefault="00A87A5A" w:rsidP="009845F5">
      <w:pPr>
        <w:jc w:val="both"/>
        <w:rPr>
          <w:rFonts w:ascii="Times New Roman" w:hAnsi="Times New Roman"/>
          <w:bCs/>
          <w:sz w:val="10"/>
          <w:szCs w:val="10"/>
        </w:rPr>
      </w:pP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6.4. Zasady postępowania z wadliwie wykonanymi odcinkami nawierzchni</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Wszystkie powierzchnie, które wykazują większe odchylenia cech geometrycznych i innych wymagań </w:t>
      </w:r>
      <w:r w:rsidR="00483335">
        <w:rPr>
          <w:rFonts w:ascii="Times New Roman" w:hAnsi="Times New Roman"/>
          <w:sz w:val="20"/>
        </w:rPr>
        <w:t>SST</w:t>
      </w:r>
      <w:r w:rsidRPr="008409AA">
        <w:rPr>
          <w:rFonts w:ascii="Times New Roman" w:hAnsi="Times New Roman"/>
          <w:sz w:val="20"/>
        </w:rPr>
        <w:t xml:space="preserve"> określonych w pkt. 6, powinny być naprawione przez Wykonawcę na jego koszt, zaproponowaną przez niego metodą zaakceptowaną przez Inżyniera.</w:t>
      </w:r>
    </w:p>
    <w:p w:rsidR="00A87A5A" w:rsidRPr="008409AA" w:rsidRDefault="005028B2" w:rsidP="009845F5">
      <w:pPr>
        <w:jc w:val="both"/>
        <w:rPr>
          <w:rFonts w:ascii="Times New Roman" w:hAnsi="Times New Roman"/>
          <w:b/>
          <w:caps/>
          <w:sz w:val="20"/>
        </w:rPr>
      </w:pPr>
      <w:bookmarkStart w:id="1" w:name="_Toc418394443"/>
      <w:bookmarkStart w:id="2" w:name="_Toc423845944"/>
      <w:r w:rsidRPr="008409AA">
        <w:rPr>
          <w:rFonts w:ascii="Times New Roman" w:hAnsi="Times New Roman"/>
          <w:b/>
          <w:sz w:val="20"/>
        </w:rPr>
        <w:t>7. OBMIAR ROBÓT</w:t>
      </w:r>
      <w:bookmarkEnd w:id="1"/>
      <w:bookmarkEnd w:id="2"/>
    </w:p>
    <w:p w:rsidR="00A87A5A" w:rsidRPr="008409AA" w:rsidRDefault="005028B2" w:rsidP="009845F5">
      <w:pPr>
        <w:jc w:val="both"/>
        <w:rPr>
          <w:rFonts w:ascii="Times New Roman" w:hAnsi="Times New Roman"/>
          <w:sz w:val="20"/>
        </w:rPr>
      </w:pPr>
      <w:r w:rsidRPr="008409AA">
        <w:rPr>
          <w:rFonts w:ascii="Times New Roman" w:hAnsi="Times New Roman"/>
          <w:sz w:val="20"/>
        </w:rPr>
        <w:t>Kontrakt ryczałtowy – jednostką obmiaru jest wykonana i odebrana protokołem Odbioru Końcowego jednostka określona w STWiORB.</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8. ODBIÓR ROBÓT</w:t>
      </w: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 xml:space="preserve">Ogólne zasady odbioru Robót podano w </w:t>
      </w:r>
      <w:r w:rsidR="00483335">
        <w:rPr>
          <w:rFonts w:ascii="Times New Roman" w:hAnsi="Times New Roman"/>
          <w:spacing w:val="-3"/>
          <w:sz w:val="20"/>
        </w:rPr>
        <w:t>SST</w:t>
      </w:r>
      <w:r w:rsidRPr="008409AA">
        <w:rPr>
          <w:rFonts w:ascii="Times New Roman" w:hAnsi="Times New Roman"/>
          <w:spacing w:val="-3"/>
          <w:sz w:val="20"/>
        </w:rPr>
        <w:t xml:space="preserve"> D-M.00.00.00. "Wymagania ogólne".</w:t>
      </w:r>
    </w:p>
    <w:p w:rsidR="00A87A5A" w:rsidRPr="008409AA" w:rsidRDefault="005028B2" w:rsidP="009845F5">
      <w:pPr>
        <w:jc w:val="both"/>
        <w:rPr>
          <w:rFonts w:ascii="Times New Roman" w:hAnsi="Times New Roman"/>
          <w:sz w:val="20"/>
        </w:rPr>
      </w:pPr>
      <w:r w:rsidRPr="008409AA">
        <w:rPr>
          <w:rFonts w:ascii="Times New Roman" w:hAnsi="Times New Roman"/>
          <w:sz w:val="20"/>
        </w:rPr>
        <w:t xml:space="preserve">Roboty uznaje się za wykonane zgodnie z Dokumentacją Projektową i </w:t>
      </w:r>
      <w:r w:rsidR="00483335">
        <w:rPr>
          <w:rFonts w:ascii="Times New Roman" w:hAnsi="Times New Roman"/>
          <w:sz w:val="20"/>
        </w:rPr>
        <w:t>SST</w:t>
      </w:r>
      <w:r w:rsidRPr="008409AA">
        <w:rPr>
          <w:rFonts w:ascii="Times New Roman" w:hAnsi="Times New Roman"/>
          <w:sz w:val="20"/>
        </w:rPr>
        <w:t>, jeżeli wszystkie badania i pomiary z zachowaniem tolerancji wg pkt. 6 dały wyniki pozytywne.</w:t>
      </w:r>
    </w:p>
    <w:p w:rsidR="00A87A5A" w:rsidRPr="008409AA" w:rsidRDefault="005028B2" w:rsidP="009845F5">
      <w:pPr>
        <w:jc w:val="both"/>
        <w:rPr>
          <w:rFonts w:ascii="Times New Roman" w:hAnsi="Times New Roman"/>
          <w:b/>
          <w:caps/>
          <w:sz w:val="20"/>
        </w:rPr>
      </w:pPr>
      <w:bookmarkStart w:id="3" w:name="_Toc418394445"/>
      <w:bookmarkStart w:id="4" w:name="_Toc423845946"/>
      <w:r w:rsidRPr="008409AA">
        <w:rPr>
          <w:rFonts w:ascii="Times New Roman" w:hAnsi="Times New Roman"/>
          <w:b/>
          <w:sz w:val="20"/>
        </w:rPr>
        <w:t>9. PODSTAWA PŁATNOŚCI</w:t>
      </w:r>
      <w:bookmarkEnd w:id="3"/>
      <w:bookmarkEnd w:id="4"/>
    </w:p>
    <w:p w:rsidR="00A87A5A" w:rsidRPr="008409AA" w:rsidRDefault="005028B2" w:rsidP="009845F5">
      <w:pPr>
        <w:jc w:val="both"/>
        <w:rPr>
          <w:rFonts w:ascii="Times New Roman" w:hAnsi="Times New Roman"/>
          <w:sz w:val="20"/>
        </w:rPr>
      </w:pPr>
      <w:r w:rsidRPr="008409AA">
        <w:rPr>
          <w:rFonts w:ascii="Times New Roman" w:hAnsi="Times New Roman"/>
          <w:sz w:val="20"/>
        </w:rPr>
        <w:t>Wynagrodzenie ryczałtowe: zasady płatności podano w umowie pomiędzy Zamawiającym a Wykonawcą.</w:t>
      </w:r>
    </w:p>
    <w:p w:rsidR="00A87A5A" w:rsidRPr="008409AA" w:rsidRDefault="005028B2" w:rsidP="009845F5">
      <w:pPr>
        <w:jc w:val="both"/>
        <w:rPr>
          <w:rFonts w:ascii="Times New Roman" w:hAnsi="Times New Roman"/>
          <w:b/>
          <w:spacing w:val="-3"/>
          <w:sz w:val="20"/>
        </w:rPr>
      </w:pPr>
      <w:r w:rsidRPr="008409AA">
        <w:rPr>
          <w:rFonts w:ascii="Times New Roman" w:hAnsi="Times New Roman"/>
          <w:b/>
          <w:spacing w:val="-3"/>
          <w:sz w:val="20"/>
        </w:rPr>
        <w:t>10. PRZEPISY ZWIĄZANE</w:t>
      </w:r>
    </w:p>
    <w:p w:rsidR="00A87A5A" w:rsidRPr="008409AA" w:rsidRDefault="005028B2" w:rsidP="009845F5">
      <w:pPr>
        <w:jc w:val="both"/>
        <w:rPr>
          <w:rFonts w:ascii="Times New Roman" w:hAnsi="Times New Roman"/>
          <w:b/>
          <w:bCs/>
          <w:spacing w:val="-3"/>
          <w:sz w:val="20"/>
        </w:rPr>
      </w:pPr>
      <w:r w:rsidRPr="008409AA">
        <w:rPr>
          <w:rFonts w:ascii="Times New Roman" w:hAnsi="Times New Roman"/>
          <w:b/>
          <w:bCs/>
          <w:spacing w:val="-3"/>
          <w:sz w:val="20"/>
        </w:rPr>
        <w:t>10.1. Normy</w:t>
      </w:r>
    </w:p>
    <w:p w:rsidR="00A87A5A" w:rsidRPr="008409AA" w:rsidRDefault="005028B2" w:rsidP="009845F5">
      <w:pPr>
        <w:jc w:val="both"/>
        <w:rPr>
          <w:rFonts w:ascii="Times New Roman" w:hAnsi="Times New Roman"/>
          <w:sz w:val="20"/>
        </w:rPr>
      </w:pPr>
      <w:r w:rsidRPr="008409AA">
        <w:rPr>
          <w:rFonts w:ascii="Times New Roman" w:hAnsi="Times New Roman"/>
          <w:sz w:val="20"/>
        </w:rPr>
        <w:t>PN-EN 1008</w:t>
      </w:r>
      <w:r w:rsidRPr="008409AA">
        <w:rPr>
          <w:rFonts w:ascii="Times New Roman" w:hAnsi="Times New Roman"/>
          <w:sz w:val="20"/>
        </w:rPr>
        <w:tab/>
      </w:r>
      <w:r w:rsidRPr="008409AA">
        <w:rPr>
          <w:rStyle w:val="biggertext"/>
          <w:rFonts w:ascii="Times New Roman" w:hAnsi="Times New Roman"/>
          <w:sz w:val="20"/>
        </w:rPr>
        <w:t>Woda zarobowa do betonu - Specyfikacja pobierania próbek, badanie i ocena przydatności wody zarobowej do betonu, w tym wody odzyskanej z procesów produkcji betonu</w:t>
      </w:r>
      <w:r w:rsidRPr="008409AA">
        <w:rPr>
          <w:rFonts w:ascii="Times New Roman" w:hAnsi="Times New Roman"/>
          <w:sz w:val="20"/>
        </w:rPr>
        <w:t>.</w:t>
      </w:r>
    </w:p>
    <w:p w:rsidR="00A87A5A" w:rsidRPr="008409AA" w:rsidRDefault="005028B2" w:rsidP="009845F5">
      <w:pPr>
        <w:jc w:val="both"/>
        <w:rPr>
          <w:rFonts w:ascii="Times New Roman" w:hAnsi="Times New Roman"/>
          <w:sz w:val="20"/>
        </w:rPr>
      </w:pPr>
      <w:r w:rsidRPr="008409AA">
        <w:rPr>
          <w:rFonts w:ascii="Times New Roman" w:hAnsi="Times New Roman"/>
          <w:sz w:val="20"/>
        </w:rPr>
        <w:t>PN-EN 933-1</w:t>
      </w:r>
      <w:r w:rsidRPr="008409AA">
        <w:rPr>
          <w:rFonts w:ascii="Times New Roman" w:hAnsi="Times New Roman"/>
          <w:sz w:val="20"/>
        </w:rPr>
        <w:tab/>
        <w:t>Badania geometrycznych właściwości kruszyw – Oznaczanie składu ziarnowego. Metoda przesiewania</w:t>
      </w:r>
    </w:p>
    <w:p w:rsidR="00A87A5A" w:rsidRPr="008409AA" w:rsidRDefault="005028B2" w:rsidP="009845F5">
      <w:pPr>
        <w:jc w:val="both"/>
        <w:rPr>
          <w:rFonts w:ascii="Times New Roman" w:hAnsi="Times New Roman"/>
          <w:sz w:val="20"/>
        </w:rPr>
      </w:pPr>
      <w:r w:rsidRPr="008409AA">
        <w:rPr>
          <w:rFonts w:ascii="Times New Roman" w:hAnsi="Times New Roman"/>
          <w:sz w:val="20"/>
        </w:rPr>
        <w:t>PN-EN 933-3</w:t>
      </w:r>
      <w:r w:rsidRPr="008409AA">
        <w:rPr>
          <w:rFonts w:ascii="Times New Roman" w:hAnsi="Times New Roman"/>
          <w:sz w:val="20"/>
        </w:rPr>
        <w:tab/>
        <w:t>Badania geometrycznych właściwości kruszyw – Oznaczanie kształtu ziaren za pomocą wskaźnika płaskości</w:t>
      </w:r>
    </w:p>
    <w:p w:rsidR="00A87A5A" w:rsidRPr="008409AA" w:rsidRDefault="005028B2" w:rsidP="009845F5">
      <w:pPr>
        <w:jc w:val="both"/>
        <w:rPr>
          <w:rFonts w:ascii="Times New Roman" w:hAnsi="Times New Roman"/>
          <w:sz w:val="20"/>
        </w:rPr>
      </w:pPr>
      <w:r w:rsidRPr="008409AA">
        <w:rPr>
          <w:rFonts w:ascii="Times New Roman" w:hAnsi="Times New Roman"/>
          <w:sz w:val="20"/>
        </w:rPr>
        <w:t>PN-EN 933-4</w:t>
      </w:r>
      <w:r w:rsidRPr="008409AA">
        <w:rPr>
          <w:rFonts w:ascii="Times New Roman" w:hAnsi="Times New Roman"/>
          <w:sz w:val="20"/>
        </w:rPr>
        <w:tab/>
        <w:t>Badania geometrycznych właściwości kruszyw – Część 4: Oznaczanie kształtu ziaren – Wskaźnik kształtu</w:t>
      </w:r>
    </w:p>
    <w:p w:rsidR="00A87A5A" w:rsidRPr="008409AA" w:rsidRDefault="005028B2" w:rsidP="009845F5">
      <w:pPr>
        <w:jc w:val="both"/>
        <w:rPr>
          <w:rFonts w:ascii="Times New Roman" w:hAnsi="Times New Roman"/>
          <w:sz w:val="20"/>
        </w:rPr>
      </w:pPr>
      <w:r w:rsidRPr="008409AA">
        <w:rPr>
          <w:rFonts w:ascii="Times New Roman" w:hAnsi="Times New Roman"/>
          <w:sz w:val="20"/>
        </w:rPr>
        <w:t>PN-EN 933-5</w:t>
      </w:r>
      <w:r w:rsidRPr="008409AA">
        <w:rPr>
          <w:rFonts w:ascii="Times New Roman" w:hAnsi="Times New Roman"/>
          <w:sz w:val="20"/>
        </w:rPr>
        <w:tab/>
        <w:t>Badania geometrycznych właściwości kruszyw – Oznaczanie procentowej zawartości ziaren o powierzchniach powstałych w wyniku przekruszenia lub łamania kruszyw grubych</w:t>
      </w:r>
    </w:p>
    <w:p w:rsidR="00A87A5A" w:rsidRPr="008409AA" w:rsidRDefault="005028B2" w:rsidP="009845F5">
      <w:pPr>
        <w:jc w:val="both"/>
        <w:rPr>
          <w:rFonts w:ascii="Times New Roman" w:hAnsi="Times New Roman"/>
          <w:sz w:val="20"/>
        </w:rPr>
      </w:pPr>
      <w:r w:rsidRPr="008409AA">
        <w:rPr>
          <w:rFonts w:ascii="Times New Roman" w:hAnsi="Times New Roman"/>
          <w:sz w:val="20"/>
        </w:rPr>
        <w:t>PN-EN 1097-1</w:t>
      </w:r>
      <w:r w:rsidRPr="008409AA">
        <w:rPr>
          <w:rFonts w:ascii="Times New Roman" w:hAnsi="Times New Roman"/>
          <w:sz w:val="20"/>
        </w:rPr>
        <w:tab/>
        <w:t>Badania mechanicznych i fizycznych właściwości kruszyw – Część 1. Oznaczanie odporności na ścieranie (mikro-Deval).</w:t>
      </w:r>
    </w:p>
    <w:p w:rsidR="00A87A5A" w:rsidRPr="008409AA" w:rsidRDefault="005028B2" w:rsidP="009845F5">
      <w:pPr>
        <w:jc w:val="both"/>
        <w:rPr>
          <w:rFonts w:ascii="Times New Roman" w:hAnsi="Times New Roman"/>
          <w:sz w:val="20"/>
        </w:rPr>
      </w:pPr>
      <w:r w:rsidRPr="008409AA">
        <w:rPr>
          <w:rFonts w:ascii="Times New Roman" w:hAnsi="Times New Roman"/>
          <w:sz w:val="20"/>
        </w:rPr>
        <w:t>PN-EN 1097-2</w:t>
      </w:r>
      <w:r w:rsidRPr="008409AA">
        <w:rPr>
          <w:rFonts w:ascii="Times New Roman" w:hAnsi="Times New Roman"/>
          <w:sz w:val="20"/>
        </w:rPr>
        <w:tab/>
        <w:t>Badania mechanicznych i fizycznych właściwości kruszyw – Metody oznaczania odporności na rozdrabianie</w:t>
      </w:r>
    </w:p>
    <w:p w:rsidR="00A87A5A" w:rsidRPr="008409AA" w:rsidRDefault="005028B2" w:rsidP="009845F5">
      <w:pPr>
        <w:jc w:val="both"/>
        <w:rPr>
          <w:rFonts w:ascii="Times New Roman" w:hAnsi="Times New Roman"/>
          <w:sz w:val="20"/>
        </w:rPr>
      </w:pPr>
      <w:r w:rsidRPr="008409AA">
        <w:rPr>
          <w:rFonts w:ascii="Times New Roman" w:hAnsi="Times New Roman"/>
          <w:sz w:val="20"/>
        </w:rPr>
        <w:t>PN-EN 1097-6</w:t>
      </w:r>
      <w:r w:rsidRPr="008409AA">
        <w:rPr>
          <w:rFonts w:ascii="Times New Roman" w:hAnsi="Times New Roman"/>
          <w:sz w:val="20"/>
        </w:rPr>
        <w:tab/>
        <w:t>Badania mechanicznych i fizycznych właściwości kruszyw – Część 6: Oznaczanie gęstości ziaren i nasiąkliwości</w:t>
      </w:r>
    </w:p>
    <w:p w:rsidR="00A87A5A" w:rsidRPr="008409AA" w:rsidRDefault="005028B2" w:rsidP="009845F5">
      <w:pPr>
        <w:jc w:val="both"/>
        <w:rPr>
          <w:rFonts w:ascii="Times New Roman" w:hAnsi="Times New Roman"/>
          <w:sz w:val="20"/>
        </w:rPr>
      </w:pPr>
      <w:r w:rsidRPr="008409AA">
        <w:rPr>
          <w:rFonts w:ascii="Times New Roman" w:hAnsi="Times New Roman"/>
          <w:sz w:val="20"/>
        </w:rPr>
        <w:t>PN-EN 1367-1</w:t>
      </w:r>
      <w:r w:rsidRPr="008409AA">
        <w:rPr>
          <w:rFonts w:ascii="Times New Roman" w:hAnsi="Times New Roman"/>
          <w:sz w:val="20"/>
        </w:rPr>
        <w:tab/>
        <w:t>Badania właściwości cieplnych i odporności kruszyw na działanie czynników atmosferycznych – Część 1: Oznaczanie mrozoodporności</w:t>
      </w:r>
    </w:p>
    <w:p w:rsidR="00A87A5A" w:rsidRPr="008409AA" w:rsidRDefault="005028B2" w:rsidP="009845F5">
      <w:pPr>
        <w:jc w:val="both"/>
        <w:rPr>
          <w:rFonts w:ascii="Times New Roman" w:hAnsi="Times New Roman"/>
          <w:sz w:val="20"/>
        </w:rPr>
      </w:pPr>
      <w:r w:rsidRPr="008409AA">
        <w:rPr>
          <w:rFonts w:ascii="Times New Roman" w:hAnsi="Times New Roman"/>
          <w:sz w:val="20"/>
        </w:rPr>
        <w:t>PN-EN 1367-3</w:t>
      </w:r>
      <w:r w:rsidRPr="008409AA">
        <w:rPr>
          <w:rFonts w:ascii="Times New Roman" w:hAnsi="Times New Roman"/>
          <w:sz w:val="20"/>
        </w:rPr>
        <w:tab/>
        <w:t>Badania właściwości cieplnych i odporności kruszyw na działanie czynników atmosferycznych – Część 3: Badanie bazaltowej zgorzeli słonecznej metodą gotowania</w:t>
      </w:r>
    </w:p>
    <w:p w:rsidR="00A87A5A" w:rsidRPr="008409AA" w:rsidRDefault="005028B2" w:rsidP="009845F5">
      <w:pPr>
        <w:jc w:val="both"/>
        <w:rPr>
          <w:rFonts w:ascii="Times New Roman" w:hAnsi="Times New Roman"/>
          <w:sz w:val="20"/>
        </w:rPr>
      </w:pPr>
      <w:r w:rsidRPr="008409AA">
        <w:rPr>
          <w:rFonts w:ascii="Times New Roman" w:hAnsi="Times New Roman"/>
          <w:sz w:val="20"/>
        </w:rPr>
        <w:lastRenderedPageBreak/>
        <w:t>PN-EN 13242</w:t>
      </w:r>
      <w:r w:rsidRPr="008409AA">
        <w:rPr>
          <w:rFonts w:ascii="Times New Roman" w:hAnsi="Times New Roman"/>
          <w:sz w:val="20"/>
        </w:rPr>
        <w:tab/>
        <w:t>Kruszywa do niezwiązanych i hydraulicznie związanych materiałów stosowanych w obiektach budowlanych i budownictwie drogowym.</w:t>
      </w:r>
    </w:p>
    <w:p w:rsidR="00A87A5A" w:rsidRPr="008409AA" w:rsidRDefault="005028B2" w:rsidP="009845F5">
      <w:pPr>
        <w:jc w:val="both"/>
        <w:rPr>
          <w:rFonts w:ascii="Times New Roman" w:hAnsi="Times New Roman"/>
          <w:sz w:val="20"/>
        </w:rPr>
      </w:pPr>
      <w:r w:rsidRPr="008409AA">
        <w:rPr>
          <w:rFonts w:ascii="Times New Roman" w:hAnsi="Times New Roman"/>
          <w:sz w:val="20"/>
        </w:rPr>
        <w:t>PN-EN 13285</w:t>
      </w:r>
      <w:r w:rsidRPr="008409AA">
        <w:rPr>
          <w:rFonts w:ascii="Times New Roman" w:hAnsi="Times New Roman"/>
          <w:sz w:val="20"/>
        </w:rPr>
        <w:tab/>
        <w:t>Mieszanki niezwiązane – Wymagania.</w:t>
      </w:r>
    </w:p>
    <w:p w:rsidR="00A87A5A" w:rsidRPr="008409AA" w:rsidRDefault="005028B2" w:rsidP="009845F5">
      <w:pPr>
        <w:jc w:val="both"/>
        <w:rPr>
          <w:rFonts w:ascii="Times New Roman" w:hAnsi="Times New Roman"/>
          <w:sz w:val="20"/>
        </w:rPr>
      </w:pPr>
      <w:r w:rsidRPr="008409AA">
        <w:rPr>
          <w:rFonts w:ascii="Times New Roman" w:hAnsi="Times New Roman"/>
          <w:sz w:val="20"/>
        </w:rPr>
        <w:t>PN-EN 13286-2</w:t>
      </w:r>
      <w:r w:rsidRPr="008409AA">
        <w:rPr>
          <w:rFonts w:ascii="Times New Roman" w:hAnsi="Times New Roman"/>
          <w:sz w:val="20"/>
        </w:rPr>
        <w:tab/>
        <w:t>Mieszanki mineralne niezwiązane i związane spoiwem hydraulicznym. Część 2: Metody badań dla ustalonej laboratoryjnie gęstości i wilgotności – Zagęszczenie aparatem Proctora.</w:t>
      </w:r>
    </w:p>
    <w:p w:rsidR="00A87A5A" w:rsidRPr="008409AA" w:rsidRDefault="005028B2" w:rsidP="009845F5">
      <w:pPr>
        <w:jc w:val="both"/>
        <w:rPr>
          <w:rFonts w:ascii="Times New Roman" w:hAnsi="Times New Roman"/>
          <w:sz w:val="20"/>
        </w:rPr>
      </w:pPr>
      <w:r w:rsidRPr="008409AA">
        <w:rPr>
          <w:rFonts w:ascii="Times New Roman" w:hAnsi="Times New Roman"/>
          <w:sz w:val="20"/>
        </w:rPr>
        <w:t>PN-S-06102</w:t>
      </w:r>
      <w:r w:rsidRPr="008409AA">
        <w:rPr>
          <w:rFonts w:ascii="Times New Roman" w:hAnsi="Times New Roman"/>
          <w:sz w:val="20"/>
        </w:rPr>
        <w:tab/>
        <w:t>Drogi samochodowe. Podbudowy z kruszyw stabilizowanych mechanicznie.</w:t>
      </w:r>
    </w:p>
    <w:p w:rsidR="00A87A5A" w:rsidRPr="008409AA" w:rsidRDefault="005028B2" w:rsidP="009845F5">
      <w:pPr>
        <w:jc w:val="both"/>
        <w:rPr>
          <w:rFonts w:ascii="Times New Roman" w:hAnsi="Times New Roman"/>
          <w:sz w:val="20"/>
        </w:rPr>
      </w:pPr>
      <w:r w:rsidRPr="008409AA">
        <w:rPr>
          <w:rFonts w:ascii="Times New Roman" w:hAnsi="Times New Roman"/>
          <w:sz w:val="20"/>
        </w:rPr>
        <w:t>BN-68/8931-04</w:t>
      </w:r>
      <w:r w:rsidRPr="008409AA">
        <w:rPr>
          <w:rFonts w:ascii="Times New Roman" w:hAnsi="Times New Roman"/>
          <w:sz w:val="20"/>
        </w:rPr>
        <w:tab/>
        <w:t>Pomiar równości nawierzchni planografem i łatą.</w:t>
      </w:r>
    </w:p>
    <w:p w:rsidR="00A87A5A" w:rsidRPr="008409AA" w:rsidRDefault="005028B2" w:rsidP="009845F5">
      <w:pPr>
        <w:jc w:val="both"/>
        <w:rPr>
          <w:rFonts w:ascii="Times New Roman" w:hAnsi="Times New Roman"/>
          <w:sz w:val="20"/>
        </w:rPr>
      </w:pPr>
      <w:r w:rsidRPr="008409AA">
        <w:rPr>
          <w:rFonts w:ascii="Times New Roman" w:hAnsi="Times New Roman"/>
          <w:sz w:val="20"/>
        </w:rPr>
        <w:t>BN-77/8931-12</w:t>
      </w:r>
      <w:r w:rsidRPr="008409AA">
        <w:rPr>
          <w:rFonts w:ascii="Times New Roman" w:hAnsi="Times New Roman"/>
          <w:sz w:val="20"/>
        </w:rPr>
        <w:tab/>
        <w:t>Oznaczanie wskaźnika zagęszczenia gruntu.</w:t>
      </w:r>
    </w:p>
    <w:p w:rsidR="00A87A5A" w:rsidRPr="008409AA" w:rsidRDefault="00A87A5A" w:rsidP="009845F5">
      <w:pPr>
        <w:jc w:val="both"/>
        <w:rPr>
          <w:rFonts w:ascii="Times New Roman" w:hAnsi="Times New Roman"/>
          <w:bCs/>
          <w:sz w:val="20"/>
        </w:rPr>
      </w:pPr>
    </w:p>
    <w:p w:rsidR="00A87A5A" w:rsidRPr="008409AA" w:rsidRDefault="005028B2" w:rsidP="009845F5">
      <w:pPr>
        <w:jc w:val="both"/>
        <w:rPr>
          <w:rFonts w:ascii="Times New Roman" w:hAnsi="Times New Roman"/>
          <w:bCs/>
          <w:sz w:val="20"/>
        </w:rPr>
      </w:pPr>
      <w:r w:rsidRPr="008409AA">
        <w:rPr>
          <w:rFonts w:ascii="Times New Roman" w:hAnsi="Times New Roman"/>
          <w:bCs/>
          <w:sz w:val="20"/>
        </w:rPr>
        <w:br w:type="page"/>
      </w:r>
    </w:p>
    <w:p w:rsidR="00A87A5A" w:rsidRPr="008409AA" w:rsidRDefault="005028B2" w:rsidP="009845F5">
      <w:pPr>
        <w:jc w:val="both"/>
        <w:rPr>
          <w:rFonts w:ascii="Times New Roman" w:hAnsi="Times New Roman"/>
          <w:bCs/>
          <w:sz w:val="20"/>
        </w:rPr>
      </w:pPr>
      <w:r w:rsidRPr="008409AA">
        <w:rPr>
          <w:rFonts w:ascii="Times New Roman" w:hAnsi="Times New Roman"/>
          <w:bCs/>
          <w:sz w:val="20"/>
        </w:rPr>
        <w:lastRenderedPageBreak/>
        <w:t>10.2. Inne dokumenty</w:t>
      </w:r>
    </w:p>
    <w:p w:rsidR="00A87A5A" w:rsidRPr="008409AA" w:rsidRDefault="005028B2" w:rsidP="009845F5">
      <w:pPr>
        <w:jc w:val="both"/>
        <w:rPr>
          <w:rFonts w:ascii="Times New Roman" w:hAnsi="Times New Roman"/>
          <w:sz w:val="20"/>
        </w:rPr>
      </w:pPr>
      <w:r w:rsidRPr="008409AA">
        <w:rPr>
          <w:rFonts w:ascii="Times New Roman" w:hAnsi="Times New Roman"/>
          <w:sz w:val="20"/>
        </w:rPr>
        <w:t>„Instrukcja Badań Podłoża Gruntowego Budowli Drogowych i Mostowych – Część 2. Załącznik” GDDP, Warszawa 1998r.</w:t>
      </w:r>
    </w:p>
    <w:p w:rsidR="00A87A5A" w:rsidRPr="008409AA" w:rsidRDefault="00A87A5A" w:rsidP="009845F5">
      <w:pPr>
        <w:jc w:val="both"/>
        <w:rPr>
          <w:rFonts w:ascii="Times New Roman" w:hAnsi="Times New Roman"/>
          <w:sz w:val="20"/>
        </w:rPr>
      </w:pPr>
    </w:p>
    <w:p w:rsidR="00A87A5A" w:rsidRPr="008409AA" w:rsidRDefault="005028B2" w:rsidP="009845F5">
      <w:pPr>
        <w:jc w:val="both"/>
        <w:rPr>
          <w:rFonts w:ascii="Times New Roman" w:hAnsi="Times New Roman"/>
          <w:sz w:val="20"/>
        </w:rPr>
      </w:pPr>
      <w:r w:rsidRPr="008409AA">
        <w:rPr>
          <w:rFonts w:ascii="Times New Roman" w:hAnsi="Times New Roman"/>
          <w:sz w:val="20"/>
        </w:rPr>
        <w:t>KATALOG TYPOWYCH KONSTRUKCJI NAWIERZCHNI PODATNYCH i PÓŁSZTYWNYCH</w:t>
      </w:r>
      <w:r w:rsidRPr="008409AA">
        <w:rPr>
          <w:rFonts w:ascii="Times New Roman" w:hAnsi="Times New Roman"/>
          <w:iCs/>
          <w:sz w:val="20"/>
        </w:rPr>
        <w:t>.</w:t>
      </w:r>
      <w:r w:rsidRPr="008409AA">
        <w:rPr>
          <w:rFonts w:ascii="Times New Roman" w:hAnsi="Times New Roman"/>
          <w:sz w:val="20"/>
        </w:rPr>
        <w:t xml:space="preserve"> </w:t>
      </w:r>
      <w:r w:rsidRPr="008409AA">
        <w:rPr>
          <w:rFonts w:ascii="Times New Roman" w:hAnsi="Times New Roman"/>
          <w:bCs/>
          <w:sz w:val="20"/>
        </w:rPr>
        <w:t>Politechnika Gdańska - Katedra Inżynierii Drogowej 2014. Opracowany na zlecenie GDDKiA.</w:t>
      </w:r>
    </w:p>
    <w:p w:rsidR="00A87A5A" w:rsidRPr="008409AA" w:rsidRDefault="00A87A5A" w:rsidP="009845F5">
      <w:pPr>
        <w:jc w:val="both"/>
        <w:rPr>
          <w:rFonts w:ascii="Times New Roman" w:hAnsi="Times New Roman"/>
          <w:sz w:val="20"/>
        </w:rPr>
      </w:pPr>
    </w:p>
    <w:p w:rsidR="00A87A5A" w:rsidRPr="008409AA" w:rsidRDefault="005028B2" w:rsidP="009845F5">
      <w:pPr>
        <w:jc w:val="both"/>
        <w:rPr>
          <w:rFonts w:ascii="Times New Roman" w:hAnsi="Times New Roman"/>
          <w:sz w:val="20"/>
        </w:rPr>
      </w:pPr>
      <w:r w:rsidRPr="008409AA">
        <w:rPr>
          <w:rFonts w:ascii="Times New Roman" w:hAnsi="Times New Roman"/>
          <w:sz w:val="20"/>
        </w:rPr>
        <w:t>KATALOG TYPOWYCH KONSTRUKCJI NAWIERZCHNI SZTYWNYCH</w:t>
      </w:r>
      <w:r w:rsidRPr="008409AA">
        <w:rPr>
          <w:rFonts w:ascii="Times New Roman" w:hAnsi="Times New Roman"/>
          <w:iCs/>
          <w:sz w:val="20"/>
        </w:rPr>
        <w:t>.</w:t>
      </w:r>
      <w:r w:rsidRPr="008409AA">
        <w:rPr>
          <w:rFonts w:ascii="Times New Roman" w:hAnsi="Times New Roman"/>
          <w:sz w:val="20"/>
        </w:rPr>
        <w:t xml:space="preserve"> </w:t>
      </w:r>
      <w:r w:rsidRPr="008409AA">
        <w:rPr>
          <w:rFonts w:ascii="Times New Roman" w:hAnsi="Times New Roman"/>
          <w:bCs/>
          <w:sz w:val="20"/>
        </w:rPr>
        <w:t>Politechnika Wrocławska - Katedra Inżynierii Lądowej 2014. Opracowany na zlecenie GDDKiA.</w:t>
      </w:r>
    </w:p>
    <w:p w:rsidR="00A87A5A" w:rsidRPr="008409AA" w:rsidRDefault="00A87A5A" w:rsidP="009845F5">
      <w:pPr>
        <w:jc w:val="both"/>
        <w:rPr>
          <w:rFonts w:ascii="Times New Roman" w:hAnsi="Times New Roman"/>
          <w:sz w:val="20"/>
        </w:rPr>
      </w:pPr>
    </w:p>
    <w:p w:rsidR="00A87A5A" w:rsidRPr="008409AA" w:rsidRDefault="005028B2" w:rsidP="009845F5">
      <w:pPr>
        <w:jc w:val="both"/>
        <w:rPr>
          <w:rFonts w:ascii="Times New Roman" w:hAnsi="Times New Roman"/>
          <w:bCs/>
          <w:sz w:val="20"/>
        </w:rPr>
      </w:pPr>
      <w:r w:rsidRPr="008409AA">
        <w:rPr>
          <w:rFonts w:ascii="Times New Roman" w:hAnsi="Times New Roman"/>
          <w:bCs/>
          <w:sz w:val="20"/>
        </w:rPr>
        <w:t>Rozporządzenie Ministra Transportu i Gospodarki Morskiej z dnia 2 marca 1999 r. w sprawie warunków technicznych, jakim powinny odpowiadać drogi publiczne i ich usytuowanie (Dz. U. Nr 43, poz. 430,wraz z późniejszymi zmianami.</w:t>
      </w:r>
    </w:p>
    <w:p w:rsidR="00A87A5A" w:rsidRPr="008409AA" w:rsidRDefault="00A87A5A" w:rsidP="009845F5">
      <w:pPr>
        <w:jc w:val="both"/>
        <w:rPr>
          <w:rFonts w:ascii="Times New Roman" w:hAnsi="Times New Roman"/>
          <w:sz w:val="20"/>
        </w:rPr>
      </w:pPr>
    </w:p>
    <w:p w:rsidR="00A87A5A" w:rsidRPr="008409AA" w:rsidRDefault="005028B2" w:rsidP="009845F5">
      <w:pPr>
        <w:jc w:val="both"/>
        <w:rPr>
          <w:rFonts w:ascii="Times New Roman" w:hAnsi="Times New Roman"/>
          <w:spacing w:val="-3"/>
          <w:sz w:val="20"/>
        </w:rPr>
      </w:pPr>
      <w:r w:rsidRPr="008409AA">
        <w:rPr>
          <w:rFonts w:ascii="Times New Roman" w:hAnsi="Times New Roman"/>
          <w:spacing w:val="-3"/>
          <w:sz w:val="20"/>
        </w:rPr>
        <w:t>WT-4 2010. Mieszanki niezwiązane do dróg krajowych. Wymagania techniczne. Załącznik Nr 3 do Zarządzenia nr 102 Generalnego Dyrektora Dróg Krajowych i Autostrad z dnia 19 listopada 2010r.</w:t>
      </w:r>
    </w:p>
    <w:p w:rsidR="00A87A5A" w:rsidRPr="008409AA" w:rsidRDefault="00A87A5A" w:rsidP="009845F5">
      <w:pPr>
        <w:jc w:val="both"/>
        <w:rPr>
          <w:rFonts w:ascii="Times New Roman" w:hAnsi="Times New Roman"/>
          <w:spacing w:val="-3"/>
          <w:sz w:val="20"/>
        </w:rPr>
      </w:pPr>
    </w:p>
    <w:sectPr w:rsidR="00A87A5A" w:rsidRPr="008409AA" w:rsidSect="00394DA5">
      <w:headerReference w:type="even" r:id="rId12"/>
      <w:headerReference w:type="default" r:id="rId13"/>
      <w:footerReference w:type="even" r:id="rId14"/>
      <w:footerReference w:type="default" r:id="rId15"/>
      <w:endnotePr>
        <w:numFmt w:val="decimal"/>
      </w:endnotePr>
      <w:pgSz w:w="11904" w:h="16800" w:code="9"/>
      <w:pgMar w:top="1060" w:right="1272" w:bottom="993" w:left="1418" w:header="568" w:footer="873" w:gutter="0"/>
      <w:pgNumType w:start="99"/>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3F7B" w:rsidRDefault="00873F7B">
      <w:pPr>
        <w:spacing w:line="20" w:lineRule="exact"/>
      </w:pPr>
    </w:p>
  </w:endnote>
  <w:endnote w:type="continuationSeparator" w:id="0">
    <w:p w:rsidR="00873F7B" w:rsidRDefault="00873F7B">
      <w:r>
        <w:t xml:space="preserve"> </w:t>
      </w:r>
    </w:p>
  </w:endnote>
  <w:endnote w:type="continuationNotice" w:id="1">
    <w:p w:rsidR="00873F7B" w:rsidRDefault="00873F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G Times">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Gatineau">
    <w:altName w:val="Calibri"/>
    <w:panose1 w:val="00000000000000000000"/>
    <w:charset w:val="EE"/>
    <w:family w:val="swiss"/>
    <w:notTrueType/>
    <w:pitch w:val="default"/>
    <w:sig w:usb0="00000005" w:usb1="00000000" w:usb2="00000000" w:usb3="00000000" w:csb0="00000002" w:csb1="00000000"/>
  </w:font>
  <w:font w:name="Albertus Medium">
    <w:charset w:val="EE"/>
    <w:family w:val="swiss"/>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A5A" w:rsidRDefault="005028B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A87A5A" w:rsidRDefault="00A87A5A">
    <w:pPr>
      <w:pBdr>
        <w:bottom w:val="single" w:sz="12" w:space="1" w:color="auto"/>
      </w:pBdr>
      <w:tabs>
        <w:tab w:val="left" w:pos="-720"/>
      </w:tabs>
      <w:suppressAutoHyphens/>
      <w:ind w:right="360" w:firstLine="360"/>
      <w:jc w:val="both"/>
      <w:rPr>
        <w:rFonts w:ascii="Albertus Medium" w:hAnsi="Albertus Medium"/>
        <w:i/>
        <w:spacing w:val="-1"/>
        <w:sz w:val="14"/>
        <w:lang w:val="en-US"/>
      </w:rPr>
    </w:pPr>
  </w:p>
  <w:p w:rsidR="00A87A5A" w:rsidRDefault="005028B2">
    <w:pPr>
      <w:tabs>
        <w:tab w:val="right" w:pos="9636"/>
      </w:tabs>
      <w:suppressAutoHyphens/>
      <w:jc w:val="both"/>
      <w:rPr>
        <w:rFonts w:ascii="Times New Roman" w:hAnsi="Times New Roman"/>
        <w:spacing w:val="-3"/>
        <w:sz w:val="16"/>
      </w:rPr>
    </w:pPr>
    <w:r>
      <w:rPr>
        <w:rFonts w:ascii="Albertus Medium" w:hAnsi="Albertus Medium"/>
        <w:i/>
        <w:spacing w:val="-1"/>
        <w:sz w:val="14"/>
        <w:lang w:val="en-US"/>
      </w:rPr>
      <w:tab/>
    </w:r>
    <w:r>
      <w:rPr>
        <w:rFonts w:ascii="Times New Roman" w:hAnsi="Times New Roman"/>
        <w:i/>
        <w:spacing w:val="-1"/>
        <w:sz w:val="16"/>
      </w:rPr>
      <w:t>OBWODNICA m. BIAŁOBRZEGI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DA5" w:rsidRDefault="00394DA5">
    <w:pPr>
      <w:pStyle w:val="Stopka"/>
      <w:jc w:val="right"/>
    </w:pPr>
  </w:p>
  <w:p w:rsidR="00A87A5A" w:rsidRDefault="00A87A5A">
    <w:pPr>
      <w:pStyle w:val="Stopka"/>
      <w:tabs>
        <w:tab w:val="right" w:pos="0"/>
        <w:tab w:val="left" w:pos="1418"/>
      </w:tabs>
      <w:ind w:right="360"/>
      <w:rPr>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3F7B" w:rsidRDefault="00873F7B">
      <w:r>
        <w:separator/>
      </w:r>
    </w:p>
  </w:footnote>
  <w:footnote w:type="continuationSeparator" w:id="0">
    <w:p w:rsidR="00873F7B" w:rsidRDefault="00873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A5A" w:rsidRDefault="005028B2">
    <w:pPr>
      <w:pStyle w:val="Nagwek"/>
      <w:framePr w:wrap="around" w:vAnchor="text" w:hAnchor="margin" w:xAlign="outside" w:y="1"/>
      <w:rPr>
        <w:rStyle w:val="Numerstrony"/>
        <w:rFonts w:ascii="Times New Roman" w:hAnsi="Times New Roman"/>
        <w:sz w:val="22"/>
      </w:rPr>
    </w:pPr>
    <w:r>
      <w:rPr>
        <w:rStyle w:val="Numerstrony"/>
        <w:rFonts w:ascii="Times New Roman" w:hAnsi="Times New Roman"/>
        <w:sz w:val="22"/>
      </w:rPr>
      <w:fldChar w:fldCharType="begin"/>
    </w:r>
    <w:r>
      <w:rPr>
        <w:rStyle w:val="Numerstrony"/>
        <w:rFonts w:ascii="Times New Roman" w:hAnsi="Times New Roman"/>
        <w:sz w:val="22"/>
      </w:rPr>
      <w:instrText xml:space="preserve">PAGE  </w:instrText>
    </w:r>
    <w:r>
      <w:rPr>
        <w:rStyle w:val="Numerstrony"/>
        <w:rFonts w:ascii="Times New Roman" w:hAnsi="Times New Roman"/>
        <w:sz w:val="22"/>
      </w:rPr>
      <w:fldChar w:fldCharType="separate"/>
    </w:r>
    <w:r>
      <w:rPr>
        <w:rStyle w:val="Numerstrony"/>
        <w:rFonts w:ascii="Times New Roman" w:hAnsi="Times New Roman"/>
        <w:noProof/>
        <w:sz w:val="22"/>
      </w:rPr>
      <w:t>168</w:t>
    </w:r>
    <w:r>
      <w:rPr>
        <w:rStyle w:val="Numerstrony"/>
        <w:rFonts w:ascii="Times New Roman" w:hAnsi="Times New Roman"/>
        <w:sz w:val="22"/>
      </w:rPr>
      <w:fldChar w:fldCharType="end"/>
    </w:r>
  </w:p>
  <w:p w:rsidR="00A87A5A" w:rsidRDefault="005028B2">
    <w:pPr>
      <w:pBdr>
        <w:bottom w:val="single" w:sz="12" w:space="1" w:color="auto"/>
      </w:pBdr>
      <w:tabs>
        <w:tab w:val="left" w:pos="-720"/>
      </w:tabs>
      <w:suppressAutoHyphens/>
      <w:ind w:right="-3"/>
      <w:jc w:val="both"/>
      <w:rPr>
        <w:rFonts w:ascii="Times New Roman" w:hAnsi="Times New Roman"/>
        <w:i/>
        <w:spacing w:val="-1"/>
        <w:sz w:val="16"/>
      </w:rPr>
    </w:pPr>
    <w:r>
      <w:rPr>
        <w:rFonts w:ascii="Times New Roman" w:hAnsi="Times New Roman"/>
        <w:noProof/>
        <w:sz w:val="20"/>
      </w:rPr>
      <mc:AlternateContent>
        <mc:Choice Requires="wps">
          <w:drawing>
            <wp:anchor distT="0" distB="0" distL="114300" distR="114300" simplePos="0" relativeHeight="251657216" behindDoc="0" locked="0" layoutInCell="0" allowOverlap="1" wp14:anchorId="0F97B595" wp14:editId="4A1DD3C5">
              <wp:simplePos x="0" y="0"/>
              <wp:positionH relativeFrom="page">
                <wp:posOffset>720090</wp:posOffset>
              </wp:positionH>
              <wp:positionV relativeFrom="paragraph">
                <wp:posOffset>0</wp:posOffset>
              </wp:positionV>
              <wp:extent cx="611886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86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87A5A" w:rsidRDefault="00A87A5A">
                          <w:pPr>
                            <w:tabs>
                              <w:tab w:val="center" w:pos="4818"/>
                              <w:tab w:val="right" w:pos="9636"/>
                            </w:tabs>
                            <w:rPr>
                              <w:rFonts w:ascii="Gatineau" w:hAnsi="Gatineau"/>
                              <w:spacing w:val="-3"/>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7B595" id="Rectangle 1" o:spid="_x0000_s1026" style="position:absolute;left:0;text-align:left;margin-left:56.7pt;margin-top:0;width:481.8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" o:allowincell="f" filled="f" stroked="f" strokeweight="0">
              <v:textbox inset="0,0,0,0">
                <w:txbxContent>
                  <w:p w:rsidR="00A87A5A" w:rsidRDefault="00A87A5A">
                    <w:pPr>
                      <w:tabs>
                        <w:tab w:val="center" w:pos="4818"/>
                        <w:tab w:val="right" w:pos="9636"/>
                      </w:tabs>
                      <w:rPr>
                        <w:rFonts w:ascii="Gatineau" w:hAnsi="Gatineau"/>
                        <w:spacing w:val="-3"/>
                        <w:lang w:val="en-US"/>
                      </w:rPr>
                    </w:pPr>
                  </w:p>
                </w:txbxContent>
              </v:textbox>
              <w10:wrap anchorx="page"/>
            </v:rect>
          </w:pict>
        </mc:Fallback>
      </mc:AlternateContent>
    </w:r>
    <w:r>
      <w:rPr>
        <w:rFonts w:ascii="Albertus Medium" w:hAnsi="Albertus Medium"/>
        <w:i/>
        <w:spacing w:val="-1"/>
        <w:sz w:val="14"/>
      </w:rPr>
      <w:tab/>
    </w:r>
    <w:r>
      <w:rPr>
        <w:rFonts w:ascii="Times New Roman" w:hAnsi="Times New Roman"/>
        <w:i/>
        <w:spacing w:val="-1"/>
        <w:sz w:val="16"/>
      </w:rPr>
      <w:t>"Profil" Sp. z o.o.</w:t>
    </w:r>
    <w:r>
      <w:rPr>
        <w:rFonts w:ascii="Times New Roman" w:hAnsi="Times New Roman"/>
        <w:i/>
        <w:spacing w:val="-1"/>
        <w:sz w:val="16"/>
      </w:rPr>
      <w:tab/>
    </w:r>
    <w:r>
      <w:rPr>
        <w:rFonts w:ascii="Times New Roman" w:hAnsi="Times New Roman"/>
        <w:i/>
        <w:spacing w:val="-1"/>
        <w:sz w:val="16"/>
      </w:rPr>
      <w:tab/>
    </w:r>
    <w:r>
      <w:rPr>
        <w:rFonts w:ascii="Times New Roman" w:hAnsi="Times New Roman"/>
        <w:i/>
        <w:spacing w:val="-1"/>
        <w:sz w:val="16"/>
      </w:rPr>
      <w:tab/>
    </w:r>
    <w:r>
      <w:rPr>
        <w:rFonts w:ascii="Times New Roman" w:hAnsi="Times New Roman"/>
        <w:i/>
        <w:spacing w:val="-1"/>
        <w:sz w:val="16"/>
      </w:rPr>
      <w:tab/>
    </w:r>
    <w:r>
      <w:rPr>
        <w:rFonts w:ascii="Times New Roman" w:hAnsi="Times New Roman"/>
        <w:i/>
        <w:spacing w:val="-1"/>
        <w:sz w:val="16"/>
      </w:rPr>
      <w:tab/>
    </w:r>
    <w:r>
      <w:rPr>
        <w:rFonts w:ascii="Times New Roman" w:hAnsi="Times New Roman"/>
        <w:i/>
        <w:spacing w:val="-1"/>
        <w:sz w:val="16"/>
      </w:rPr>
      <w:tab/>
      <w:t>D.04.04.02.</w:t>
    </w:r>
  </w:p>
  <w:p w:rsidR="00A87A5A" w:rsidRDefault="00A87A5A">
    <w:pPr>
      <w:spacing w:after="140"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A5A" w:rsidRPr="008409AA" w:rsidRDefault="008409AA" w:rsidP="008409AA">
    <w:pPr>
      <w:pBdr>
        <w:bottom w:val="single" w:sz="4" w:space="1" w:color="auto"/>
      </w:pBdr>
      <w:suppressAutoHyphens/>
      <w:jc w:val="center"/>
      <w:rPr>
        <w:rFonts w:ascii="Times New Roman" w:hAnsi="Times New Roman"/>
        <w:sz w:val="16"/>
        <w:szCs w:val="16"/>
      </w:rPr>
    </w:pPr>
    <w:r w:rsidRPr="008409AA">
      <w:rPr>
        <w:rFonts w:ascii="Times New Roman" w:hAnsi="Times New Roman"/>
        <w:sz w:val="16"/>
        <w:szCs w:val="16"/>
      </w:rPr>
      <w:t xml:space="preserve">D.06.03.01. </w:t>
    </w:r>
    <w:r w:rsidRPr="008409AA">
      <w:rPr>
        <w:rFonts w:ascii="Times New Roman" w:hAnsi="Times New Roman"/>
        <w:sz w:val="16"/>
        <w:szCs w:val="16"/>
      </w:rPr>
      <w:tab/>
      <w:t xml:space="preserve">UMOCNIENIE POBOCZY </w:t>
    </w:r>
    <w:r w:rsidR="005028B2" w:rsidRPr="008409AA">
      <w:rPr>
        <w:rFonts w:ascii="Times New Roman" w:hAnsi="Times New Roman"/>
        <w:iCs/>
        <w:noProof/>
        <w:sz w:val="16"/>
        <w:szCs w:val="16"/>
      </w:rPr>
      <mc:AlternateContent>
        <mc:Choice Requires="wps">
          <w:drawing>
            <wp:anchor distT="0" distB="0" distL="114300" distR="114300" simplePos="0" relativeHeight="251658752" behindDoc="0" locked="0" layoutInCell="1" allowOverlap="1" wp14:anchorId="755200B5" wp14:editId="65F21F48">
              <wp:simplePos x="0" y="0"/>
              <wp:positionH relativeFrom="page">
                <wp:posOffset>737235</wp:posOffset>
              </wp:positionH>
              <wp:positionV relativeFrom="paragraph">
                <wp:posOffset>316230</wp:posOffset>
              </wp:positionV>
              <wp:extent cx="611886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86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87A5A" w:rsidRDefault="005028B2">
                          <w:pPr>
                            <w:tabs>
                              <w:tab w:val="center" w:pos="4818"/>
                              <w:tab w:val="right" w:pos="9636"/>
                            </w:tabs>
                            <w:rPr>
                              <w:rFonts w:ascii="Gatineau" w:hAnsi="Gatineau"/>
                              <w:spacing w:val="-3"/>
                              <w:lang w:val="en-US"/>
                            </w:rPr>
                          </w:pPr>
                          <w:r>
                            <w:tab/>
                          </w: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200B5" id="Rectangle 2" o:spid="_x0000_s1027" style="position:absolute;left:0;text-align:left;margin-left:58.05pt;margin-top:24.9pt;width:481.8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" filled="f" stroked="f" strokeweight="0">
              <v:textbox inset="0,0,0,0">
                <w:txbxContent>
                  <w:p w:rsidR="00A87A5A" w:rsidRDefault="005028B2">
                    <w:pPr>
                      <w:tabs>
                        <w:tab w:val="center" w:pos="4818"/>
                        <w:tab w:val="right" w:pos="9636"/>
                      </w:tabs>
                      <w:rPr>
                        <w:rFonts w:ascii="Gatineau" w:hAnsi="Gatineau"/>
                        <w:spacing w:val="-3"/>
                        <w:lang w:val="en-US"/>
                      </w:rPr>
                    </w:pPr>
                    <w:r>
                      <w:tab/>
                    </w:r>
                    <w:r>
                      <w:tab/>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F2ED9"/>
    <w:multiLevelType w:val="hybridMultilevel"/>
    <w:tmpl w:val="888003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447DA"/>
    <w:multiLevelType w:val="hybridMultilevel"/>
    <w:tmpl w:val="760AF584"/>
    <w:lvl w:ilvl="0" w:tplc="D4D81566">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71D1710"/>
    <w:multiLevelType w:val="singleLevel"/>
    <w:tmpl w:val="D402FB0A"/>
    <w:lvl w:ilvl="0">
      <w:start w:val="31"/>
      <w:numFmt w:val="decimal"/>
      <w:lvlText w:val="%1."/>
      <w:legacy w:legacy="1" w:legacySpace="57" w:legacyIndent="454"/>
      <w:lvlJc w:val="right"/>
      <w:pPr>
        <w:ind w:left="454" w:hanging="454"/>
      </w:pPr>
    </w:lvl>
  </w:abstractNum>
  <w:abstractNum w:abstractNumId="4" w15:restartNumberingAfterBreak="0">
    <w:nsid w:val="0A976B93"/>
    <w:multiLevelType w:val="singleLevel"/>
    <w:tmpl w:val="8AA6A5D8"/>
    <w:lvl w:ilvl="0">
      <w:start w:val="1"/>
      <w:numFmt w:val="bullet"/>
      <w:lvlText w:val="-"/>
      <w:lvlJc w:val="left"/>
      <w:pPr>
        <w:tabs>
          <w:tab w:val="num" w:pos="870"/>
        </w:tabs>
        <w:ind w:left="870" w:hanging="360"/>
      </w:pPr>
      <w:rPr>
        <w:rFonts w:hint="default"/>
      </w:rPr>
    </w:lvl>
  </w:abstractNum>
  <w:abstractNum w:abstractNumId="5" w15:restartNumberingAfterBreak="0">
    <w:nsid w:val="0B27115A"/>
    <w:multiLevelType w:val="hybridMultilevel"/>
    <w:tmpl w:val="545CA16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C362290"/>
    <w:multiLevelType w:val="hybridMultilevel"/>
    <w:tmpl w:val="BE4607F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800346"/>
    <w:multiLevelType w:val="hybridMultilevel"/>
    <w:tmpl w:val="73F62A1E"/>
    <w:lvl w:ilvl="0" w:tplc="FFFFFFFF">
      <w:start w:val="1"/>
      <w:numFmt w:val="bullet"/>
      <w:lvlText w:val=""/>
      <w:lvlJc w:val="left"/>
      <w:pPr>
        <w:ind w:left="1170" w:hanging="360"/>
      </w:pPr>
      <w:rPr>
        <w:rFonts w:ascii="Symbol" w:hAnsi="Symbol" w:hint="default"/>
        <w:sz w:val="20"/>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8" w15:restartNumberingAfterBreak="0">
    <w:nsid w:val="0EB15608"/>
    <w:multiLevelType w:val="hybridMultilevel"/>
    <w:tmpl w:val="6E8AFC84"/>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2436BD"/>
    <w:multiLevelType w:val="singleLevel"/>
    <w:tmpl w:val="04150017"/>
    <w:lvl w:ilvl="0">
      <w:start w:val="1"/>
      <w:numFmt w:val="lowerLetter"/>
      <w:lvlText w:val="%1)"/>
      <w:legacy w:legacy="1" w:legacySpace="0" w:legacyIndent="360"/>
      <w:lvlJc w:val="left"/>
      <w:pPr>
        <w:ind w:left="360" w:hanging="360"/>
      </w:pPr>
    </w:lvl>
  </w:abstractNum>
  <w:abstractNum w:abstractNumId="10" w15:restartNumberingAfterBreak="0">
    <w:nsid w:val="1AAA2CE8"/>
    <w:multiLevelType w:val="hybridMultilevel"/>
    <w:tmpl w:val="E96C54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391A8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CCA1B41"/>
    <w:multiLevelType w:val="singleLevel"/>
    <w:tmpl w:val="67F488A0"/>
    <w:lvl w:ilvl="0">
      <w:start w:val="1"/>
      <w:numFmt w:val="lowerLetter"/>
      <w:lvlText w:val="%1)"/>
      <w:lvlJc w:val="left"/>
      <w:pPr>
        <w:tabs>
          <w:tab w:val="num" w:pos="870"/>
        </w:tabs>
        <w:ind w:left="870" w:hanging="360"/>
      </w:pPr>
      <w:rPr>
        <w:rFonts w:hint="default"/>
      </w:rPr>
    </w:lvl>
  </w:abstractNum>
  <w:abstractNum w:abstractNumId="13" w15:restartNumberingAfterBreak="0">
    <w:nsid w:val="21893310"/>
    <w:multiLevelType w:val="hybridMultilevel"/>
    <w:tmpl w:val="5894A9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57587D"/>
    <w:multiLevelType w:val="hybridMultilevel"/>
    <w:tmpl w:val="D954109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E463894"/>
    <w:multiLevelType w:val="hybridMultilevel"/>
    <w:tmpl w:val="99FE39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F15415"/>
    <w:multiLevelType w:val="hybridMultilevel"/>
    <w:tmpl w:val="172EA5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F36E99"/>
    <w:multiLevelType w:val="singleLevel"/>
    <w:tmpl w:val="4CDC2DB0"/>
    <w:lvl w:ilvl="0">
      <w:start w:val="1"/>
      <w:numFmt w:val="lowerLetter"/>
      <w:lvlText w:val="%1)"/>
      <w:lvlJc w:val="left"/>
      <w:pPr>
        <w:tabs>
          <w:tab w:val="num" w:pos="1440"/>
        </w:tabs>
        <w:ind w:left="1440" w:hanging="720"/>
      </w:pPr>
      <w:rPr>
        <w:rFonts w:hint="default"/>
      </w:rPr>
    </w:lvl>
  </w:abstractNum>
  <w:abstractNum w:abstractNumId="18" w15:restartNumberingAfterBreak="0">
    <w:nsid w:val="457A2B86"/>
    <w:multiLevelType w:val="hybridMultilevel"/>
    <w:tmpl w:val="B92C5C32"/>
    <w:lvl w:ilvl="0" w:tplc="801419C0">
      <w:start w:val="1"/>
      <w:numFmt w:val="bullet"/>
      <w:lvlText w:val=""/>
      <w:lvlJc w:val="left"/>
      <w:pPr>
        <w:tabs>
          <w:tab w:val="num" w:pos="1418"/>
        </w:tabs>
        <w:ind w:left="1418"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F61EB0"/>
    <w:multiLevelType w:val="hybridMultilevel"/>
    <w:tmpl w:val="97087D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5711C5"/>
    <w:multiLevelType w:val="hybridMultilevel"/>
    <w:tmpl w:val="AFC6C89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665287B"/>
    <w:multiLevelType w:val="singleLevel"/>
    <w:tmpl w:val="44A623F0"/>
    <w:lvl w:ilvl="0">
      <w:start w:val="1"/>
      <w:numFmt w:val="lowerLetter"/>
      <w:lvlText w:val="%1)"/>
      <w:legacy w:legacy="1" w:legacySpace="0" w:legacyIndent="283"/>
      <w:lvlJc w:val="left"/>
      <w:pPr>
        <w:ind w:left="283" w:hanging="283"/>
      </w:pPr>
    </w:lvl>
  </w:abstractNum>
  <w:abstractNum w:abstractNumId="22" w15:restartNumberingAfterBreak="0">
    <w:nsid w:val="5B2D19E7"/>
    <w:multiLevelType w:val="hybridMultilevel"/>
    <w:tmpl w:val="F52C21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40F44"/>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60846430"/>
    <w:multiLevelType w:val="hybridMultilevel"/>
    <w:tmpl w:val="CAA6F6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88692C"/>
    <w:multiLevelType w:val="hybridMultilevel"/>
    <w:tmpl w:val="5972D4C2"/>
    <w:lvl w:ilvl="0" w:tplc="D646FA6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14348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12450AA"/>
    <w:multiLevelType w:val="hybridMultilevel"/>
    <w:tmpl w:val="9B6C2A76"/>
    <w:lvl w:ilvl="0" w:tplc="4AA8831E">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102425"/>
    <w:multiLevelType w:val="multilevel"/>
    <w:tmpl w:val="A9DE26F4"/>
    <w:lvl w:ilvl="0">
      <w:start w:val="9"/>
      <w:numFmt w:val="decimal"/>
      <w:lvlText w:val="%1."/>
      <w:lvlJc w:val="left"/>
      <w:pPr>
        <w:tabs>
          <w:tab w:val="num" w:pos="510"/>
        </w:tabs>
        <w:ind w:left="510" w:hanging="510"/>
      </w:pPr>
      <w:rPr>
        <w:rFonts w:hint="default"/>
        <w:b/>
      </w:rPr>
    </w:lvl>
    <w:lvl w:ilvl="1">
      <w:start w:val="2"/>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76FE3310"/>
    <w:multiLevelType w:val="hybridMultilevel"/>
    <w:tmpl w:val="3706281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
  </w:num>
  <w:num w:numId="2">
    <w:abstractNumId w:val="28"/>
  </w:num>
  <w:num w:numId="3">
    <w:abstractNumId w:val="12"/>
  </w:num>
  <w:num w:numId="4">
    <w:abstractNumId w:val="26"/>
  </w:num>
  <w:num w:numId="5">
    <w:abstractNumId w:val="0"/>
    <w:lvlOverride w:ilvl="0">
      <w:lvl w:ilvl="0">
        <w:start w:val="1"/>
        <w:numFmt w:val="bullet"/>
        <w:lvlText w:val="-"/>
        <w:legacy w:legacy="1" w:legacySpace="0" w:legacyIndent="420"/>
        <w:lvlJc w:val="left"/>
        <w:pPr>
          <w:ind w:left="480" w:hanging="420"/>
        </w:pPr>
      </w:lvl>
    </w:lvlOverride>
  </w:num>
  <w:num w:numId="6">
    <w:abstractNumId w:val="23"/>
  </w:num>
  <w:num w:numId="7">
    <w:abstractNumId w:val="17"/>
  </w:num>
  <w:num w:numId="8">
    <w:abstractNumId w:val="0"/>
    <w:lvlOverride w:ilvl="0">
      <w:lvl w:ilvl="0">
        <w:start w:val="1"/>
        <w:numFmt w:val="bullet"/>
        <w:lvlText w:val="-"/>
        <w:legacy w:legacy="1" w:legacySpace="0" w:legacyIndent="420"/>
        <w:lvlJc w:val="left"/>
        <w:pPr>
          <w:ind w:left="480" w:hanging="420"/>
        </w:pPr>
      </w:lvl>
    </w:lvlOverride>
  </w:num>
  <w:num w:numId="9">
    <w:abstractNumId w:val="11"/>
  </w:num>
  <w:num w:numId="10">
    <w:abstractNumId w:val="9"/>
  </w:num>
  <w:num w:numId="11">
    <w:abstractNumId w:val="0"/>
    <w:lvlOverride w:ilvl="0">
      <w:lvl w:ilvl="0">
        <w:start w:val="1"/>
        <w:numFmt w:val="bullet"/>
        <w:lvlText w:val="-"/>
        <w:legacy w:legacy="1" w:legacySpace="0" w:legacyIndent="420"/>
        <w:lvlJc w:val="left"/>
        <w:pPr>
          <w:ind w:left="480" w:hanging="420"/>
        </w:pPr>
      </w:lvl>
    </w:lvlOverride>
  </w:num>
  <w:num w:numId="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21"/>
  </w:num>
  <w:num w:numId="1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5">
    <w:abstractNumId w:val="3"/>
  </w:num>
  <w:num w:numId="1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7">
    <w:abstractNumId w:val="6"/>
  </w:num>
  <w:num w:numId="18">
    <w:abstractNumId w:val="14"/>
  </w:num>
  <w:num w:numId="19">
    <w:abstractNumId w:val="5"/>
  </w:num>
  <w:num w:numId="20">
    <w:abstractNumId w:val="2"/>
  </w:num>
  <w:num w:numId="21">
    <w:abstractNumId w:val="27"/>
  </w:num>
  <w:num w:numId="22">
    <w:abstractNumId w:val="29"/>
  </w:num>
  <w:num w:numId="23">
    <w:abstractNumId w:val="20"/>
  </w:num>
  <w:num w:numId="24">
    <w:abstractNumId w:val="18"/>
  </w:num>
  <w:num w:numId="25">
    <w:abstractNumId w:val="15"/>
  </w:num>
  <w:num w:numId="26">
    <w:abstractNumId w:val="19"/>
  </w:num>
  <w:num w:numId="27">
    <w:abstractNumId w:val="1"/>
  </w:num>
  <w:num w:numId="28">
    <w:abstractNumId w:val="16"/>
  </w:num>
  <w:num w:numId="29">
    <w:abstractNumId w:val="13"/>
  </w:num>
  <w:num w:numId="30">
    <w:abstractNumId w:val="24"/>
  </w:num>
  <w:num w:numId="31">
    <w:abstractNumId w:val="10"/>
  </w:num>
  <w:num w:numId="32">
    <w:abstractNumId w:val="22"/>
  </w:num>
  <w:num w:numId="33">
    <w:abstractNumId w:val="25"/>
  </w:num>
  <w:num w:numId="34">
    <w:abstractNumId w:val="7"/>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7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7A5A"/>
    <w:rsid w:val="00394DA5"/>
    <w:rsid w:val="00427D05"/>
    <w:rsid w:val="00483335"/>
    <w:rsid w:val="005028B2"/>
    <w:rsid w:val="00667E0B"/>
    <w:rsid w:val="008409AA"/>
    <w:rsid w:val="00873F7B"/>
    <w:rsid w:val="009845F5"/>
    <w:rsid w:val="00A662DD"/>
    <w:rsid w:val="00A87A5A"/>
    <w:rsid w:val="00AD29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5:docId w15:val="{88BA4A3C-7831-45FF-8457-FD23F56C3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rFonts w:ascii="CG Times" w:hAnsi="CG Times"/>
      <w:sz w:val="24"/>
    </w:rPr>
  </w:style>
  <w:style w:type="paragraph" w:styleId="Nagwek1">
    <w:name w:val="heading 1"/>
    <w:basedOn w:val="Normalny"/>
    <w:next w:val="Normalny"/>
    <w:qFormat/>
    <w:pPr>
      <w:keepNext/>
      <w:keepLines/>
      <w:suppressAutoHyphens/>
      <w:overflowPunct w:val="0"/>
      <w:autoSpaceDE w:val="0"/>
      <w:autoSpaceDN w:val="0"/>
      <w:adjustRightInd w:val="0"/>
      <w:spacing w:before="240" w:after="120"/>
      <w:jc w:val="both"/>
      <w:textAlignment w:val="baseline"/>
      <w:outlineLvl w:val="0"/>
    </w:pPr>
    <w:rPr>
      <w:rFonts w:ascii="Times New Roman" w:hAnsi="Times New Roman"/>
      <w:b/>
      <w:caps/>
      <w:kern w:val="28"/>
      <w:sz w:val="20"/>
    </w:rPr>
  </w:style>
  <w:style w:type="paragraph" w:styleId="Nagwek2">
    <w:name w:val="heading 2"/>
    <w:basedOn w:val="Normalny"/>
    <w:next w:val="Normalny"/>
    <w:qFormat/>
    <w:pPr>
      <w:keepNext/>
      <w:overflowPunct w:val="0"/>
      <w:autoSpaceDE w:val="0"/>
      <w:autoSpaceDN w:val="0"/>
      <w:adjustRightInd w:val="0"/>
      <w:spacing w:before="120" w:after="120"/>
      <w:jc w:val="both"/>
      <w:textAlignment w:val="baseline"/>
      <w:outlineLvl w:val="1"/>
    </w:pPr>
    <w:rPr>
      <w:rFonts w:ascii="Times New Roman" w:hAnsi="Times New Roman"/>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ph1">
    <w:name w:val="paragraph 1"/>
    <w:pPr>
      <w:tabs>
        <w:tab w:val="left" w:pos="-720"/>
      </w:tabs>
      <w:suppressAutoHyphens/>
    </w:pPr>
    <w:rPr>
      <w:rFonts w:ascii="CG Times" w:hAnsi="CG Times"/>
      <w:sz w:val="24"/>
      <w:lang w:val="en-US"/>
    </w:rPr>
  </w:style>
  <w:style w:type="character" w:customStyle="1" w:styleId="Document8">
    <w:name w:val="Document 8"/>
    <w:basedOn w:val="Domylnaczcionkaakapitu"/>
  </w:style>
  <w:style w:type="character" w:customStyle="1" w:styleId="Document4">
    <w:name w:val="Document 4"/>
    <w:rPr>
      <w:b/>
      <w:i/>
      <w:sz w:val="24"/>
    </w:rPr>
  </w:style>
  <w:style w:type="character" w:customStyle="1" w:styleId="Document6">
    <w:name w:val="Document 6"/>
    <w:basedOn w:val="Domylnaczcionkaakapitu"/>
  </w:style>
  <w:style w:type="character" w:customStyle="1" w:styleId="Document5">
    <w:name w:val="Document 5"/>
    <w:basedOn w:val="Domylnaczcionkaakapitu"/>
  </w:style>
  <w:style w:type="character" w:customStyle="1" w:styleId="Document2">
    <w:name w:val="Document 2"/>
    <w:rPr>
      <w:rFonts w:ascii="CG Times" w:hAnsi="CG Times"/>
      <w:noProof w:val="0"/>
      <w:sz w:val="24"/>
      <w:lang w:val="en-US"/>
    </w:rPr>
  </w:style>
  <w:style w:type="character" w:customStyle="1" w:styleId="Document7">
    <w:name w:val="Document 7"/>
    <w:basedOn w:val="Domylnaczcionkaakapitu"/>
  </w:style>
  <w:style w:type="character" w:customStyle="1" w:styleId="Bibliogrphy">
    <w:name w:val="Bibliogrphy"/>
    <w:basedOn w:val="Domylnaczcionkaakapitu"/>
  </w:style>
  <w:style w:type="paragraph" w:customStyle="1" w:styleId="RightPar1">
    <w:name w:val="Right Par 1"/>
    <w:pPr>
      <w:tabs>
        <w:tab w:val="left" w:pos="-720"/>
        <w:tab w:val="left" w:pos="0"/>
        <w:tab w:val="decimal" w:pos="720"/>
      </w:tabs>
      <w:suppressAutoHyphens/>
      <w:ind w:left="720" w:hanging="432"/>
    </w:pPr>
    <w:rPr>
      <w:rFonts w:ascii="CG Times" w:hAnsi="CG Times"/>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rFonts w:ascii="CG Times" w:hAnsi="CG Times"/>
      <w:sz w:val="24"/>
      <w:lang w:val="en-US"/>
    </w:rPr>
  </w:style>
  <w:style w:type="character" w:customStyle="1" w:styleId="Document3">
    <w:name w:val="Document 3"/>
    <w:rPr>
      <w:rFonts w:ascii="CG Times" w:hAnsi="CG Times"/>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G Times" w:hAnsi="CG Times"/>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ascii="CG Times" w:hAnsi="CG Times"/>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ascii="CG Times" w:hAnsi="CG Times"/>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ascii="CG Times" w:hAnsi="CG Times"/>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G Times" w:hAnsi="CG Times"/>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G Times" w:hAnsi="CG Times"/>
      <w:sz w:val="24"/>
      <w:lang w:val="en-US"/>
    </w:rPr>
  </w:style>
  <w:style w:type="paragraph" w:customStyle="1" w:styleId="Document1">
    <w:name w:val="Document 1"/>
    <w:pPr>
      <w:keepNext/>
      <w:keepLines/>
      <w:tabs>
        <w:tab w:val="left" w:pos="-720"/>
      </w:tabs>
      <w:suppressAutoHyphens/>
    </w:pPr>
    <w:rPr>
      <w:rFonts w:ascii="CG Times" w:hAnsi="CG Times"/>
      <w:sz w:val="24"/>
      <w:lang w:val="en-US"/>
    </w:rPr>
  </w:style>
  <w:style w:type="character" w:customStyle="1" w:styleId="DocInit">
    <w:name w:val="Doc Init"/>
    <w:basedOn w:val="Domylnaczcionkaakapitu"/>
  </w:style>
  <w:style w:type="character" w:customStyle="1" w:styleId="TechInit">
    <w:name w:val="Tech Init"/>
    <w:rPr>
      <w:rFonts w:ascii="CG Times" w:hAnsi="CG Times"/>
      <w:noProof w:val="0"/>
      <w:sz w:val="24"/>
      <w:lang w:val="en-US"/>
    </w:rPr>
  </w:style>
  <w:style w:type="paragraph" w:customStyle="1" w:styleId="Technical5">
    <w:name w:val="Technical 5"/>
    <w:pPr>
      <w:tabs>
        <w:tab w:val="left" w:pos="-720"/>
      </w:tabs>
      <w:suppressAutoHyphens/>
      <w:ind w:firstLine="720"/>
    </w:pPr>
    <w:rPr>
      <w:rFonts w:ascii="CG Times" w:hAnsi="CG Times"/>
      <w:b/>
      <w:sz w:val="24"/>
      <w:lang w:val="en-US"/>
    </w:rPr>
  </w:style>
  <w:style w:type="paragraph" w:customStyle="1" w:styleId="Technical6">
    <w:name w:val="Technical 6"/>
    <w:pPr>
      <w:tabs>
        <w:tab w:val="left" w:pos="-720"/>
      </w:tabs>
      <w:suppressAutoHyphens/>
      <w:ind w:firstLine="720"/>
    </w:pPr>
    <w:rPr>
      <w:rFonts w:ascii="CG Times" w:hAnsi="CG Times"/>
      <w:b/>
      <w:sz w:val="24"/>
      <w:lang w:val="en-US"/>
    </w:rPr>
  </w:style>
  <w:style w:type="character" w:customStyle="1" w:styleId="Technical2">
    <w:name w:val="Technical 2"/>
    <w:rPr>
      <w:rFonts w:ascii="CG Times" w:hAnsi="CG Times"/>
      <w:noProof w:val="0"/>
      <w:sz w:val="24"/>
      <w:lang w:val="en-US"/>
    </w:rPr>
  </w:style>
  <w:style w:type="character" w:customStyle="1" w:styleId="Technical3">
    <w:name w:val="Technical 3"/>
    <w:rPr>
      <w:rFonts w:ascii="CG Times" w:hAnsi="CG Times"/>
      <w:noProof w:val="0"/>
      <w:sz w:val="24"/>
      <w:lang w:val="en-US"/>
    </w:rPr>
  </w:style>
  <w:style w:type="paragraph" w:customStyle="1" w:styleId="Technical4">
    <w:name w:val="Technical 4"/>
    <w:pPr>
      <w:tabs>
        <w:tab w:val="left" w:pos="-720"/>
      </w:tabs>
      <w:suppressAutoHyphens/>
    </w:pPr>
    <w:rPr>
      <w:rFonts w:ascii="CG Times" w:hAnsi="CG Times"/>
      <w:b/>
      <w:sz w:val="24"/>
      <w:lang w:val="en-US"/>
    </w:rPr>
  </w:style>
  <w:style w:type="character" w:customStyle="1" w:styleId="Technical1">
    <w:name w:val="Technical 1"/>
    <w:rPr>
      <w:rFonts w:ascii="CG Times" w:hAnsi="CG Times"/>
      <w:noProof w:val="0"/>
      <w:sz w:val="24"/>
      <w:lang w:val="en-US"/>
    </w:rPr>
  </w:style>
  <w:style w:type="paragraph" w:customStyle="1" w:styleId="Technical7">
    <w:name w:val="Technical 7"/>
    <w:pPr>
      <w:tabs>
        <w:tab w:val="left" w:pos="-720"/>
      </w:tabs>
      <w:suppressAutoHyphens/>
      <w:ind w:firstLine="720"/>
    </w:pPr>
    <w:rPr>
      <w:rFonts w:ascii="CG Times" w:hAnsi="CG Times"/>
      <w:b/>
      <w:sz w:val="24"/>
      <w:lang w:val="en-US"/>
    </w:rPr>
  </w:style>
  <w:style w:type="paragraph" w:customStyle="1" w:styleId="Technical8">
    <w:name w:val="Technical 8"/>
    <w:pPr>
      <w:tabs>
        <w:tab w:val="left" w:pos="-720"/>
      </w:tabs>
      <w:suppressAutoHyphens/>
      <w:ind w:firstLine="720"/>
    </w:pPr>
    <w:rPr>
      <w:rFonts w:ascii="CG Times" w:hAnsi="CG Times"/>
      <w:b/>
      <w:sz w:val="24"/>
      <w:lang w:val="en-US"/>
    </w:rPr>
  </w:style>
  <w:style w:type="paragraph" w:customStyle="1" w:styleId="Pleading">
    <w:name w:val="Pleading"/>
    <w:pPr>
      <w:tabs>
        <w:tab w:val="left" w:pos="-720"/>
      </w:tabs>
      <w:suppressAutoHyphens/>
      <w:spacing w:line="240" w:lineRule="exact"/>
    </w:pPr>
    <w:rPr>
      <w:rFonts w:ascii="CG Times" w:hAnsi="CG Times"/>
      <w:sz w:val="24"/>
      <w:lang w:val="en-US"/>
    </w:rPr>
  </w:style>
  <w:style w:type="character" w:customStyle="1" w:styleId="Nagwek21">
    <w:name w:val="Nagłówek 21"/>
    <w:rPr>
      <w:sz w:val="29"/>
      <w:u w:val="single"/>
    </w:rPr>
  </w:style>
  <w:style w:type="character" w:customStyle="1" w:styleId="Nagwek11">
    <w:name w:val="Nagłówek 11"/>
    <w:rPr>
      <w:b/>
      <w:sz w:val="36"/>
    </w:rPr>
  </w:style>
  <w:style w:type="character" w:customStyle="1" w:styleId="BulletList">
    <w:name w:val="Bullet List"/>
    <w:basedOn w:val="Domylnaczcionkaakapitu"/>
  </w:style>
  <w:style w:type="character" w:customStyle="1" w:styleId="reference">
    <w:name w:val="reference"/>
    <w:rPr>
      <w:rFonts w:ascii="CG Times" w:hAnsi="CG Times"/>
      <w:noProof w:val="0"/>
      <w:sz w:val="24"/>
      <w:lang w:val="en-US"/>
    </w:rPr>
  </w:style>
  <w:style w:type="character" w:customStyle="1" w:styleId="footnote">
    <w:name w:val="footnote"/>
    <w:rPr>
      <w:rFonts w:ascii="CG Times" w:hAnsi="CG Times"/>
      <w:b/>
      <w:noProof w:val="0"/>
      <w:sz w:val="19"/>
      <w:vertAlign w:val="superscript"/>
      <w:lang w:val="en-US"/>
    </w:rPr>
  </w:style>
  <w:style w:type="character" w:customStyle="1" w:styleId="insertion">
    <w:name w:val="insertion"/>
    <w:rPr>
      <w:rFonts w:ascii="CG Times" w:hAnsi="CG Times"/>
      <w:noProof w:val="0"/>
      <w:sz w:val="24"/>
      <w:lang w:val="en-US"/>
    </w:rPr>
  </w:style>
  <w:style w:type="character" w:customStyle="1" w:styleId="vlpgno">
    <w:name w:val="vl.pg.no."/>
    <w:rPr>
      <w:rFonts w:ascii="CG Times" w:hAnsi="CG Times"/>
      <w:b/>
      <w:noProof w:val="0"/>
      <w:sz w:val="36"/>
      <w:lang w:val="en-US"/>
    </w:rPr>
  </w:style>
  <w:style w:type="paragraph" w:styleId="Spistreci1">
    <w:name w:val="toc 1"/>
    <w:basedOn w:val="Normalny"/>
    <w:next w:val="Normalny"/>
    <w:semiHidden/>
    <w:pPr>
      <w:tabs>
        <w:tab w:val="left" w:leader="dot" w:pos="9000"/>
        <w:tab w:val="right" w:pos="9360"/>
      </w:tabs>
      <w:suppressAutoHyphens/>
      <w:spacing w:before="480"/>
      <w:ind w:left="720" w:right="720" w:hanging="720"/>
    </w:pPr>
    <w:rPr>
      <w:lang w:val="en-US"/>
    </w:rPr>
  </w:style>
  <w:style w:type="paragraph" w:styleId="Spistreci2">
    <w:name w:val="toc 2"/>
    <w:basedOn w:val="Normalny"/>
    <w:next w:val="Normalny"/>
    <w:semiHidden/>
    <w:pPr>
      <w:tabs>
        <w:tab w:val="left" w:leader="dot" w:pos="9000"/>
        <w:tab w:val="right" w:pos="9360"/>
      </w:tabs>
      <w:suppressAutoHyphens/>
      <w:ind w:left="1440" w:right="720" w:hanging="720"/>
    </w:pPr>
    <w:rPr>
      <w:lang w:val="en-US"/>
    </w:rPr>
  </w:style>
  <w:style w:type="paragraph" w:styleId="Spistreci3">
    <w:name w:val="toc 3"/>
    <w:basedOn w:val="Normalny"/>
    <w:next w:val="Normalny"/>
    <w:semiHidden/>
    <w:pPr>
      <w:tabs>
        <w:tab w:val="left" w:leader="dot" w:pos="9000"/>
        <w:tab w:val="right" w:pos="9360"/>
      </w:tabs>
      <w:suppressAutoHyphens/>
      <w:ind w:left="2160" w:right="720" w:hanging="720"/>
    </w:pPr>
    <w:rPr>
      <w:lang w:val="en-US"/>
    </w:rPr>
  </w:style>
  <w:style w:type="paragraph" w:styleId="Spistreci4">
    <w:name w:val="toc 4"/>
    <w:basedOn w:val="Normalny"/>
    <w:next w:val="Normalny"/>
    <w:semiHidden/>
    <w:pPr>
      <w:tabs>
        <w:tab w:val="left" w:leader="dot" w:pos="9000"/>
        <w:tab w:val="right" w:pos="9360"/>
      </w:tabs>
      <w:suppressAutoHyphens/>
      <w:ind w:left="2880" w:right="720" w:hanging="720"/>
    </w:pPr>
    <w:rPr>
      <w:lang w:val="en-US"/>
    </w:rPr>
  </w:style>
  <w:style w:type="paragraph" w:styleId="Spistreci5">
    <w:name w:val="toc 5"/>
    <w:basedOn w:val="Normalny"/>
    <w:next w:val="Normalny"/>
    <w:semiHidden/>
    <w:pPr>
      <w:tabs>
        <w:tab w:val="left" w:leader="dot" w:pos="9000"/>
        <w:tab w:val="right" w:pos="9360"/>
      </w:tabs>
      <w:suppressAutoHyphens/>
      <w:ind w:left="3600" w:right="720" w:hanging="720"/>
    </w:pPr>
    <w:rPr>
      <w:lang w:val="en-US"/>
    </w:rPr>
  </w:style>
  <w:style w:type="paragraph" w:styleId="Spistreci6">
    <w:name w:val="toc 6"/>
    <w:basedOn w:val="Normalny"/>
    <w:next w:val="Normalny"/>
    <w:semiHidden/>
    <w:pPr>
      <w:tabs>
        <w:tab w:val="left" w:pos="9000"/>
        <w:tab w:val="right" w:pos="9360"/>
      </w:tabs>
      <w:suppressAutoHyphens/>
      <w:ind w:left="720" w:hanging="720"/>
    </w:pPr>
    <w:rPr>
      <w:lang w:val="en-US"/>
    </w:rPr>
  </w:style>
  <w:style w:type="paragraph" w:styleId="Spistreci7">
    <w:name w:val="toc 7"/>
    <w:basedOn w:val="Normalny"/>
    <w:next w:val="Normalny"/>
    <w:semiHidden/>
    <w:pPr>
      <w:suppressAutoHyphens/>
      <w:ind w:left="720" w:hanging="720"/>
    </w:pPr>
    <w:rPr>
      <w:lang w:val="en-US"/>
    </w:rPr>
  </w:style>
  <w:style w:type="paragraph" w:styleId="Spistreci8">
    <w:name w:val="toc 8"/>
    <w:basedOn w:val="Normalny"/>
    <w:next w:val="Normalny"/>
    <w:semiHidden/>
    <w:pPr>
      <w:tabs>
        <w:tab w:val="left" w:pos="9000"/>
        <w:tab w:val="right" w:pos="9360"/>
      </w:tabs>
      <w:suppressAutoHyphens/>
      <w:ind w:left="720" w:hanging="720"/>
    </w:pPr>
    <w:rPr>
      <w:lang w:val="en-US"/>
    </w:rPr>
  </w:style>
  <w:style w:type="paragraph" w:styleId="Spistreci9">
    <w:name w:val="toc 9"/>
    <w:basedOn w:val="Normalny"/>
    <w:next w:val="Normalny"/>
    <w:semiHidden/>
    <w:pPr>
      <w:tabs>
        <w:tab w:val="left" w:leader="dot" w:pos="9000"/>
        <w:tab w:val="right" w:pos="9360"/>
      </w:tabs>
      <w:suppressAutoHyphens/>
      <w:ind w:left="720" w:hanging="720"/>
    </w:pPr>
    <w:rPr>
      <w:lang w:val="en-US"/>
    </w:rPr>
  </w:style>
  <w:style w:type="paragraph" w:styleId="Indeks1">
    <w:name w:val="index 1"/>
    <w:basedOn w:val="Normalny"/>
    <w:next w:val="Normalny"/>
    <w:semiHidden/>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pPr>
      <w:tabs>
        <w:tab w:val="left" w:leader="dot" w:pos="9000"/>
        <w:tab w:val="right" w:pos="9360"/>
      </w:tabs>
      <w:suppressAutoHyphens/>
      <w:ind w:left="1440" w:right="720" w:hanging="720"/>
    </w:pPr>
    <w:rPr>
      <w:lang w:val="en-US"/>
    </w:rPr>
  </w:style>
  <w:style w:type="paragraph" w:customStyle="1" w:styleId="NA">
    <w:name w:val="N/A"/>
    <w:basedOn w:val="Normalny"/>
    <w:pPr>
      <w:tabs>
        <w:tab w:val="left" w:pos="9000"/>
        <w:tab w:val="right" w:pos="9360"/>
      </w:tabs>
      <w:suppressAutoHyphens/>
    </w:pPr>
    <w:rPr>
      <w:lang w:val="en-US"/>
    </w:rPr>
  </w:style>
  <w:style w:type="paragraph" w:styleId="Legenda">
    <w:name w:val="caption"/>
    <w:basedOn w:val="Normalny"/>
    <w:next w:val="Normalny"/>
    <w:qFormat/>
  </w:style>
  <w:style w:type="character" w:customStyle="1" w:styleId="EquationCaption">
    <w:name w:val="_Equation Caption"/>
  </w:style>
  <w:style w:type="paragraph" w:styleId="Nagwek">
    <w:name w:val="header"/>
    <w:basedOn w:val="Normalny"/>
    <w:pPr>
      <w:tabs>
        <w:tab w:val="center" w:pos="4703"/>
        <w:tab w:val="right" w:pos="9406"/>
      </w:tabs>
    </w:pPr>
  </w:style>
  <w:style w:type="paragraph" w:styleId="Stopka">
    <w:name w:val="footer"/>
    <w:basedOn w:val="Normalny"/>
    <w:link w:val="StopkaZnak"/>
    <w:uiPriority w:val="99"/>
    <w:pPr>
      <w:tabs>
        <w:tab w:val="center" w:pos="4703"/>
        <w:tab w:val="right" w:pos="9406"/>
      </w:tabs>
    </w:pPr>
  </w:style>
  <w:style w:type="character" w:styleId="Numerstrony">
    <w:name w:val="page number"/>
    <w:basedOn w:val="Domylnaczcionkaakapitu"/>
  </w:style>
  <w:style w:type="character" w:styleId="Odwoaniedokomentarza">
    <w:name w:val="annotation reference"/>
    <w:semiHidden/>
    <w:rPr>
      <w:sz w:val="16"/>
    </w:rPr>
  </w:style>
  <w:style w:type="paragraph" w:styleId="Tekstkomentarza">
    <w:name w:val="annotation text"/>
    <w:basedOn w:val="Normalny"/>
    <w:semiHidden/>
    <w:rPr>
      <w:sz w:val="20"/>
    </w:rPr>
  </w:style>
  <w:style w:type="paragraph" w:styleId="Tekstpodstawowywcity">
    <w:name w:val="Body Text Indent"/>
    <w:basedOn w:val="Normalny"/>
    <w:pPr>
      <w:suppressAutoHyphens/>
      <w:ind w:left="426"/>
      <w:jc w:val="both"/>
    </w:pPr>
    <w:rPr>
      <w:rFonts w:ascii="Times New Roman" w:hAnsi="Times New Roman"/>
      <w:spacing w:val="-3"/>
    </w:rPr>
  </w:style>
  <w:style w:type="paragraph" w:styleId="Tekstpodstawowywcity2">
    <w:name w:val="Body Text Indent 2"/>
    <w:basedOn w:val="Normalny"/>
    <w:pPr>
      <w:widowControl w:val="0"/>
      <w:ind w:firstLine="709"/>
      <w:jc w:val="both"/>
    </w:pPr>
    <w:rPr>
      <w:rFonts w:ascii="Times New Roman" w:hAnsi="Times New Roman"/>
      <w:snapToGrid w:val="0"/>
    </w:rPr>
  </w:style>
  <w:style w:type="paragraph" w:customStyle="1" w:styleId="BodyText21">
    <w:name w:val="Body Text 21"/>
    <w:basedOn w:val="Normalny"/>
    <w:pPr>
      <w:widowControl w:val="0"/>
      <w:jc w:val="both"/>
    </w:pPr>
    <w:rPr>
      <w:rFonts w:ascii="Times New Roman" w:hAnsi="Times New Roman"/>
      <w:snapToGrid w:val="0"/>
    </w:rPr>
  </w:style>
  <w:style w:type="paragraph" w:styleId="Tekstpodstawowywcity3">
    <w:name w:val="Body Text Indent 3"/>
    <w:basedOn w:val="Normalny"/>
    <w:pPr>
      <w:suppressAutoHyphens/>
      <w:ind w:left="851"/>
      <w:jc w:val="both"/>
    </w:pPr>
    <w:rPr>
      <w:rFonts w:ascii="Times New Roman" w:hAnsi="Times New Roman"/>
      <w:spacing w:val="-3"/>
    </w:rPr>
  </w:style>
  <w:style w:type="paragraph" w:styleId="Tekstpodstawowy">
    <w:name w:val="Body Text"/>
    <w:basedOn w:val="Normalny"/>
    <w:rPr>
      <w:rFonts w:ascii="Times New Roman" w:hAnsi="Times New Roman"/>
      <w:sz w:val="20"/>
    </w:rPr>
  </w:style>
  <w:style w:type="paragraph" w:styleId="Tekstpodstawowy2">
    <w:name w:val="Body Text 2"/>
    <w:basedOn w:val="Normalny"/>
    <w:pPr>
      <w:suppressAutoHyphens/>
      <w:jc w:val="both"/>
    </w:pPr>
    <w:rPr>
      <w:rFonts w:ascii="Times New Roman" w:hAnsi="Times New Roman"/>
      <w:spacing w:val="-3"/>
      <w:sz w:val="20"/>
    </w:rPr>
  </w:style>
  <w:style w:type="paragraph" w:styleId="Tekstpodstawowy3">
    <w:name w:val="Body Text 3"/>
    <w:basedOn w:val="Normalny"/>
    <w:pPr>
      <w:suppressAutoHyphens/>
      <w:jc w:val="both"/>
    </w:pPr>
    <w:rPr>
      <w:rFonts w:ascii="Times New Roman" w:hAnsi="Times New Roman"/>
      <w:color w:val="FF0000"/>
      <w:spacing w:val="-3"/>
      <w:sz w:val="20"/>
    </w:rPr>
  </w:style>
  <w:style w:type="paragraph" w:customStyle="1" w:styleId="tekstost">
    <w:name w:val="tekst ost"/>
    <w:basedOn w:val="Normalny"/>
    <w:pPr>
      <w:overflowPunct w:val="0"/>
      <w:autoSpaceDE w:val="0"/>
      <w:autoSpaceDN w:val="0"/>
      <w:adjustRightInd w:val="0"/>
      <w:jc w:val="both"/>
      <w:textAlignment w:val="baseline"/>
    </w:pPr>
    <w:rPr>
      <w:rFonts w:ascii="Times New Roman" w:hAnsi="Times New Roman"/>
      <w:sz w:val="20"/>
    </w:rPr>
  </w:style>
  <w:style w:type="paragraph" w:styleId="Tekstblokowy">
    <w:name w:val="Block Text"/>
    <w:basedOn w:val="Normalny"/>
    <w:pPr>
      <w:numPr>
        <w:ilvl w:val="12"/>
      </w:numPr>
      <w:spacing w:before="120"/>
      <w:ind w:left="284" w:right="-11" w:hanging="284"/>
    </w:pPr>
    <w:rPr>
      <w:rFonts w:ascii="Times New Roman" w:hAnsi="Times New Roman"/>
      <w:sz w:val="20"/>
    </w:rPr>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character" w:customStyle="1" w:styleId="biggertext">
    <w:name w:val="biggertext"/>
    <w:basedOn w:val="Domylnaczcionkaakapitu"/>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Pr>
      <w:sz w:val="20"/>
    </w:rPr>
  </w:style>
  <w:style w:type="character" w:customStyle="1" w:styleId="TekstprzypisukocowegoZnak">
    <w:name w:val="Tekst przypisu końcowego Znak"/>
    <w:link w:val="Tekstprzypisukocowego"/>
    <w:rPr>
      <w:rFonts w:ascii="CG Times" w:hAnsi="CG Times"/>
    </w:rPr>
  </w:style>
  <w:style w:type="character" w:styleId="Odwoanieprzypisukocowego">
    <w:name w:val="endnote reference"/>
    <w:rPr>
      <w:vertAlign w:val="superscript"/>
    </w:rPr>
  </w:style>
  <w:style w:type="paragraph" w:customStyle="1" w:styleId="AAAAA">
    <w:name w:val="AAAAA"/>
    <w:pPr>
      <w:overflowPunct w:val="0"/>
      <w:autoSpaceDE w:val="0"/>
      <w:autoSpaceDN w:val="0"/>
      <w:adjustRightInd w:val="0"/>
      <w:jc w:val="both"/>
      <w:textAlignment w:val="baseline"/>
    </w:pPr>
  </w:style>
  <w:style w:type="paragraph" w:customStyle="1" w:styleId="Standardowytekst">
    <w:name w:val="Standardowy.tekst"/>
    <w:pPr>
      <w:overflowPunct w:val="0"/>
      <w:autoSpaceDE w:val="0"/>
      <w:autoSpaceDN w:val="0"/>
      <w:adjustRightInd w:val="0"/>
      <w:jc w:val="both"/>
      <w:textAlignment w:val="baseline"/>
    </w:pPr>
  </w:style>
  <w:style w:type="paragraph" w:styleId="Akapitzlist">
    <w:name w:val="List Paragraph"/>
    <w:basedOn w:val="Normalny"/>
    <w:uiPriority w:val="34"/>
    <w:qFormat/>
    <w:rsid w:val="008409AA"/>
    <w:pPr>
      <w:ind w:left="720"/>
      <w:contextualSpacing/>
    </w:pPr>
  </w:style>
  <w:style w:type="character" w:customStyle="1" w:styleId="StopkaZnak">
    <w:name w:val="Stopka Znak"/>
    <w:basedOn w:val="Domylnaczcionkaakapitu"/>
    <w:link w:val="Stopka"/>
    <w:uiPriority w:val="99"/>
    <w:rsid w:val="00394DA5"/>
    <w:rPr>
      <w:rFonts w:ascii="CG Times" w:hAnsi="CG 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9848">
      <w:bodyDiv w:val="1"/>
      <w:marLeft w:val="0"/>
      <w:marRight w:val="0"/>
      <w:marTop w:val="0"/>
      <w:marBottom w:val="0"/>
      <w:divBdr>
        <w:top w:val="none" w:sz="0" w:space="0" w:color="auto"/>
        <w:left w:val="none" w:sz="0" w:space="0" w:color="auto"/>
        <w:bottom w:val="none" w:sz="0" w:space="0" w:color="auto"/>
        <w:right w:val="none" w:sz="0" w:space="0" w:color="auto"/>
      </w:divBdr>
    </w:div>
    <w:div w:id="186721736">
      <w:bodyDiv w:val="1"/>
      <w:marLeft w:val="0"/>
      <w:marRight w:val="0"/>
      <w:marTop w:val="0"/>
      <w:marBottom w:val="0"/>
      <w:divBdr>
        <w:top w:val="none" w:sz="0" w:space="0" w:color="auto"/>
        <w:left w:val="none" w:sz="0" w:space="0" w:color="auto"/>
        <w:bottom w:val="none" w:sz="0" w:space="0" w:color="auto"/>
        <w:right w:val="none" w:sz="0" w:space="0" w:color="auto"/>
      </w:divBdr>
    </w:div>
    <w:div w:id="924417628">
      <w:bodyDiv w:val="1"/>
      <w:marLeft w:val="0"/>
      <w:marRight w:val="0"/>
      <w:marTop w:val="0"/>
      <w:marBottom w:val="0"/>
      <w:divBdr>
        <w:top w:val="none" w:sz="0" w:space="0" w:color="auto"/>
        <w:left w:val="none" w:sz="0" w:space="0" w:color="auto"/>
        <w:bottom w:val="none" w:sz="0" w:space="0" w:color="auto"/>
        <w:right w:val="none" w:sz="0" w:space="0" w:color="auto"/>
      </w:divBdr>
    </w:div>
    <w:div w:id="184891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D0844-870A-4A68-94F0-45CCB3B1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2422</Words>
  <Characters>14536</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D</vt:lpstr>
    </vt:vector>
  </TitlesOfParts>
  <Company>Profil</Company>
  <LinksUpToDate>false</LinksUpToDate>
  <CharactersWithSpaces>16925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WT-LD Kraków</dc:creator>
  <cp:lastModifiedBy>User</cp:lastModifiedBy>
  <cp:revision>47</cp:revision>
  <cp:lastPrinted>2019-02-22T10:36:00Z</cp:lastPrinted>
  <dcterms:created xsi:type="dcterms:W3CDTF">2015-03-10T19:15:00Z</dcterms:created>
  <dcterms:modified xsi:type="dcterms:W3CDTF">2019-02-22T10:36:00Z</dcterms:modified>
</cp:coreProperties>
</file>