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A73" w:rsidRPr="005B7745" w:rsidRDefault="005B7745" w:rsidP="005B7745">
      <w:pPr>
        <w:spacing w:after="0"/>
        <w:rPr>
          <w:rFonts w:eastAsia="Calibri" w:cs="Times New Roman"/>
          <w:b/>
          <w:szCs w:val="20"/>
          <w:u w:val="single"/>
          <w:lang w:eastAsia="en-US"/>
        </w:rPr>
      </w:pPr>
      <w:r w:rsidRPr="005B7745">
        <w:rPr>
          <w:rFonts w:cs="Times New Roman"/>
          <w:b/>
          <w:szCs w:val="20"/>
        </w:rPr>
        <w:t>M.30.01.05</w:t>
      </w:r>
      <w:r w:rsidRPr="005B7745">
        <w:rPr>
          <w:rFonts w:cs="Times New Roman"/>
          <w:b/>
          <w:szCs w:val="20"/>
        </w:rPr>
        <w:tab/>
      </w:r>
      <w:r w:rsidRPr="00566CB9">
        <w:rPr>
          <w:rFonts w:cs="Times New Roman"/>
          <w:b/>
          <w:szCs w:val="20"/>
        </w:rPr>
        <w:t>NAWIERZCHNIA JEZDNI MOSTOWEJ Z ASFALTU LANEGO</w:t>
      </w:r>
    </w:p>
    <w:p w:rsidR="005C2A73" w:rsidRPr="005B7745" w:rsidRDefault="005C2A73" w:rsidP="005B7745">
      <w:pPr>
        <w:spacing w:after="0"/>
        <w:rPr>
          <w:rFonts w:cs="Times New Roman"/>
          <w:b/>
          <w:szCs w:val="20"/>
        </w:rPr>
      </w:pP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1.</w:t>
      </w:r>
      <w:r w:rsidR="009F59A6" w:rsidRPr="005B7745">
        <w:rPr>
          <w:rFonts w:cs="Times New Roman"/>
          <w:b/>
          <w:szCs w:val="20"/>
        </w:rPr>
        <w:t xml:space="preserve">  WSTĘP</w:t>
      </w:r>
    </w:p>
    <w:p w:rsidR="00CE1AB0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Przedmiotem niniejszych </w:t>
      </w:r>
      <w:r w:rsidR="00566CB9">
        <w:rPr>
          <w:rFonts w:cs="Times New Roman"/>
          <w:szCs w:val="20"/>
        </w:rPr>
        <w:t>SST</w:t>
      </w:r>
      <w:r w:rsidRPr="005B7745">
        <w:rPr>
          <w:rFonts w:cs="Times New Roman"/>
          <w:szCs w:val="20"/>
        </w:rPr>
        <w:t xml:space="preserve"> są wymagania dla robót dotyczących wykonania warstwy wiążącej z asfaltu lanego dla KR1-KR4 i ≥KR5</w:t>
      </w:r>
      <w:r w:rsidR="00566CB9">
        <w:rPr>
          <w:rFonts w:cs="Times New Roman"/>
          <w:szCs w:val="20"/>
        </w:rPr>
        <w:t xml:space="preserve"> </w:t>
      </w: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2. </w:t>
      </w:r>
      <w:r w:rsidR="009F59A6" w:rsidRPr="005B7745">
        <w:rPr>
          <w:rFonts w:cs="Times New Roman"/>
          <w:b/>
          <w:szCs w:val="20"/>
        </w:rPr>
        <w:t>MATERIAŁY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Ogólne wymagania dotyczące materiałów, ich pozyskiwania i składowania podano w DM.00.00.00. "Wymagania ogólne". Poszczególne rodzaje materiałów powinny pochodzić ze źródeł zatwierdzonych przez Inżyniera. W przypadku zmiany pochodzenia materiału należy, po wykonaniu odpowiednich badań, opracować skorygowany skład mieszanki mineralno-asfaltowej.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2.1. Rodzaje materiałów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Rodzaje materiałów stosowanych do asfaltu lanego podano w tablicy 1.</w:t>
      </w:r>
    </w:p>
    <w:p w:rsidR="005C2A73" w:rsidRPr="005B7745" w:rsidRDefault="005C2A73" w:rsidP="005B7745">
      <w:pPr>
        <w:spacing w:after="0"/>
        <w:rPr>
          <w:rFonts w:cs="Times New Roman"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Tablica 1. Rodzaje materiałów do asfaltu lanego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525"/>
        <w:gridCol w:w="3047"/>
        <w:gridCol w:w="5359"/>
      </w:tblGrid>
      <w:tr w:rsidR="005C2A73" w:rsidRPr="005B7745">
        <w:tc>
          <w:tcPr>
            <w:tcW w:w="525" w:type="dxa"/>
            <w:vMerge w:val="restart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Lp.</w:t>
            </w:r>
          </w:p>
          <w:p w:rsidR="005C2A73" w:rsidRPr="005B7745" w:rsidRDefault="005C2A73" w:rsidP="005B7745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3047" w:type="dxa"/>
            <w:vMerge w:val="restart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Rodzaj materiału</w:t>
            </w:r>
          </w:p>
          <w:p w:rsidR="005C2A73" w:rsidRPr="005B7745" w:rsidRDefault="005C2A73" w:rsidP="005B7745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Wymagania wg / dokument odniesienia</w:t>
            </w:r>
          </w:p>
        </w:tc>
      </w:tr>
      <w:tr w:rsidR="005C2A73" w:rsidRPr="005B7745">
        <w:trPr>
          <w:trHeight w:val="62"/>
        </w:trPr>
        <w:tc>
          <w:tcPr>
            <w:tcW w:w="525" w:type="dxa"/>
            <w:vMerge/>
          </w:tcPr>
          <w:p w:rsidR="005C2A73" w:rsidRPr="005B7745" w:rsidRDefault="005C2A73" w:rsidP="005B7745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3047" w:type="dxa"/>
            <w:vMerge/>
          </w:tcPr>
          <w:p w:rsidR="005C2A73" w:rsidRPr="005B7745" w:rsidRDefault="005C2A73" w:rsidP="005B7745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Uzależnione od kategorii ruchu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1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Kruszywo grube 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WT-1 Kruszywa 2014, tablica 19,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2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Kruszywo drobne lub o ciągłym uziarnieniu D≤8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WT-1 Kruszywa 2014, tablica 20 i 21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3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Wypełniacz 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WT-1 Kruszywa 2014, tablica 22,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4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Dodatki obniżające temperaturę MMA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PN-EN 13108-6 pkt. 4.1. 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5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Lepiszcze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  <w:lang w:val="fr-LU"/>
              </w:rPr>
            </w:pPr>
            <w:r w:rsidRPr="005B7745">
              <w:rPr>
                <w:rFonts w:cs="Times New Roman"/>
                <w:szCs w:val="20"/>
                <w:lang w:val="fr-LU"/>
              </w:rPr>
              <w:t>PMB 25/55-60</w:t>
            </w:r>
          </w:p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  <w:lang w:val="fr-LU"/>
              </w:rPr>
            </w:pPr>
            <w:r w:rsidRPr="005B7745">
              <w:rPr>
                <w:rFonts w:cs="Times New Roman"/>
                <w:szCs w:val="20"/>
                <w:lang w:val="fr-LU"/>
              </w:rPr>
              <w:t xml:space="preserve">PN-EN 14023,  </w:t>
            </w:r>
          </w:p>
        </w:tc>
      </w:tr>
      <w:tr w:rsidR="005C2A73" w:rsidRPr="005B7745">
        <w:tc>
          <w:tcPr>
            <w:tcW w:w="52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6</w:t>
            </w:r>
          </w:p>
        </w:tc>
        <w:tc>
          <w:tcPr>
            <w:tcW w:w="304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Mieszanka mineralno-asfaltowa</w:t>
            </w:r>
          </w:p>
        </w:tc>
        <w:tc>
          <w:tcPr>
            <w:tcW w:w="535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WT-2 2014 pkt. 8.2.6 tab. 31 i 32</w:t>
            </w:r>
          </w:p>
        </w:tc>
      </w:tr>
      <w:tr w:rsidR="005C2A73" w:rsidRPr="005B7745">
        <w:tc>
          <w:tcPr>
            <w:tcW w:w="8931" w:type="dxa"/>
            <w:gridSpan w:val="3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Jeżeli stosowana jest mieszanka kruszywa drobnego niełamanego i łamanego, to należy przyjąć proporcję kruszywa łamanego do niełamanego co najmniej 50/50.</w:t>
            </w:r>
          </w:p>
          <w:p w:rsidR="005C2A73" w:rsidRPr="005B7745" w:rsidRDefault="005C2A73" w:rsidP="005B7745">
            <w:pPr>
              <w:spacing w:before="0" w:after="0"/>
              <w:rPr>
                <w:rFonts w:cs="Times New Roman"/>
                <w:szCs w:val="20"/>
              </w:rPr>
            </w:pPr>
          </w:p>
        </w:tc>
      </w:tr>
    </w:tbl>
    <w:p w:rsidR="005B7745" w:rsidRPr="005B7745" w:rsidRDefault="005B7745" w:rsidP="005B7745">
      <w:pPr>
        <w:spacing w:after="0"/>
        <w:rPr>
          <w:rFonts w:cs="Times New Roman"/>
          <w:b/>
          <w:sz w:val="10"/>
          <w:szCs w:val="10"/>
        </w:rPr>
      </w:pP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2.2 </w:t>
      </w:r>
      <w:r w:rsidR="009F59A6" w:rsidRPr="005B7745">
        <w:rPr>
          <w:rFonts w:cs="Times New Roman"/>
          <w:b/>
          <w:szCs w:val="20"/>
        </w:rPr>
        <w:t>Wymagania wobec innych materiałów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2.2.1. </w:t>
      </w:r>
      <w:r w:rsidRPr="005B7745">
        <w:rPr>
          <w:rFonts w:cs="Times New Roman"/>
          <w:szCs w:val="20"/>
        </w:rPr>
        <w:t>Kruszywa do wykończenia powierzchni warstwy MA</w:t>
      </w:r>
      <w:r w:rsidRPr="005B7745">
        <w:rPr>
          <w:rFonts w:cs="Times New Roman"/>
          <w:b/>
          <w:szCs w:val="20"/>
        </w:rPr>
        <w:t xml:space="preserve"> 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Wykończenie powierzchni warstwy z asfaltu lanego powinno  być wykonane zgodnie z wymaganiami pkt 7.8.  WT-2:2016 – część II.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2.2.2. </w:t>
      </w:r>
      <w:r w:rsidRPr="005B7745">
        <w:rPr>
          <w:rFonts w:cs="Times New Roman"/>
          <w:szCs w:val="20"/>
        </w:rPr>
        <w:t>Taśma bitumiczna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Do uszczelniania połączeń działek roboczych należy stosować taśmę bitumiczną o grubości co najmniej 1,0 cm posiadającą Aprobatę Techniczną.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2.2.3. </w:t>
      </w:r>
      <w:r w:rsidRPr="005B7745">
        <w:rPr>
          <w:rFonts w:cs="Times New Roman"/>
          <w:szCs w:val="20"/>
        </w:rPr>
        <w:t>Dodatki obniżające temperaturę MMA.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Należy używać materiałów składowych o ustalonej przydatności. Ustalenie przydatności powinno wynikać z co najmniej jednego z następujących dokumentów: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Norma europejska,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Europejskiej Aprobaty Technicznej,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Specyfikacji materiałowych opartych na potwierdzonych pozytywnych zastosowaniach w nawierzchniach asfaltowych. Wykaz należy dostarczyć w celu udowodnienia przydatności. Wykaz może być oparty na dowodach połączeniu z dowodami w praktyce.  </w:t>
      </w: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2.3 </w:t>
      </w:r>
      <w:r w:rsidR="009F59A6" w:rsidRPr="005B7745">
        <w:rPr>
          <w:rFonts w:cs="Times New Roman"/>
          <w:b/>
          <w:szCs w:val="20"/>
        </w:rPr>
        <w:t>Dostawy materiałów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Za dostawy materiałów odpowiedzialny jest Wykonawca robót zgodnie z ustaleniami określonymi w DM.00.00.00 „Wymagania ogólne”.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Do obowiązku Wykonawcy należy takie zorganizowanie dostaw materiałów do wytwarzania MA, aby zapewnić nieprzerwaną pracę otaczarki w trakcie wykonywania dziennej działki roboczej. Jakość każdej dostawy kruszywa i wypełniacza musi być potwierdzona deklaracją producenta (oznakowanie CE).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2.4. Składowanie materiałów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2.4.1. </w:t>
      </w:r>
      <w:r w:rsidRPr="005B7745">
        <w:rPr>
          <w:rFonts w:cs="Times New Roman"/>
          <w:szCs w:val="20"/>
        </w:rPr>
        <w:t>Składowanie kruszywa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Składowanie kruszywa powinno odbywać się w warunkach zabezpieczających je przed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zanieczyszczeniem i zmieszaniem z innymi rodzajami lub frakcjami kruszywa.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2.4.2. </w:t>
      </w:r>
      <w:r w:rsidRPr="005B7745">
        <w:rPr>
          <w:rFonts w:cs="Times New Roman"/>
          <w:szCs w:val="20"/>
        </w:rPr>
        <w:t>Składowanie wypełniacza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Wypełniacz należy składować w silosach wyposażonych w urządzenia do aeracji.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2.4.3. </w:t>
      </w:r>
      <w:r w:rsidRPr="005B7745">
        <w:rPr>
          <w:rFonts w:cs="Times New Roman"/>
          <w:szCs w:val="20"/>
        </w:rPr>
        <w:t>Składowanie asfaltu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Lepiszcze asfaltowe należy przechowywać zgodnie z zasadami podanymi w pkt. 8.3 WT-2 Nawierzchnie Asfaltowe 2014. Maksymalne temperatury składowania asfaltów drogowych powinny być zgodne z wymaganiami podanymi w tablicy 41. Temperatury składowania asfaltów modyfikowanych powinny być zgodne z zaleceniami  producenta.</w:t>
      </w:r>
      <w:bookmarkStart w:id="0" w:name="_GoBack"/>
      <w:bookmarkEnd w:id="0"/>
    </w:p>
    <w:p w:rsidR="005B7745" w:rsidRDefault="005B7745" w:rsidP="005B7745">
      <w:pPr>
        <w:spacing w:after="0"/>
        <w:rPr>
          <w:rFonts w:cs="Times New Roman"/>
          <w:b/>
          <w:szCs w:val="20"/>
        </w:rPr>
      </w:pPr>
    </w:p>
    <w:p w:rsidR="005B7745" w:rsidRDefault="005B7745" w:rsidP="005B7745">
      <w:pPr>
        <w:spacing w:after="0"/>
        <w:rPr>
          <w:rFonts w:cs="Times New Roman"/>
          <w:b/>
          <w:szCs w:val="20"/>
        </w:rPr>
      </w:pPr>
    </w:p>
    <w:p w:rsidR="005B7745" w:rsidRDefault="005B7745" w:rsidP="005B7745">
      <w:pPr>
        <w:spacing w:after="0"/>
        <w:rPr>
          <w:rFonts w:cs="Times New Roman"/>
          <w:b/>
          <w:szCs w:val="20"/>
        </w:rPr>
      </w:pP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3. </w:t>
      </w:r>
      <w:r w:rsidR="009F59A6" w:rsidRPr="005B7745">
        <w:rPr>
          <w:rFonts w:cs="Times New Roman"/>
          <w:b/>
          <w:szCs w:val="20"/>
        </w:rPr>
        <w:t>SPRZĘT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3.1. Wytwórnia mieszanek mineralno-asfaltowych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składników, w tym środka adhezyjnego powinno odbywać się wagowo.</w:t>
      </w:r>
    </w:p>
    <w:p w:rsidR="005C2A73" w:rsidRPr="005B7745" w:rsidRDefault="005B7745" w:rsidP="005B7745">
      <w:pPr>
        <w:spacing w:after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3.2 </w:t>
      </w:r>
      <w:r w:rsidR="009F59A6" w:rsidRPr="005B7745">
        <w:rPr>
          <w:rFonts w:cs="Times New Roman"/>
          <w:b/>
          <w:szCs w:val="20"/>
        </w:rPr>
        <w:t>Układarka do asfaltu lanego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Wykonawca przystępujący do wykonania nawierzchni z asfaltu lanego powinien być wyposażony w:</w:t>
      </w:r>
    </w:p>
    <w:p w:rsidR="005C2A73" w:rsidRPr="005B7745" w:rsidRDefault="009F59A6" w:rsidP="005B7745">
      <w:pPr>
        <w:pStyle w:val="Akapitzlist"/>
        <w:numPr>
          <w:ilvl w:val="0"/>
          <w:numId w:val="38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kotły transportowe wyposażone w mieszadła i system podgrzewania z automatyczną regulacją temperatury,</w:t>
      </w:r>
    </w:p>
    <w:p w:rsidR="005C2A73" w:rsidRPr="005B7745" w:rsidRDefault="009F59A6" w:rsidP="005B7745">
      <w:pPr>
        <w:pStyle w:val="Akapitzlist"/>
        <w:numPr>
          <w:ilvl w:val="0"/>
          <w:numId w:val="38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specjalistyczne układarki do asfaltu lanego,</w:t>
      </w:r>
    </w:p>
    <w:p w:rsidR="005C2A73" w:rsidRPr="005B7745" w:rsidRDefault="009F59A6" w:rsidP="005B7745">
      <w:pPr>
        <w:pStyle w:val="Akapitzlist"/>
        <w:numPr>
          <w:ilvl w:val="0"/>
          <w:numId w:val="38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sprzęt do ręcznego wykończenia przy krawężnikach i urządzeniach instalacyjnych (taczek, żelazek, gładzików, łopat, szczotek itp.),</w:t>
      </w:r>
    </w:p>
    <w:p w:rsidR="005C2A73" w:rsidRPr="005B7745" w:rsidRDefault="009F59A6" w:rsidP="005B7745">
      <w:pPr>
        <w:pStyle w:val="Akapitzlist"/>
        <w:numPr>
          <w:ilvl w:val="0"/>
          <w:numId w:val="38"/>
        </w:numPr>
        <w:spacing w:after="0"/>
        <w:ind w:hanging="153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wytwórnia mas bitumicznych (otaczarka) o mieszaniu cyklicznym lub ciągłym z wagowym dozowaniem wszystkich składników i automatycznym sterowaniem. W Wytwórni powinien funkcjonować certyfikowany system Zakładowej Kontroli Produkcji zgodny z PN-EN 13108-21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Układarka asfaltu lanego powinna zawierać:</w:t>
      </w:r>
    </w:p>
    <w:p w:rsidR="005C2A73" w:rsidRPr="005B7745" w:rsidRDefault="009F59A6" w:rsidP="005B7745">
      <w:pPr>
        <w:pStyle w:val="Akapitzlist"/>
        <w:numPr>
          <w:ilvl w:val="0"/>
          <w:numId w:val="39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płytę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rozścielającą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masę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>,</w:t>
      </w:r>
    </w:p>
    <w:p w:rsidR="005C2A73" w:rsidRPr="005B7745" w:rsidRDefault="009F59A6" w:rsidP="005B7745">
      <w:pPr>
        <w:pStyle w:val="Akapitzlist"/>
        <w:numPr>
          <w:ilvl w:val="0"/>
          <w:numId w:val="39"/>
        </w:numPr>
        <w:spacing w:after="0"/>
        <w:ind w:hanging="153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podgrzewaną belkę wibracyjną, profilującą i zagęszczającą nawierzchnię,</w:t>
      </w:r>
    </w:p>
    <w:p w:rsidR="005C2A73" w:rsidRPr="005B7745" w:rsidRDefault="009F59A6" w:rsidP="005B7745">
      <w:pPr>
        <w:pStyle w:val="Akapitzlist"/>
        <w:numPr>
          <w:ilvl w:val="0"/>
          <w:numId w:val="39"/>
        </w:numPr>
        <w:spacing w:after="0"/>
        <w:ind w:hanging="153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zespół napędowy z systemem hydraulicznego sterowania profilu poprzecznego,</w:t>
      </w:r>
    </w:p>
    <w:p w:rsidR="005C2A73" w:rsidRPr="005B7745" w:rsidRDefault="009F59A6" w:rsidP="005B7745">
      <w:pPr>
        <w:pStyle w:val="Akapitzlist"/>
        <w:numPr>
          <w:ilvl w:val="0"/>
          <w:numId w:val="39"/>
        </w:numPr>
        <w:spacing w:after="0"/>
        <w:ind w:hanging="153"/>
        <w:rPr>
          <w:rFonts w:cs="Times New Roman"/>
          <w:color w:val="000000" w:themeColor="text1"/>
          <w:szCs w:val="20"/>
          <w:vertAlign w:val="superscript"/>
        </w:rPr>
      </w:pPr>
      <w:r w:rsidRPr="005B7745">
        <w:rPr>
          <w:rFonts w:cs="Times New Roman"/>
          <w:color w:val="000000" w:themeColor="text1"/>
          <w:szCs w:val="20"/>
        </w:rPr>
        <w:t xml:space="preserve">sprężoną z układarką </w:t>
      </w:r>
      <w:proofErr w:type="spellStart"/>
      <w:r w:rsidRPr="005B7745">
        <w:rPr>
          <w:rFonts w:cs="Times New Roman"/>
          <w:color w:val="000000" w:themeColor="text1"/>
          <w:szCs w:val="20"/>
        </w:rPr>
        <w:t>rozsypywarkę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 grysów bitumowanych. </w:t>
      </w:r>
    </w:p>
    <w:p w:rsidR="005C2A73" w:rsidRPr="005B7745" w:rsidRDefault="009F59A6" w:rsidP="005B7745">
      <w:pPr>
        <w:spacing w:after="0"/>
        <w:rPr>
          <w:rFonts w:cs="Times New Roman"/>
          <w:b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>4. TRANSPORT</w:t>
      </w:r>
    </w:p>
    <w:p w:rsidR="005C2A73" w:rsidRPr="005B7745" w:rsidRDefault="009F59A6" w:rsidP="005B7745">
      <w:pPr>
        <w:spacing w:after="0"/>
        <w:rPr>
          <w:rFonts w:cs="Times New Roman"/>
          <w:b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>4.1. Ogólne wymagania dotyczące transportu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Ogólne wymagania dotyczące transportu podano w ST D-M-00.00.00 „Wymagania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ogólne”.</w:t>
      </w:r>
    </w:p>
    <w:p w:rsidR="005C2A73" w:rsidRPr="005B7745" w:rsidRDefault="009F59A6" w:rsidP="005B7745">
      <w:pPr>
        <w:spacing w:after="0"/>
        <w:rPr>
          <w:rFonts w:cs="Times New Roman"/>
          <w:b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>4.2. Transport materiałów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 xml:space="preserve">4.2.1. </w:t>
      </w:r>
      <w:r w:rsidRPr="005B7745">
        <w:rPr>
          <w:rFonts w:cs="Times New Roman"/>
          <w:color w:val="000000" w:themeColor="text1"/>
          <w:szCs w:val="20"/>
        </w:rPr>
        <w:t>Lepiszcze asfaltowe</w:t>
      </w:r>
    </w:p>
    <w:p w:rsidR="009C3370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Lepiszcze asfaltowe należ y przechowywać w zbiorniku z pośrednim systemem ogrzewania, z układem termostatowania zapewniającym utrzymanie żądanej temperatury</w:t>
      </w:r>
      <w:r w:rsidR="009C3370" w:rsidRPr="005B7745">
        <w:rPr>
          <w:rFonts w:cs="Times New Roman"/>
          <w:color w:val="000000" w:themeColor="text1"/>
          <w:szCs w:val="20"/>
        </w:rPr>
        <w:t>.</w:t>
      </w:r>
      <w:r w:rsidRPr="005B7745">
        <w:rPr>
          <w:rFonts w:cs="Times New Roman"/>
          <w:color w:val="000000" w:themeColor="text1"/>
          <w:szCs w:val="20"/>
        </w:rPr>
        <w:t xml:space="preserve"> 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 xml:space="preserve">4.2.2. </w:t>
      </w:r>
      <w:r w:rsidRPr="005B7745">
        <w:rPr>
          <w:rFonts w:cs="Times New Roman"/>
          <w:color w:val="000000" w:themeColor="text1"/>
          <w:szCs w:val="20"/>
        </w:rPr>
        <w:t>Wypełniacz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 xml:space="preserve">Wypełniacz luzem należ y przewozić w cysternach przystosowanych do przewozu </w:t>
      </w:r>
      <w:r w:rsidR="005B7745">
        <w:rPr>
          <w:rFonts w:cs="Times New Roman"/>
          <w:color w:val="000000" w:themeColor="text1"/>
          <w:szCs w:val="20"/>
        </w:rPr>
        <w:t>materiałów sypkich, umożliwiają</w:t>
      </w:r>
      <w:r w:rsidRPr="005B7745">
        <w:rPr>
          <w:rFonts w:cs="Times New Roman"/>
          <w:color w:val="000000" w:themeColor="text1"/>
          <w:szCs w:val="20"/>
        </w:rPr>
        <w:t>cych rozładunek pneumatyczny.</w:t>
      </w:r>
    </w:p>
    <w:p w:rsidR="005C2A73" w:rsidRPr="005B7745" w:rsidRDefault="005B7745" w:rsidP="005B7745">
      <w:pPr>
        <w:spacing w:after="0"/>
        <w:rPr>
          <w:rFonts w:cs="Times New Roman"/>
          <w:color w:val="000000" w:themeColor="text1"/>
          <w:szCs w:val="20"/>
        </w:rPr>
      </w:pPr>
      <w:r>
        <w:rPr>
          <w:rFonts w:cs="Times New Roman"/>
          <w:color w:val="000000" w:themeColor="text1"/>
          <w:szCs w:val="20"/>
        </w:rPr>
        <w:t>Wypełniacz workowany moż</w:t>
      </w:r>
      <w:r w:rsidR="009F59A6" w:rsidRPr="005B7745">
        <w:rPr>
          <w:rFonts w:cs="Times New Roman"/>
          <w:color w:val="000000" w:themeColor="text1"/>
          <w:szCs w:val="20"/>
        </w:rPr>
        <w:t>na przewozić dowolnymi środkami transportu w sposób zabezpieczony przed zawilgoceniem.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Do każdej dostawy wypełniacza powinien być  dołączony dokument zawierający co najmniej:</w:t>
      </w:r>
    </w:p>
    <w:p w:rsidR="005C2A73" w:rsidRPr="005B7745" w:rsidRDefault="009F59A6" w:rsidP="005B7745">
      <w:pPr>
        <w:pStyle w:val="Akapitzlist"/>
        <w:numPr>
          <w:ilvl w:val="0"/>
          <w:numId w:val="40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oznaczenie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0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datę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wysyłki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0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kolejny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numer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dokumentu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dostawy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0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numer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normy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PN-EN 13043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Dokument dostawy kruszywa może być oznakowany znakiem CE.</w:t>
      </w:r>
    </w:p>
    <w:p w:rsidR="005C2A73" w:rsidRPr="005B7745" w:rsidRDefault="009F59A6" w:rsidP="005B7745">
      <w:pPr>
        <w:spacing w:after="0"/>
        <w:rPr>
          <w:rFonts w:cs="Times New Roman"/>
          <w:b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 xml:space="preserve">4.2.3. </w:t>
      </w:r>
      <w:r w:rsidRPr="005B7745">
        <w:rPr>
          <w:rFonts w:cs="Times New Roman"/>
          <w:color w:val="000000" w:themeColor="text1"/>
          <w:szCs w:val="20"/>
        </w:rPr>
        <w:t>Kruszywo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Kruszywo można przewozić dowolnymi środkami transportu w warunkach zabezpieczających je przed zanieczyszczeniem, zmieszaniem z innymi materiałami (asortymentami) i nadmiernym zawilgoceniem.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 xml:space="preserve">Do każdej dostawy kruszywa powinien być  </w:t>
      </w:r>
      <w:proofErr w:type="spellStart"/>
      <w:r w:rsidRPr="005B7745">
        <w:rPr>
          <w:rFonts w:cs="Times New Roman"/>
          <w:color w:val="000000" w:themeColor="text1"/>
          <w:szCs w:val="20"/>
        </w:rPr>
        <w:t>dołą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</w:rPr>
        <w:t>czony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 dokument zawierają </w:t>
      </w:r>
      <w:proofErr w:type="spellStart"/>
      <w:r w:rsidRPr="005B7745">
        <w:rPr>
          <w:rFonts w:cs="Times New Roman"/>
          <w:color w:val="000000" w:themeColor="text1"/>
          <w:szCs w:val="20"/>
        </w:rPr>
        <w:t>cy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 co najmniej:</w:t>
      </w:r>
    </w:p>
    <w:p w:rsidR="005C2A73" w:rsidRPr="005B7745" w:rsidRDefault="009F59A6" w:rsidP="005B7745">
      <w:pPr>
        <w:pStyle w:val="Akapitzlist"/>
        <w:numPr>
          <w:ilvl w:val="0"/>
          <w:numId w:val="41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oznaczenie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1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r w:rsidRPr="005B7745">
        <w:rPr>
          <w:rFonts w:cs="Times New Roman"/>
          <w:color w:val="000000" w:themeColor="text1"/>
          <w:szCs w:val="20"/>
          <w:lang w:val="en-US"/>
        </w:rPr>
        <w:t xml:space="preserve">date 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wysyłki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1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kolejny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numer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dokumentu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dostawy</w:t>
      </w:r>
      <w:proofErr w:type="spellEnd"/>
    </w:p>
    <w:p w:rsidR="005C2A73" w:rsidRPr="005B7745" w:rsidRDefault="009F59A6" w:rsidP="005B7745">
      <w:pPr>
        <w:pStyle w:val="Akapitzlist"/>
        <w:numPr>
          <w:ilvl w:val="0"/>
          <w:numId w:val="41"/>
        </w:numPr>
        <w:spacing w:after="0"/>
        <w:ind w:hanging="153"/>
        <w:rPr>
          <w:rFonts w:cs="Times New Roman"/>
          <w:color w:val="000000" w:themeColor="text1"/>
          <w:szCs w:val="20"/>
          <w:lang w:val="en-US"/>
        </w:rPr>
      </w:pP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numer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</w:t>
      </w:r>
      <w:proofErr w:type="spellStart"/>
      <w:r w:rsidRPr="005B7745">
        <w:rPr>
          <w:rFonts w:cs="Times New Roman"/>
          <w:color w:val="000000" w:themeColor="text1"/>
          <w:szCs w:val="20"/>
          <w:lang w:val="en-US"/>
        </w:rPr>
        <w:t>normy</w:t>
      </w:r>
      <w:proofErr w:type="spellEnd"/>
      <w:r w:rsidRPr="005B7745">
        <w:rPr>
          <w:rFonts w:cs="Times New Roman"/>
          <w:color w:val="000000" w:themeColor="text1"/>
          <w:szCs w:val="20"/>
          <w:lang w:val="en-US"/>
        </w:rPr>
        <w:t xml:space="preserve"> PN-EN 13043</w:t>
      </w:r>
    </w:p>
    <w:p w:rsidR="005C2A73" w:rsidRPr="005B7745" w:rsidRDefault="005B7745" w:rsidP="005B7745">
      <w:pPr>
        <w:spacing w:after="0"/>
        <w:rPr>
          <w:rFonts w:cs="Times New Roman"/>
          <w:color w:val="000000" w:themeColor="text1"/>
          <w:szCs w:val="20"/>
        </w:rPr>
      </w:pPr>
      <w:r>
        <w:rPr>
          <w:rFonts w:cs="Times New Roman"/>
          <w:color w:val="000000" w:themeColor="text1"/>
          <w:szCs w:val="20"/>
        </w:rPr>
        <w:t>Dokument dostawy kruszywa moż</w:t>
      </w:r>
      <w:r w:rsidR="009F59A6" w:rsidRPr="005B7745">
        <w:rPr>
          <w:rFonts w:cs="Times New Roman"/>
          <w:color w:val="000000" w:themeColor="text1"/>
          <w:szCs w:val="20"/>
        </w:rPr>
        <w:t>e być  oznakowany znakiem CE.</w:t>
      </w:r>
    </w:p>
    <w:p w:rsidR="005C2A73" w:rsidRPr="005B7745" w:rsidRDefault="009F59A6" w:rsidP="005B7745">
      <w:pPr>
        <w:spacing w:after="0"/>
        <w:rPr>
          <w:rFonts w:cs="Times New Roman"/>
          <w:b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 xml:space="preserve">4.2.4. </w:t>
      </w:r>
      <w:r w:rsidRPr="005B7745">
        <w:rPr>
          <w:rFonts w:cs="Times New Roman"/>
          <w:color w:val="000000" w:themeColor="text1"/>
          <w:szCs w:val="20"/>
        </w:rPr>
        <w:t>Asfalt lany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Do transportu asfaltu lanego można stosować:</w:t>
      </w:r>
    </w:p>
    <w:p w:rsidR="005C2A73" w:rsidRPr="005B7745" w:rsidRDefault="009F59A6" w:rsidP="005B7745">
      <w:pPr>
        <w:pStyle w:val="Akapitzlist"/>
        <w:numPr>
          <w:ilvl w:val="0"/>
          <w:numId w:val="42"/>
        </w:numPr>
        <w:spacing w:after="0"/>
        <w:ind w:hanging="153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kotły transportowe montowane na samochodach,</w:t>
      </w:r>
    </w:p>
    <w:p w:rsidR="005C2A73" w:rsidRPr="005B7745" w:rsidRDefault="009F59A6" w:rsidP="005B7745">
      <w:pPr>
        <w:pStyle w:val="Akapitzlist"/>
        <w:numPr>
          <w:ilvl w:val="0"/>
          <w:numId w:val="42"/>
        </w:numPr>
        <w:spacing w:after="0"/>
        <w:ind w:hanging="153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samochody termosy z podwójnymi ścianami skrzyni wyposażonej w system ogrzewczy.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Warunki i czas transportu mieszanki mineralno-asfaltowej, od produkcji do wbudowania, powinny zapewniać utrzymanie temperatury w wymaganym przedziale.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Transport mieszanki z asfaltu lanego powinien odbywać się w kotłach transportowych wyposażonych w mieszadła i systemy podgrzewania z automatyczną regulacja temperatury. Czas przechowywania mieszanki z asfaltu lanego nie powinien trwać dłużej niż 8 godzin, temperatura produkcji i przechowywania mieszanki nie powinna być większa niż 230</w:t>
      </w:r>
      <w:r w:rsidRPr="005B7745">
        <w:rPr>
          <w:rFonts w:cs="Times New Roman"/>
          <w:color w:val="000000" w:themeColor="text1"/>
          <w:szCs w:val="20"/>
          <w:vertAlign w:val="superscript"/>
        </w:rPr>
        <w:t>o</w:t>
      </w:r>
      <w:r w:rsidRPr="005B7745">
        <w:rPr>
          <w:rFonts w:cs="Times New Roman"/>
          <w:color w:val="000000" w:themeColor="text1"/>
          <w:szCs w:val="20"/>
        </w:rPr>
        <w:t>C.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Asfalt lany, który był ogrzewany przez dłuższy czas lub w wyższej temperaturze nie może być  użyty do wbudowania.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Podczas transportu mieszanki mineralno-asfaltowej muszą być zachowane dopuszczalne wartości temperatury.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lastRenderedPageBreak/>
        <w:t>Nie dotyczy to wypadku stosowania dodatków obniżających temperaturę produkcji i wbudowania lub lepiszczy zawierających takie środki. Należy również kierować się informacjami poda</w:t>
      </w:r>
      <w:r w:rsidR="005B7745">
        <w:rPr>
          <w:rFonts w:cs="Times New Roman"/>
          <w:color w:val="000000" w:themeColor="text1"/>
          <w:szCs w:val="20"/>
        </w:rPr>
        <w:t>nymi przez producenta mieszanki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 WYKONANIE ROBÓT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Ogólne zasady wykonania robót podano w D-M 00.00.00. "Wymagania ogólne".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5.1. Projektowanie mieszanki mineralno-asfaltowej.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 terminie 3 tygodni przed rozpoczęciem robót Wykonawca przedstawi Inżynierowi do zatwierdzenia projekt MMA (Badanie Typu) oraz wszystkie dokumenty potwierdzające jakość materiałów składowych MMA. Wykonawca udostępn</w:t>
      </w:r>
      <w:r w:rsidR="005B7745">
        <w:rPr>
          <w:rFonts w:cs="Times New Roman"/>
          <w:szCs w:val="20"/>
        </w:rPr>
        <w:t xml:space="preserve">i Nadzorowi możliwość pobrania </w:t>
      </w:r>
      <w:r w:rsidRPr="005B7745">
        <w:rPr>
          <w:rFonts w:cs="Times New Roman"/>
          <w:szCs w:val="20"/>
        </w:rPr>
        <w:t xml:space="preserve">reprezentatywnych próbek materiałów składowych </w:t>
      </w:r>
      <w:r w:rsidR="005B7745" w:rsidRPr="005B7745">
        <w:rPr>
          <w:rFonts w:cs="Times New Roman"/>
          <w:szCs w:val="20"/>
        </w:rPr>
        <w:t>MMA</w:t>
      </w:r>
      <w:r w:rsidRPr="005B7745">
        <w:rPr>
          <w:rFonts w:cs="Times New Roman"/>
          <w:szCs w:val="20"/>
        </w:rPr>
        <w:t xml:space="preserve">. 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Mieszanki mineralno-asfaltowe powinny spełniać wymagania techniczne dla poszczególnych kategorii ruchu określone w WT-2 2014 - część I.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Mieszanki mineralno-asfaltowe powinny być zaprojektowane zgodnie z odpowiednimi</w:t>
      </w:r>
      <w:r w:rsidR="005B7745">
        <w:rPr>
          <w:rFonts w:cs="Times New Roman"/>
          <w:szCs w:val="20"/>
        </w:rPr>
        <w:t xml:space="preserve"> </w:t>
      </w:r>
      <w:r w:rsidRPr="005B7745">
        <w:rPr>
          <w:rFonts w:cs="Times New Roman"/>
          <w:szCs w:val="20"/>
        </w:rPr>
        <w:t>normami serii PN-EN 13108-x oraz z zapisami WT–2 2014 - część I, przy zastosowaniu</w:t>
      </w:r>
      <w:r w:rsidR="005B7745">
        <w:rPr>
          <w:rFonts w:cs="Times New Roman"/>
          <w:szCs w:val="20"/>
        </w:rPr>
        <w:t xml:space="preserve"> </w:t>
      </w:r>
      <w:r w:rsidRPr="005B7745">
        <w:rPr>
          <w:rFonts w:cs="Times New Roman"/>
          <w:szCs w:val="20"/>
        </w:rPr>
        <w:t xml:space="preserve">metod badań opisanych w </w:t>
      </w:r>
      <w:r w:rsidR="0087701B" w:rsidRPr="005B7745">
        <w:rPr>
          <w:rFonts w:cs="Times New Roman"/>
          <w:szCs w:val="20"/>
        </w:rPr>
        <w:t xml:space="preserve">normach serii </w:t>
      </w:r>
      <w:r w:rsidRPr="005B7745">
        <w:rPr>
          <w:rFonts w:cs="Times New Roman"/>
          <w:szCs w:val="20"/>
        </w:rPr>
        <w:t xml:space="preserve">PN-EN 12697-x.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5.2. Wytwarzanie MMA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Produkcja MA powinna odbywać się na WMA o cyklicznym systemie produkcji mieszanki, zgodnie z wymaganiami opisanymi w p. 3.1. Dozowanie wszystkich składników, powinno odbywać się wagowo. Temperatury technologiczne wytwarzania MA powinny być zgodne z wymaganiami podanymi w p. 8.3 WT-2 2014 Nawierzchnie Asfaltowe (Tablica 42). Mieszankę MMA zaleca się wbudowywać bezpośrednio po wyprodukowaniu bez magazynowania na zapas.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5.3. Przygotowanie podłoża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Podłoże powinno posiadać  projektowany profil, a powierzchnia jego musi być sucha i dokładnie oczyszczona z wszelkiego rodzaju zanieczyszczeń (piasek, błoto, kurz, rozlane paliwo, itp.). Do usuwania zanieczyszczeń należy stosować szczotki mechaniczne i ręczne oraz sprzęt pneumatyczny (dmuchawy, odkurzacze itp.)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Podłoże nie powinno być skrapiane lepiszczem asfaltowym przed ułożeniem na nim warstwy asfaltu lanego.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Przygotowanie podłoża przed skropieniem i ułożeniem nowej warstwy należy wykonać zgodnie z pkt. 7.3.2  WT-2:2016 – część II.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Brzegi krawężników i innych urządzeń przylegających do nawierzchni powinny być posmarowane gorącym asfaltem lub asfaltem modyfikowanym (w zależności od rodzaju asfaltu użytego w mieszance MMA) lub oklejone taśmą bitumiczną.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5.4. Warunki atmosferyczne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Warstwa nawierzchni z MMA powinna być układana w temperaturze otoczenia podanej w tablicy 7 </w:t>
      </w:r>
      <w:r w:rsidRPr="005B7745">
        <w:rPr>
          <w:rFonts w:cs="Times New Roman"/>
          <w:szCs w:val="20"/>
        </w:rPr>
        <w:br/>
        <w:t>pkt 7.5. WT-2:2016 – część II.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Nie dopuszcza się układania </w:t>
      </w:r>
      <w:proofErr w:type="spellStart"/>
      <w:r w:rsidRPr="005B7745">
        <w:rPr>
          <w:rFonts w:cs="Times New Roman"/>
          <w:szCs w:val="20"/>
        </w:rPr>
        <w:t>mma</w:t>
      </w:r>
      <w:proofErr w:type="spellEnd"/>
      <w:r w:rsidRPr="005B7745">
        <w:rPr>
          <w:rFonts w:cs="Times New Roman"/>
          <w:szCs w:val="20"/>
        </w:rPr>
        <w:t xml:space="preserve"> podczas opadów atmosferycznych.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5.5. Próba technologiczna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Wykonawca przed przystąpieniem do produkcji MMA na żądanie Inżyniera jest zobowiązany do przeprowadzenia próby technologicznej.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5B7745">
        <w:rPr>
          <w:rFonts w:cs="Times New Roman"/>
          <w:szCs w:val="20"/>
        </w:rPr>
        <w:t>zarobu</w:t>
      </w:r>
      <w:proofErr w:type="spellEnd"/>
      <w:r w:rsidRPr="005B7745">
        <w:rPr>
          <w:rFonts w:cs="Times New Roman"/>
          <w:szCs w:val="20"/>
        </w:rPr>
        <w:t xml:space="preserve">, z uwagi na segregację kruszywa. Na podstawie uzyskanych wyników Inżynier podejmuje decyzję o wykonaniu odcinka próbnego. Tolerancje zawartości składników MA względem składu zaprojektowanego powinny być zgodne z wymaganiami podanymi w pkt. 6.2 niniejszej SST.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5.6. Odcinek próbny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Na żądanie Inżyniera, Wykonawca powinien wykonać odcinek próbny o długości przynajmniej 20m na całej szerokości jednej jezdni lub innej uzgodnionej z Inżynierem Kontraktu. Wykonawca powinien wykonać odcinek próbny w celu:</w:t>
      </w:r>
    </w:p>
    <w:p w:rsidR="005C2A73" w:rsidRPr="005B7745" w:rsidRDefault="009F59A6" w:rsidP="005B7745">
      <w:pPr>
        <w:pStyle w:val="Akapitzlist"/>
        <w:numPr>
          <w:ilvl w:val="0"/>
          <w:numId w:val="43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zdefiniowania parametrów produkcyjnych asfaltu lanego </w:t>
      </w:r>
    </w:p>
    <w:p w:rsidR="005C2A73" w:rsidRPr="005B7745" w:rsidRDefault="009F59A6" w:rsidP="005B7745">
      <w:pPr>
        <w:pStyle w:val="Akapitzlist"/>
        <w:numPr>
          <w:ilvl w:val="0"/>
          <w:numId w:val="43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sprawdzenia czy sprzęt użyty do rozkładania mieszanki jest właściwy</w:t>
      </w:r>
    </w:p>
    <w:p w:rsidR="005C2A73" w:rsidRPr="005B7745" w:rsidRDefault="009F59A6" w:rsidP="005B7745">
      <w:pPr>
        <w:pStyle w:val="Akapitzlist"/>
        <w:numPr>
          <w:ilvl w:val="0"/>
          <w:numId w:val="43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określenia grubości warstwy a asfaltu lanego</w:t>
      </w:r>
    </w:p>
    <w:p w:rsidR="005C2A73" w:rsidRPr="005B7745" w:rsidRDefault="009F59A6" w:rsidP="005B7745">
      <w:pPr>
        <w:pStyle w:val="Akapitzlist"/>
        <w:numPr>
          <w:ilvl w:val="0"/>
          <w:numId w:val="43"/>
        </w:numPr>
        <w:spacing w:after="0"/>
        <w:ind w:hanging="153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stwierdzenia czy urabialność asfaltu lanego jest prawidłowa 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Do wykonania odcinka próbnego, Wykonawca powinien zastosować takie same materiały oraz sprzęt, jakie będą stosowane do wykonania warstwy z asfaltu lanego podczas robót. Lokalizacja odcinka próbnego zostanie zaakceptowana przez Inżyniera. Wykonawca rozpocznie wykonywanie nawierzchni z asfaltu lanego dopiero po otrzymaniu akceptacji Inżyniera, wydanej na podstawie testów oraz pomiarów dokonanych na odcinku próbnym. W przypadku nieprawidłowych parametrów warstwy asfaltu lanego i nie zatwierdzeniu przez Inżyniera odcinka próbnego, Wykonawca ma obowiązek usunąć odcinek próbny warstwy z asfaltu lanego (jeżeli był wykonywany w obrębie Kontraktu) na własny koszt.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5.7. Wbudowywanie asfaltu lanego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Transport, wbudowanie i zagęszczanie warstwy z MMA powinno odbywać się zgodnie z wymaganiami podanymi w p. 7.4. i 7.5. WT-2:2016 – część II.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5.8. Połączenia technologiczne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Połączenia technologiczne należy wykonać zgodnie z pkt 7.6 WT-2:2016 – część II.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Uszczelnienie miedzy krawężnikiem i nawierzchnia należy wykonać wg </w:t>
      </w:r>
      <w:proofErr w:type="spellStart"/>
      <w:r w:rsidRPr="005B7745">
        <w:rPr>
          <w:rFonts w:cs="Times New Roman"/>
          <w:szCs w:val="20"/>
        </w:rPr>
        <w:t>STWiORB</w:t>
      </w:r>
      <w:proofErr w:type="spellEnd"/>
      <w:r w:rsidRPr="005B7745">
        <w:rPr>
          <w:rFonts w:cs="Times New Roman"/>
          <w:szCs w:val="20"/>
        </w:rPr>
        <w:t xml:space="preserve"> M-20.02.04.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Dokładna ilość grysu należy ustalić po wykonaniu odcinka próbnego.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lastRenderedPageBreak/>
        <w:t>6. KONTROLA JAKOŚCI ROBÓT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Ogólne zasady kontroli jakości robót podano w D-M.00.00.00. "Wymagania ogólne"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Badania mieszanki mineralno-asfaltowej należy wykonywać zgodnie z normami podanymi w pkt. 8.2.3 WT-2 2014 Nawierzchnie Asfaltowe (Tablica 32) oraz pkt 8 WT-2:2016 – część II.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6.1. Badania i pomiary przed przystąpieniem do robót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Przed przystąpieniem do robót Wykonawca powinien przedstawić Inżynierowi do akceptacji źródła poboru kruszyw oraz wszystkich dodatkowych materiałów, dołączając wszystkie dokumenty potwierdzające jakość materiałów składowych.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6.2. Badania w czasie robót</w:t>
      </w:r>
    </w:p>
    <w:p w:rsidR="005C2A73" w:rsidRPr="005B7745" w:rsidRDefault="009F59A6" w:rsidP="005B7745">
      <w:pPr>
        <w:spacing w:after="0"/>
        <w:rPr>
          <w:rFonts w:cs="Times New Roman"/>
          <w:w w:val="90"/>
          <w:szCs w:val="20"/>
        </w:rPr>
      </w:pPr>
      <w:r w:rsidRPr="005B7745">
        <w:rPr>
          <w:rFonts w:cs="Times New Roman"/>
          <w:w w:val="90"/>
          <w:szCs w:val="20"/>
        </w:rPr>
        <w:t xml:space="preserve">Tablica 2 Zakres oraz częstość badań i pomiarów w czasie wytwarzania i wbudowywania mieszanki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264"/>
        <w:gridCol w:w="4502"/>
      </w:tblGrid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Lp.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Właściwość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Częstość badań</w:t>
            </w:r>
          </w:p>
        </w:tc>
      </w:tr>
      <w:tr w:rsidR="005C2A73" w:rsidRPr="005B7745">
        <w:tc>
          <w:tcPr>
            <w:tcW w:w="9288" w:type="dxa"/>
            <w:gridSpan w:val="3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Badania materiałów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1.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Uziarnienie kruszywa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1 raz na 2000 ton dla każdej frakcji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2.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Uziarnienie wypełniacza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1 raz na 200 ton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3.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Właściwości asfaltu</w:t>
            </w:r>
          </w:p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- Penetracja w 25°C lub temperatura mięknienia wg PIK</w:t>
            </w:r>
          </w:p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- Nawrót sprężysty w 25°C (dla asfaltów modyfikowanych)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1 raz na 300 ton</w:t>
            </w:r>
          </w:p>
        </w:tc>
      </w:tr>
      <w:tr w:rsidR="005C2A73" w:rsidRPr="005B7745">
        <w:tc>
          <w:tcPr>
            <w:tcW w:w="9288" w:type="dxa"/>
            <w:gridSpan w:val="3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Badania mieszanki mineralno-asfaltowej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4.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Temperatura składników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Nadzór ciągły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5.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Temperatura mieszanki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Przy każdym załadunku do kotła transportowego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6.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Zawartość asfaltu rozpuszczalnego w mieszance mineralno-asfaltowej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 xml:space="preserve">1 raz na 500 ton wyprodukowanej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5B7745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7.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Uziarnienie mieszanki mineralno-asfaltowej</w:t>
            </w:r>
          </w:p>
        </w:tc>
        <w:tc>
          <w:tcPr>
            <w:tcW w:w="450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 xml:space="preserve">1 raz na 500 ton wyprodukowanej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5B7745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8.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Odporność na deformacje trwałe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 xml:space="preserve">1 raz na 500 ton wyprodukowanej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5B7745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5B7745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5C2A73" w:rsidRPr="005B7745">
        <w:tc>
          <w:tcPr>
            <w:tcW w:w="9288" w:type="dxa"/>
            <w:gridSpan w:val="3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Badania po wykonaniu warstwy z asfaltu lanego</w:t>
            </w:r>
          </w:p>
        </w:tc>
      </w:tr>
      <w:tr w:rsidR="005C2A73" w:rsidRPr="005B7745">
        <w:tc>
          <w:tcPr>
            <w:tcW w:w="522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9.</w:t>
            </w:r>
          </w:p>
        </w:tc>
        <w:tc>
          <w:tcPr>
            <w:tcW w:w="4264" w:type="dxa"/>
            <w:shd w:val="clear" w:color="auto" w:fill="auto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w w:val="90"/>
                <w:szCs w:val="20"/>
              </w:rPr>
              <w:t>Grubość warstwy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w w:val="90"/>
                <w:szCs w:val="20"/>
              </w:rPr>
            </w:pPr>
            <w:r w:rsidRPr="005B7745">
              <w:rPr>
                <w:rFonts w:cs="Times New Roman"/>
                <w:szCs w:val="20"/>
              </w:rPr>
              <w:t>Badana metodami geodezyjnymi, z częstotliwością co 10m i nie mniej niż w 3-ch przekrojach na przęsło (w osiach podpór i w środku rozpiętości)</w:t>
            </w:r>
          </w:p>
        </w:tc>
      </w:tr>
    </w:tbl>
    <w:p w:rsidR="005C2A73" w:rsidRPr="005B7745" w:rsidRDefault="005C2A73" w:rsidP="005B7745">
      <w:pPr>
        <w:spacing w:after="0"/>
        <w:rPr>
          <w:rFonts w:cs="Times New Roman"/>
          <w:b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>6.2.1</w:t>
      </w:r>
      <w:r w:rsidRPr="005B7745">
        <w:rPr>
          <w:rFonts w:cs="Times New Roman"/>
          <w:szCs w:val="20"/>
        </w:rPr>
        <w:t xml:space="preserve"> Zawarto</w:t>
      </w:r>
      <w:r w:rsidRPr="005B7745">
        <w:rPr>
          <w:rFonts w:eastAsia="TimesNewRoman,Bold" w:cs="Times New Roman"/>
          <w:szCs w:val="20"/>
        </w:rPr>
        <w:t>ść</w:t>
      </w:r>
      <w:r w:rsidRPr="005B7745">
        <w:rPr>
          <w:rFonts w:cs="Times New Roman"/>
          <w:szCs w:val="20"/>
        </w:rPr>
        <w:t xml:space="preserve"> lepiszcza rozpuszczalnego</w:t>
      </w:r>
    </w:p>
    <w:p w:rsidR="009C3370" w:rsidRPr="005B7745" w:rsidRDefault="009C3370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Badanie polega na wykonaniu ekstrakcji lepiszcza, zgodnie PN-EN 12697-1, z próbki pobranej z mieszanki mineralno-asfaltowej. Zawarto</w:t>
      </w:r>
      <w:r w:rsidRPr="005B7745">
        <w:rPr>
          <w:rFonts w:eastAsia="TimesNewRoman" w:cs="Times New Roman"/>
          <w:szCs w:val="20"/>
        </w:rPr>
        <w:t xml:space="preserve">ść </w:t>
      </w:r>
      <w:r w:rsidRPr="005B7745">
        <w:rPr>
          <w:rFonts w:cs="Times New Roman"/>
          <w:szCs w:val="20"/>
        </w:rPr>
        <w:t>lepiszcza rozpuszczalnego nie mo</w:t>
      </w:r>
      <w:r w:rsidRPr="005B7745">
        <w:rPr>
          <w:rFonts w:eastAsia="TimesNewRoman" w:cs="Times New Roman"/>
          <w:szCs w:val="20"/>
        </w:rPr>
        <w:t>ż</w:t>
      </w:r>
      <w:r w:rsidRPr="005B7745">
        <w:rPr>
          <w:rFonts w:cs="Times New Roman"/>
          <w:szCs w:val="20"/>
        </w:rPr>
        <w:t>e odbiega</w:t>
      </w:r>
      <w:r w:rsidRPr="005B7745">
        <w:rPr>
          <w:rFonts w:eastAsia="TimesNewRoman" w:cs="Times New Roman"/>
          <w:szCs w:val="20"/>
        </w:rPr>
        <w:t xml:space="preserve">ć </w:t>
      </w:r>
      <w:r w:rsidRPr="005B7745">
        <w:rPr>
          <w:rFonts w:cs="Times New Roman"/>
          <w:szCs w:val="20"/>
        </w:rPr>
        <w:t>od warto</w:t>
      </w:r>
      <w:r w:rsidRPr="005B7745">
        <w:rPr>
          <w:rFonts w:eastAsia="TimesNewRoman" w:cs="Times New Roman"/>
          <w:szCs w:val="20"/>
        </w:rPr>
        <w:t>ś</w:t>
      </w:r>
      <w:r w:rsidRPr="005B7745">
        <w:rPr>
          <w:rFonts w:cs="Times New Roman"/>
          <w:szCs w:val="20"/>
        </w:rPr>
        <w:t>ci projektowanej  z uwzgl</w:t>
      </w:r>
      <w:r w:rsidRPr="005B7745">
        <w:rPr>
          <w:rFonts w:eastAsia="TimesNewRoman" w:cs="Times New Roman"/>
          <w:szCs w:val="20"/>
        </w:rPr>
        <w:t>ę</w:t>
      </w:r>
      <w:r w:rsidRPr="005B7745">
        <w:rPr>
          <w:rFonts w:cs="Times New Roman"/>
          <w:szCs w:val="20"/>
        </w:rPr>
        <w:t xml:space="preserve">dnieniem dopuszczalnych odchyłek  podanych Instrukcji DP-T 14 cz. I.  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>6.2.2</w:t>
      </w:r>
      <w:r w:rsidRPr="005B7745">
        <w:rPr>
          <w:rFonts w:cs="Times New Roman"/>
          <w:szCs w:val="20"/>
        </w:rPr>
        <w:t xml:space="preserve"> Uziarnienie mieszanki mineralnej</w:t>
      </w:r>
    </w:p>
    <w:p w:rsidR="009C3370" w:rsidRPr="005B7745" w:rsidRDefault="009C3370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Po wykonaniu ekstrakcji lepiszcza nale</w:t>
      </w:r>
      <w:r w:rsidRPr="005B7745">
        <w:rPr>
          <w:rFonts w:eastAsia="TimesNewRoman" w:cs="Times New Roman"/>
          <w:szCs w:val="20"/>
        </w:rPr>
        <w:t>ż</w:t>
      </w:r>
      <w:r w:rsidRPr="005B7745">
        <w:rPr>
          <w:rFonts w:cs="Times New Roman"/>
          <w:szCs w:val="20"/>
        </w:rPr>
        <w:t>y przeprowadzi</w:t>
      </w:r>
      <w:r w:rsidRPr="005B7745">
        <w:rPr>
          <w:rFonts w:eastAsia="TimesNewRoman" w:cs="Times New Roman"/>
          <w:szCs w:val="20"/>
        </w:rPr>
        <w:t xml:space="preserve">ć </w:t>
      </w:r>
      <w:r w:rsidRPr="005B7745">
        <w:rPr>
          <w:rFonts w:cs="Times New Roman"/>
          <w:szCs w:val="20"/>
        </w:rPr>
        <w:t>kontrol</w:t>
      </w:r>
      <w:r w:rsidRPr="005B7745">
        <w:rPr>
          <w:rFonts w:eastAsia="TimesNewRoman" w:cs="Times New Roman"/>
          <w:szCs w:val="20"/>
        </w:rPr>
        <w:t xml:space="preserve">ę </w:t>
      </w:r>
      <w:r w:rsidRPr="005B7745">
        <w:rPr>
          <w:rFonts w:cs="Times New Roman"/>
          <w:szCs w:val="20"/>
        </w:rPr>
        <w:t>uziarnienia mieszanki kruszywa mineralnego wg 12697-2. Uziarnienie ka</w:t>
      </w:r>
      <w:r w:rsidRPr="005B7745">
        <w:rPr>
          <w:rFonts w:eastAsia="TimesNewRoman" w:cs="Times New Roman"/>
          <w:szCs w:val="20"/>
        </w:rPr>
        <w:t>ż</w:t>
      </w:r>
      <w:r w:rsidRPr="005B7745">
        <w:rPr>
          <w:rFonts w:cs="Times New Roman"/>
          <w:szCs w:val="20"/>
        </w:rPr>
        <w:t>dej próbki pobranej z lu</w:t>
      </w:r>
      <w:r w:rsidRPr="005B7745">
        <w:rPr>
          <w:rFonts w:eastAsia="TimesNewRoman" w:cs="Times New Roman"/>
          <w:szCs w:val="20"/>
        </w:rPr>
        <w:t>ź</w:t>
      </w:r>
      <w:r w:rsidRPr="005B7745">
        <w:rPr>
          <w:rFonts w:cs="Times New Roman"/>
          <w:szCs w:val="20"/>
        </w:rPr>
        <w:t>nej mieszanki mineralno-asfaltowej nie mo</w:t>
      </w:r>
      <w:r w:rsidRPr="005B7745">
        <w:rPr>
          <w:rFonts w:eastAsia="TimesNewRoman" w:cs="Times New Roman"/>
          <w:szCs w:val="20"/>
        </w:rPr>
        <w:t>ż</w:t>
      </w:r>
      <w:r w:rsidRPr="005B7745">
        <w:rPr>
          <w:rFonts w:cs="Times New Roman"/>
          <w:szCs w:val="20"/>
        </w:rPr>
        <w:t>e odbiega</w:t>
      </w:r>
      <w:r w:rsidRPr="005B7745">
        <w:rPr>
          <w:rFonts w:eastAsia="TimesNewRoman" w:cs="Times New Roman"/>
          <w:szCs w:val="20"/>
        </w:rPr>
        <w:t xml:space="preserve">ć </w:t>
      </w:r>
      <w:r w:rsidRPr="005B7745">
        <w:rPr>
          <w:rFonts w:cs="Times New Roman"/>
          <w:szCs w:val="20"/>
        </w:rPr>
        <w:t>od warto</w:t>
      </w:r>
      <w:r w:rsidRPr="005B7745">
        <w:rPr>
          <w:rFonts w:eastAsia="TimesNewRoman" w:cs="Times New Roman"/>
          <w:szCs w:val="20"/>
        </w:rPr>
        <w:t>ś</w:t>
      </w:r>
      <w:r w:rsidRPr="005B7745">
        <w:rPr>
          <w:rFonts w:cs="Times New Roman"/>
          <w:szCs w:val="20"/>
        </w:rPr>
        <w:t>ci projektowanych z uwzgl</w:t>
      </w:r>
      <w:r w:rsidRPr="005B7745">
        <w:rPr>
          <w:rFonts w:eastAsia="TimesNewRoman" w:cs="Times New Roman"/>
          <w:szCs w:val="20"/>
        </w:rPr>
        <w:t>ę</w:t>
      </w:r>
      <w:r w:rsidRPr="005B7745">
        <w:rPr>
          <w:rFonts w:cs="Times New Roman"/>
          <w:szCs w:val="20"/>
        </w:rPr>
        <w:t xml:space="preserve">dnieniem dopuszczalnych odchyłek  podanych Instrukcji DP-T 14 cz. I.    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6.2.3 </w:t>
      </w:r>
      <w:r w:rsidRPr="005B7745">
        <w:rPr>
          <w:rFonts w:cs="Times New Roman"/>
          <w:szCs w:val="20"/>
        </w:rPr>
        <w:t>Odporność na deformacje trwałe</w:t>
      </w:r>
      <w:r w:rsidRPr="005B7745">
        <w:rPr>
          <w:rFonts w:cs="Times New Roman"/>
          <w:b/>
          <w:szCs w:val="20"/>
        </w:rPr>
        <w:t xml:space="preserve"> 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Odporność asfaltu lanego na deformacje trwałe należy określić zgodnie z PN-EN 12697-20 na próbkach sześciennych pobranych podczas układania warstwy. Próbki należy pobierać z częstotliwością jedne raz na dzienną działkę roboczą. Wyniki muszą spełniać wymagania tablicy 32 WT-2 2014. Próbki należy pobierać z częstotliwością jedne raz na dzienną działkę roboczą.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6.2.4. </w:t>
      </w:r>
      <w:r w:rsidRPr="005B7745">
        <w:rPr>
          <w:rFonts w:cs="Times New Roman"/>
          <w:szCs w:val="20"/>
        </w:rPr>
        <w:t>Pomiar grubości warstwy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Grubości wykonanej warstwy z MA należy określać metodami geodezyjnymi lub na podstawie ilości wbudowanego materiału. Tolerancja dla grubości warstwy ścieralnej może wynosić ±10% grubości warstwy projektowanej, a dla warstwy wiążącej ±1,0cm grubości warstwy projektowanej. Zabrania się wykonywania odwiertów na obiektach mostowych.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6.3. Badania cech geometrycznych warstwy z MMA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6.3.1. Częstość oraz zakres badań i pomiarów</w:t>
      </w:r>
    </w:p>
    <w:p w:rsidR="005C2A73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Częstość oraz zakres badań i pomiarów podano w tablicy 3</w:t>
      </w:r>
    </w:p>
    <w:p w:rsidR="005B7745" w:rsidRPr="005B7745" w:rsidRDefault="005B7745" w:rsidP="005B7745">
      <w:pPr>
        <w:spacing w:after="0"/>
        <w:rPr>
          <w:rFonts w:cs="Times New Roman"/>
          <w:color w:val="000000" w:themeColor="text1"/>
          <w:sz w:val="10"/>
          <w:szCs w:val="10"/>
        </w:rPr>
      </w:pPr>
    </w:p>
    <w:p w:rsidR="005B7745" w:rsidRPr="005B7745" w:rsidRDefault="005B7745" w:rsidP="005B7745">
      <w:pPr>
        <w:spacing w:after="0"/>
        <w:rPr>
          <w:rFonts w:cs="Times New Roman"/>
          <w:color w:val="000000" w:themeColor="text1"/>
          <w:szCs w:val="20"/>
        </w:rPr>
      </w:pPr>
      <w:r>
        <w:rPr>
          <w:rFonts w:cs="Times New Roman"/>
          <w:color w:val="000000" w:themeColor="text1"/>
          <w:szCs w:val="20"/>
        </w:rPr>
        <w:t>Tablica 3</w:t>
      </w:r>
    </w:p>
    <w:tbl>
      <w:tblPr>
        <w:tblStyle w:val="Tabela-Siatka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103"/>
      </w:tblGrid>
      <w:tr w:rsidR="005C2A73" w:rsidRPr="005B7745">
        <w:trPr>
          <w:trHeight w:val="380"/>
        </w:trPr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Lp.</w:t>
            </w:r>
          </w:p>
          <w:p w:rsidR="005C2A73" w:rsidRPr="005B7745" w:rsidRDefault="005C2A73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Badana cecha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Minimalna częstość badań i pomiarów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1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Szerokość warstwy 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co 10 m, co najmniej 2 razy dla o obiektu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2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Równość podłużna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Należy stosować metodę z wykorzystaniem łaty 4-metrowej i klina lub metodę równoważną użyciu łaty i klina (</w:t>
            </w:r>
            <w:proofErr w:type="spellStart"/>
            <w:r w:rsidRPr="005B7745">
              <w:rPr>
                <w:rFonts w:cs="Times New Roman"/>
                <w:szCs w:val="20"/>
              </w:rPr>
              <w:t>planograf</w:t>
            </w:r>
            <w:proofErr w:type="spellEnd"/>
            <w:r w:rsidRPr="005B7745">
              <w:rPr>
                <w:rFonts w:cs="Times New Roman"/>
                <w:szCs w:val="20"/>
              </w:rPr>
              <w:t>). Pomiar wykonać należy nie rzadziej niż co 10 m na każdym pasie ruchu.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lastRenderedPageBreak/>
              <w:t>3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Równość poprzeczna 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Należy stosować metodę pomiaru profilometrycznego, oznaczenie wyznaczać z krokiem co 1 m. Gdy nie ma możliwości wykonania pomiaru profilografem pomiar należy wykonać metodą równoważną metodzie z wykorzystaniem łaty i klina nie rzadziej niż co 5 m.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4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Spadki poprzeczne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każdy pas ruchu co 10 m, co najmniej 5 razy dla obiektu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5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Rzędne wysokościowe (oś podłużna i</w:t>
            </w:r>
          </w:p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krawędzie)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pomiar rzędnych niwelacji podłużnej i poprzecznej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6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Złącza podłużne i poprzeczne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każde złącze (ocena wizualna)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Wygląd warstwy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ocena wizualna</w:t>
            </w:r>
          </w:p>
        </w:tc>
      </w:tr>
      <w:tr w:rsidR="005C2A73" w:rsidRPr="005B7745">
        <w:tc>
          <w:tcPr>
            <w:tcW w:w="993" w:type="dxa"/>
          </w:tcPr>
          <w:p w:rsidR="005C2A73" w:rsidRPr="005B7745" w:rsidRDefault="009F59A6" w:rsidP="005B7745">
            <w:pPr>
              <w:spacing w:before="0" w:after="0"/>
              <w:jc w:val="center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8</w:t>
            </w:r>
          </w:p>
        </w:tc>
        <w:tc>
          <w:tcPr>
            <w:tcW w:w="3969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Ukształtowanie osi w planie</w:t>
            </w:r>
          </w:p>
        </w:tc>
        <w:tc>
          <w:tcPr>
            <w:tcW w:w="5103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pomiar rzędnych niwelacji podłużnej i poprzecznej</w:t>
            </w:r>
          </w:p>
        </w:tc>
      </w:tr>
    </w:tbl>
    <w:p w:rsidR="005C2A73" w:rsidRPr="005B7745" w:rsidRDefault="005C2A73" w:rsidP="005B7745">
      <w:pPr>
        <w:spacing w:after="0"/>
        <w:rPr>
          <w:rFonts w:cs="Times New Roman"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6.3.2. </w:t>
      </w:r>
      <w:r w:rsidRPr="005B7745">
        <w:rPr>
          <w:rFonts w:cs="Times New Roman"/>
          <w:szCs w:val="20"/>
        </w:rPr>
        <w:t>Szerokość warstwy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Szerokość wykonanej warstwy powinna być zgodna z szerokością projektowaną z tolerancją + 5cm. Wymaga się, aby co najmniej 95% wykonanych pomiarów nie przekraczało dopuszczalnego odchylenia.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6.3.3. </w:t>
      </w:r>
      <w:r w:rsidRPr="005B7745">
        <w:rPr>
          <w:rFonts w:cs="Times New Roman"/>
          <w:szCs w:val="20"/>
        </w:rPr>
        <w:t>Równość podłużna i poprzeczna warstwy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>A.</w:t>
      </w:r>
      <w:r w:rsidRPr="005B7745">
        <w:rPr>
          <w:rFonts w:cs="Times New Roman"/>
          <w:color w:val="000000" w:themeColor="text1"/>
          <w:szCs w:val="20"/>
        </w:rPr>
        <w:t xml:space="preserve"> Ocena równości podłużnej.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 xml:space="preserve">Do oceny równości podłużnej warstwy wiążącej nawierzchni dróg wszystkich klas technicznych, należy stosować metodę pomiaru ciągłego równoważną użyciu łaty i klina z wykorzystaniem </w:t>
      </w:r>
      <w:proofErr w:type="spellStart"/>
      <w:r w:rsidRPr="005B7745">
        <w:rPr>
          <w:rFonts w:cs="Times New Roman"/>
          <w:color w:val="000000" w:themeColor="text1"/>
          <w:szCs w:val="20"/>
        </w:rPr>
        <w:t>planografu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Pomiary należy wykonywać w środku każdego ocenianego pasa ruchu. Prędkość </w:t>
      </w:r>
      <w:proofErr w:type="spellStart"/>
      <w:r w:rsidRPr="005B7745">
        <w:rPr>
          <w:rFonts w:cs="Times New Roman"/>
          <w:color w:val="000000" w:themeColor="text1"/>
          <w:szCs w:val="20"/>
        </w:rPr>
        <w:t>planografu</w:t>
      </w:r>
      <w:proofErr w:type="spellEnd"/>
      <w:r w:rsidRPr="005B7745">
        <w:rPr>
          <w:rFonts w:cs="Times New Roman"/>
          <w:color w:val="000000" w:themeColor="text1"/>
          <w:szCs w:val="20"/>
        </w:rPr>
        <w:t xml:space="preserve"> w czasie pomiaru nie powinna przekraczać 15 km/h. Wymagana równość podłużna jest określona przez maksymalne dopuszczalne wartości odchyleń dla warstwy podbudowy zostały podane w Tablicy 4</w:t>
      </w:r>
    </w:p>
    <w:p w:rsidR="005C2A73" w:rsidRPr="005B7745" w:rsidRDefault="005C2A73" w:rsidP="005B7745">
      <w:pPr>
        <w:spacing w:after="0"/>
        <w:rPr>
          <w:rFonts w:cs="Times New Roman"/>
          <w:color w:val="000000" w:themeColor="text1"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Tablica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3106"/>
        <w:gridCol w:w="3109"/>
      </w:tblGrid>
      <w:tr w:rsidR="005C2A73" w:rsidRPr="005B7745"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Klasa drogi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Element nawierzchni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Dopuszczalne wartości odchyleń równości podłużnej warstwy wiążącej [mm]</w:t>
            </w:r>
          </w:p>
        </w:tc>
      </w:tr>
      <w:tr w:rsidR="005C2A73" w:rsidRPr="005B7745">
        <w:tc>
          <w:tcPr>
            <w:tcW w:w="3259" w:type="dxa"/>
            <w:vMerge w:val="restart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A, S, GP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Pasy ruchu zasadnicze, awaryjne, dodatkowe, włącznie i wyłączenia, jezdnie łącznic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6</w:t>
            </w:r>
          </w:p>
        </w:tc>
      </w:tr>
      <w:tr w:rsidR="005C2A73" w:rsidRPr="005B7745">
        <w:tc>
          <w:tcPr>
            <w:tcW w:w="3259" w:type="dxa"/>
            <w:vMerge/>
            <w:shd w:val="clear" w:color="auto" w:fill="auto"/>
            <w:vAlign w:val="center"/>
          </w:tcPr>
          <w:p w:rsidR="005C2A73" w:rsidRPr="005B7745" w:rsidRDefault="005C2A73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Jezdnie MOP, utwardzone pobocza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9</w:t>
            </w:r>
          </w:p>
        </w:tc>
      </w:tr>
      <w:tr w:rsidR="005C2A73" w:rsidRPr="005B7745">
        <w:trPr>
          <w:trHeight w:val="736"/>
        </w:trPr>
        <w:tc>
          <w:tcPr>
            <w:tcW w:w="3259" w:type="dxa"/>
            <w:vMerge w:val="restart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G, Z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Pasy ruchu zasadnicze, dodatkowe, włączenia i wyłączenia, postojowe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9</w:t>
            </w:r>
          </w:p>
        </w:tc>
      </w:tr>
      <w:tr w:rsidR="005C2A73" w:rsidRPr="005B7745">
        <w:tc>
          <w:tcPr>
            <w:tcW w:w="3259" w:type="dxa"/>
            <w:vMerge/>
            <w:shd w:val="clear" w:color="auto" w:fill="auto"/>
            <w:vAlign w:val="center"/>
          </w:tcPr>
          <w:p w:rsidR="005C2A73" w:rsidRPr="005B7745" w:rsidRDefault="005C2A73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Utwardzone pobocza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12</w:t>
            </w:r>
          </w:p>
        </w:tc>
      </w:tr>
      <w:tr w:rsidR="005C2A73" w:rsidRPr="005B7745"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L, D, place, parkingi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Wszystkie pasy ruchu i powierzchnie przeznaczone do ruchu i postoju pojazdów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12</w:t>
            </w:r>
          </w:p>
        </w:tc>
      </w:tr>
    </w:tbl>
    <w:p w:rsidR="005C2A73" w:rsidRPr="005B7745" w:rsidRDefault="005C2A73" w:rsidP="005B7745">
      <w:pPr>
        <w:spacing w:after="0"/>
        <w:rPr>
          <w:rFonts w:cs="Times New Roman"/>
          <w:color w:val="000000" w:themeColor="text1"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Pomiar równości podłużnej nawierzchni metodą łaty i klina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Pomiar równości podłużnej warstw nawierzchni z użyciem łaty i klina należy wykonywać jedynie w miejscach niedostępnych dla sprzętu pomiarowego takie jak stanowiska postojowe, zatoki autobusowe itp.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Tablicy 4.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b/>
          <w:color w:val="000000" w:themeColor="text1"/>
          <w:szCs w:val="20"/>
        </w:rPr>
        <w:t>B.</w:t>
      </w:r>
      <w:r w:rsidRPr="005B7745">
        <w:rPr>
          <w:rFonts w:cs="Times New Roman"/>
          <w:color w:val="000000" w:themeColor="text1"/>
          <w:szCs w:val="20"/>
        </w:rPr>
        <w:t xml:space="preserve"> Pomiar równości poprzecznej warstwy wiążącej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 xml:space="preserve">Do oceny równości poprzecznej warstw nawierzchni dróg wszystkich klas technicznych oraz placów i parkingów należy stosować metodę pomiaru profilometrycznego a w miejscach niedostępnych dla sprzętu pomiarowego z wykorzystaniem łaty i </w:t>
      </w:r>
      <w:proofErr w:type="spellStart"/>
      <w:r w:rsidRPr="005B7745">
        <w:rPr>
          <w:rFonts w:cs="Times New Roman"/>
          <w:color w:val="000000" w:themeColor="text1"/>
          <w:szCs w:val="20"/>
        </w:rPr>
        <w:t>kilna</w:t>
      </w:r>
      <w:proofErr w:type="spellEnd"/>
      <w:r w:rsidRPr="005B7745">
        <w:rPr>
          <w:rFonts w:cs="Times New Roman"/>
          <w:color w:val="000000" w:themeColor="text1"/>
          <w:szCs w:val="20"/>
        </w:rPr>
        <w:t>, umożliwiającą wyznaczenie odchylenia równości w przekroju poprzecznym pasa ruchu/elementu drogi. Odchylenie to jest obliczane jako największa odległość (prześwit) pomiędzy teoretyczną łatą a zarejestrowanym profilem poprzecznym warstwy. Wartość odchylenia równości poprzecznej standardowo należy wyznaczać z krokiem co 1 m. Zaleca się utrzymywanie w czasie pomiaru stałej prędkości pomiarowej w zakresie 50-70 km/h, przy czym w zależności od panujących warunków oraz organizacji ruchu dopuszcza się wykonywanie pomiarów z prędkością 0-110 km/h. W czasie pomiaru należy bezwzględnie unikać gwałtownych zmian prędkości.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Dopuszczalne wartości odchyleń zostały podane w Tablicy 5</w:t>
      </w:r>
    </w:p>
    <w:p w:rsidR="005C2A73" w:rsidRPr="005B7745" w:rsidRDefault="005C2A73" w:rsidP="005B7745">
      <w:pPr>
        <w:spacing w:after="0"/>
        <w:rPr>
          <w:rFonts w:cs="Times New Roman"/>
          <w:color w:val="000000" w:themeColor="text1"/>
          <w:sz w:val="10"/>
          <w:szCs w:val="10"/>
        </w:rPr>
      </w:pP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Tablica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3106"/>
        <w:gridCol w:w="3109"/>
      </w:tblGrid>
      <w:tr w:rsidR="005C2A73" w:rsidRPr="005B7745"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Klasa drogi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Element nawierzchni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 xml:space="preserve">Dopuszczalne wartości odchyleń </w:t>
            </w:r>
            <w:r w:rsidRPr="005B7745">
              <w:rPr>
                <w:rFonts w:cs="Times New Roman"/>
                <w:color w:val="000000" w:themeColor="text1"/>
                <w:szCs w:val="20"/>
              </w:rPr>
              <w:lastRenderedPageBreak/>
              <w:t>równości poprzecznej warstwy wiążącej [mm]</w:t>
            </w:r>
          </w:p>
        </w:tc>
      </w:tr>
      <w:tr w:rsidR="005C2A73" w:rsidRPr="005B7745">
        <w:tc>
          <w:tcPr>
            <w:tcW w:w="3259" w:type="dxa"/>
            <w:vMerge w:val="restart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lastRenderedPageBreak/>
              <w:t>A, S, GP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Pasy ruchu zasadnicze, awaryjne, dodatkowe, włączenia i wyłączenia, jezdnia łącznic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6</w:t>
            </w:r>
          </w:p>
        </w:tc>
      </w:tr>
      <w:tr w:rsidR="005C2A73" w:rsidRPr="005B7745">
        <w:tc>
          <w:tcPr>
            <w:tcW w:w="3259" w:type="dxa"/>
            <w:vMerge/>
            <w:shd w:val="clear" w:color="auto" w:fill="auto"/>
            <w:vAlign w:val="center"/>
          </w:tcPr>
          <w:p w:rsidR="005C2A73" w:rsidRPr="005B7745" w:rsidRDefault="005C2A73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Jezdnie MOP, utwardzone pobocza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9</w:t>
            </w:r>
          </w:p>
        </w:tc>
      </w:tr>
      <w:tr w:rsidR="005C2A73" w:rsidRPr="005B7745">
        <w:tc>
          <w:tcPr>
            <w:tcW w:w="3259" w:type="dxa"/>
            <w:vMerge w:val="restart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G, Z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Pasy ruchu zasadnicze, dodatkowe, włączenia i wyłączenia, postojowe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9</w:t>
            </w:r>
          </w:p>
        </w:tc>
      </w:tr>
      <w:tr w:rsidR="005C2A73" w:rsidRPr="005B7745">
        <w:tc>
          <w:tcPr>
            <w:tcW w:w="3259" w:type="dxa"/>
            <w:vMerge/>
            <w:shd w:val="clear" w:color="auto" w:fill="auto"/>
            <w:vAlign w:val="center"/>
          </w:tcPr>
          <w:p w:rsidR="005C2A73" w:rsidRPr="005B7745" w:rsidRDefault="005C2A73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Utwardzone pobocza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12</w:t>
            </w:r>
          </w:p>
        </w:tc>
      </w:tr>
      <w:tr w:rsidR="005C2A73" w:rsidRPr="005B7745">
        <w:trPr>
          <w:trHeight w:val="736"/>
        </w:trPr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L, D, place, parkingi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Wszystkie pasy ruchu i powierzchnie przeznaczone do ruchu i postoju pojazdów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2A73" w:rsidRPr="005B7745" w:rsidRDefault="009F59A6" w:rsidP="005B7745">
            <w:pPr>
              <w:spacing w:after="0"/>
              <w:rPr>
                <w:rFonts w:cs="Times New Roman"/>
                <w:color w:val="000000" w:themeColor="text1"/>
                <w:szCs w:val="20"/>
              </w:rPr>
            </w:pPr>
            <w:r w:rsidRPr="005B7745">
              <w:rPr>
                <w:rFonts w:cs="Times New Roman"/>
                <w:color w:val="000000" w:themeColor="text1"/>
                <w:szCs w:val="20"/>
              </w:rPr>
              <w:t>12</w:t>
            </w:r>
          </w:p>
        </w:tc>
      </w:tr>
    </w:tbl>
    <w:p w:rsidR="005C2A73" w:rsidRPr="005B7745" w:rsidRDefault="005C2A73" w:rsidP="005B7745">
      <w:pPr>
        <w:spacing w:after="0"/>
        <w:rPr>
          <w:rFonts w:cs="Times New Roman"/>
          <w:color w:val="000000" w:themeColor="text1"/>
          <w:szCs w:val="20"/>
        </w:rPr>
      </w:pP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Pomiar równości poprzecznej warstw nawierzchni z użyciem łaty i klina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należy wykonywać jedynie w miejscach niedostępnych dla sprzętu pomiarowego takich jak: stanowiska postojowe, zatoki autobusowe itp. Pomiary równości poprzecznej z wykorzystaniem łaty i klina należy wykonywać z krokiem co 1m, oraz w miejscach dodatkowych budzących wątpliwości co do zachowania warunku równości poprzecznej. W czasie pomiaru łata powinna leżeć prostopadle do osi drogi i w płaszczyźnie prostopadłej do powierzchni badanej warstwy.</w:t>
      </w:r>
    </w:p>
    <w:p w:rsidR="005C2A73" w:rsidRPr="005B7745" w:rsidRDefault="009F59A6" w:rsidP="005B7745">
      <w:pPr>
        <w:spacing w:after="0"/>
        <w:rPr>
          <w:rFonts w:cs="Times New Roman"/>
          <w:color w:val="000000" w:themeColor="text1"/>
          <w:szCs w:val="20"/>
        </w:rPr>
      </w:pPr>
      <w:r w:rsidRPr="005B7745">
        <w:rPr>
          <w:rFonts w:cs="Times New Roman"/>
          <w:color w:val="000000" w:themeColor="text1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Tablicy 5.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6.3.4. </w:t>
      </w:r>
      <w:r w:rsidRPr="00511112">
        <w:rPr>
          <w:rFonts w:cs="Times New Roman"/>
          <w:szCs w:val="20"/>
        </w:rPr>
        <w:t>Spadki poprzeczne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Sprawdzenie polega na przyłożeniu łaty i pomiar prześwitu klinem lub pomiar profilografem laserowym. Spadki poprzeczne warstwy z MA na odcinkach prostych i na łukach powinny być zgodne z spadkami poprzecznymi z tolerancją ± 0,5%. Wymaga się, aby co najmniej 95% wykonanych pomiarów nie przekraczało przedziału dopuszczalnych odchyleń.</w:t>
      </w:r>
    </w:p>
    <w:p w:rsidR="005C2A73" w:rsidRPr="00511112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6.3.5. </w:t>
      </w:r>
      <w:r w:rsidRPr="00511112">
        <w:rPr>
          <w:rFonts w:cs="Times New Roman"/>
          <w:szCs w:val="20"/>
        </w:rPr>
        <w:t>Ukształtowanie osi w planie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Oś warstwy w planie powinna być usytuowana zgodnie z osią projektowaną z tolerancją ±5 cm. Wymaga się, aby co najmniej 95% wykonanych pomiarów nie przekraczało przedziału dopuszczalnych odchyleń.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 xml:space="preserve">6.3.6. </w:t>
      </w:r>
      <w:r w:rsidRPr="00511112">
        <w:rPr>
          <w:rFonts w:cs="Times New Roman"/>
          <w:szCs w:val="20"/>
        </w:rPr>
        <w:t>Rzędne wysokościowe nawierzchni</w:t>
      </w:r>
    </w:p>
    <w:p w:rsidR="009C3370" w:rsidRPr="005B7745" w:rsidRDefault="009C3370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Pomiary należy przeprowadzić zgodnie z (Dz. U. Nr 43, poz. 430, wraz z późniejszymi zmianami) – tekst jednolity Dz. U. z 2016 r. poz. 124</w:t>
      </w:r>
    </w:p>
    <w:p w:rsidR="005C2A73" w:rsidRPr="00511112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6.3.7. </w:t>
      </w:r>
      <w:r w:rsidRPr="00511112">
        <w:rPr>
          <w:rFonts w:cs="Times New Roman"/>
          <w:szCs w:val="20"/>
        </w:rPr>
        <w:t>Złącza podłużne i poprzeczne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Złącza w nawierzchni powinny być wykonane w linii prostej, prostopadle do osi drogi lub w poprzek osi drogi. Wszystkie złącza powinny być uszczelnione taśmami termoplastycznymi o grubości jak w pkt. 5.7 </w:t>
      </w:r>
    </w:p>
    <w:p w:rsidR="005C2A73" w:rsidRPr="00511112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b/>
          <w:szCs w:val="20"/>
        </w:rPr>
        <w:t xml:space="preserve">6.3.8. </w:t>
      </w:r>
      <w:r w:rsidRPr="00511112">
        <w:rPr>
          <w:rFonts w:cs="Times New Roman"/>
          <w:szCs w:val="20"/>
        </w:rPr>
        <w:t>Wygląd warstwy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Wygląd warstwy z mieszanki MA powinien być jednorodny, bez miejsc „</w:t>
      </w:r>
      <w:proofErr w:type="spellStart"/>
      <w:r w:rsidRPr="005B7745">
        <w:rPr>
          <w:rFonts w:cs="Times New Roman"/>
          <w:szCs w:val="20"/>
        </w:rPr>
        <w:t>przeasfaltowanych</w:t>
      </w:r>
      <w:proofErr w:type="spellEnd"/>
      <w:r w:rsidRPr="005B7745">
        <w:rPr>
          <w:rFonts w:cs="Times New Roman"/>
          <w:szCs w:val="20"/>
        </w:rPr>
        <w:t>”,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porowatych, łuszczących się i spękanych. Luźny grys zastosowany do </w:t>
      </w:r>
      <w:proofErr w:type="spellStart"/>
      <w:r w:rsidRPr="005B7745">
        <w:rPr>
          <w:rFonts w:cs="Times New Roman"/>
          <w:szCs w:val="20"/>
        </w:rPr>
        <w:t>uszorstniania</w:t>
      </w:r>
      <w:proofErr w:type="spellEnd"/>
      <w:r w:rsidRPr="005B7745">
        <w:rPr>
          <w:rFonts w:cs="Times New Roman"/>
          <w:szCs w:val="20"/>
        </w:rPr>
        <w:t xml:space="preserve"> musi być usunięty.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7. OBMIAR ROBÓT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Nie dotyczy.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8. ODBIÓR ROBÓT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 xml:space="preserve">Ogólne zasady odbioru robót podano w D-M.00.00.00 „Wymagania ogólne” pkt. 8. Roboty uznaje się za wykonane zgodnie z Dokumentacją Projektową i </w:t>
      </w:r>
      <w:r w:rsidR="00566CB9">
        <w:rPr>
          <w:rFonts w:cs="Times New Roman"/>
          <w:szCs w:val="20"/>
        </w:rPr>
        <w:t>SST</w:t>
      </w:r>
      <w:r w:rsidRPr="005B7745">
        <w:rPr>
          <w:rFonts w:cs="Times New Roman"/>
          <w:szCs w:val="20"/>
        </w:rPr>
        <w:t xml:space="preserve">, jeżeli wszystkie badania i pomiary z zachowaniem tolerancji wg pkt. 6 niniejszej </w:t>
      </w:r>
      <w:r w:rsidR="00566CB9">
        <w:rPr>
          <w:rFonts w:cs="Times New Roman"/>
          <w:szCs w:val="20"/>
        </w:rPr>
        <w:t>SST</w:t>
      </w:r>
      <w:r w:rsidRPr="005B7745">
        <w:rPr>
          <w:rFonts w:cs="Times New Roman"/>
          <w:szCs w:val="20"/>
        </w:rPr>
        <w:t xml:space="preserve"> dały wyniki pozytywne. W razie niedotrzymania wartości dopuszczalnych </w:t>
      </w:r>
      <w:r w:rsidR="00DC7870" w:rsidRPr="005B7745">
        <w:rPr>
          <w:rFonts w:cs="Times New Roman"/>
          <w:szCs w:val="20"/>
        </w:rPr>
        <w:t xml:space="preserve">można </w:t>
      </w:r>
      <w:r w:rsidRPr="005B7745">
        <w:rPr>
          <w:rFonts w:cs="Times New Roman"/>
          <w:szCs w:val="20"/>
        </w:rPr>
        <w:t>dokonać potrąceń według zasad określonych w DP-T14 cz. 1 Nawierzchnie Asfaltowe.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9. PODSTAWA PŁATNOŚCI</w:t>
      </w:r>
    </w:p>
    <w:p w:rsidR="005C2A73" w:rsidRPr="005B7745" w:rsidRDefault="009F59A6" w:rsidP="005B7745">
      <w:pPr>
        <w:spacing w:after="0"/>
        <w:rPr>
          <w:rFonts w:cs="Times New Roman"/>
          <w:szCs w:val="20"/>
        </w:rPr>
      </w:pPr>
      <w:r w:rsidRPr="005B7745">
        <w:rPr>
          <w:rFonts w:cs="Times New Roman"/>
          <w:szCs w:val="20"/>
        </w:rPr>
        <w:t>Nie dotyczy.</w:t>
      </w:r>
    </w:p>
    <w:p w:rsidR="005C2A73" w:rsidRPr="005B7745" w:rsidRDefault="009F59A6" w:rsidP="005B7745">
      <w:pPr>
        <w:spacing w:after="0"/>
        <w:rPr>
          <w:rFonts w:cs="Times New Roman"/>
          <w:b/>
          <w:szCs w:val="20"/>
        </w:rPr>
      </w:pPr>
      <w:r w:rsidRPr="005B7745">
        <w:rPr>
          <w:rFonts w:cs="Times New Roman"/>
          <w:b/>
          <w:szCs w:val="20"/>
        </w:rPr>
        <w:t>10. PRZEPISY ZWIĄZANE</w:t>
      </w:r>
    </w:p>
    <w:p w:rsidR="005C2A73" w:rsidRPr="00511112" w:rsidRDefault="009F59A6" w:rsidP="005B7745">
      <w:pPr>
        <w:spacing w:after="0"/>
        <w:rPr>
          <w:rStyle w:val="FontStyle41"/>
          <w:b/>
          <w:color w:val="auto"/>
        </w:rPr>
      </w:pPr>
      <w:r w:rsidRPr="00511112">
        <w:rPr>
          <w:rFonts w:cs="Times New Roman"/>
          <w:b/>
          <w:szCs w:val="20"/>
        </w:rPr>
        <w:t>10.1.</w:t>
      </w:r>
      <w:r w:rsidRPr="00511112">
        <w:rPr>
          <w:rFonts w:cs="Times New Roman"/>
          <w:b/>
          <w:szCs w:val="20"/>
        </w:rPr>
        <w:tab/>
        <w:t>NORMY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6662"/>
      </w:tblGrid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13043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Kruszywa do mieszanek bitumicznych i powierzchniowych utrwaleń stosowanych na drogach, lotniskach i innych powierzchniach przeznaczonych do ruchu.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196-2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Metody badania cementu - Analiza chemiczna cementu.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196-6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Metody badania cementu - Oznaczanie stopnia zmielenia.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459-2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Wapno budowlane - Część 2: Metody badań.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932-3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podstawowych właściwości kruszyw - Procedura i terminologia uproszczonego opisu petrograficznego.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932-5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 xml:space="preserve">Badania podstawowych właściwości  kruszyw - Część 5: Wyposażenie </w:t>
            </w:r>
            <w:proofErr w:type="spellStart"/>
            <w:r w:rsidRPr="005B7745">
              <w:rPr>
                <w:rStyle w:val="FontStyle41"/>
                <w:color w:val="auto"/>
              </w:rPr>
              <w:t>podstawowei</w:t>
            </w:r>
            <w:proofErr w:type="spellEnd"/>
            <w:r w:rsidRPr="005B7745">
              <w:rPr>
                <w:rStyle w:val="FontStyle41"/>
                <w:color w:val="auto"/>
              </w:rPr>
              <w:t xml:space="preserve"> wzorcowanie.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Oznaczanie składu ziarnowego – Metoda przesiewania.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lastRenderedPageBreak/>
              <w:t>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Oznaczanie składu ziarnowego – Nominalne wymiary otworów sit badawczych.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Oznaczanie kształtu ziaren za pomocą wskaźnika płaskości.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Część 4: Oznaczanie kształtu ziaren – Wskaźnik kształtu.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 xml:space="preserve">Badania geometrycznych właściwości kruszyw - Oznaczanie procentowej zawartości ziaren powierzchniach powstałych w wyniku </w:t>
            </w:r>
            <w:proofErr w:type="spellStart"/>
            <w:r w:rsidRPr="005B7745">
              <w:rPr>
                <w:rStyle w:val="FontStyle41"/>
                <w:color w:val="auto"/>
              </w:rPr>
              <w:t>przekruszenia</w:t>
            </w:r>
            <w:proofErr w:type="spellEnd"/>
            <w:r w:rsidRPr="005B7745">
              <w:rPr>
                <w:rStyle w:val="FontStyle41"/>
                <w:color w:val="auto"/>
              </w:rPr>
              <w:t xml:space="preserve"> lub łamania kruszyw grubych.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Część 6: Ocena właściwości powierzchni - Wskaźnik przepływu kruszywa.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933-9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Ocena zawartości drobnych cząstek – Badania błękitem metylenowym.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933-10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geometrycznych właściwości kruszyw - Część 10: Ocena zawartości drobnych cząstek - Uziarnienie wypełniaczy (przesiewanie w strumieniu powietrza).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Metody oznaczania odporności na rozdrabianie.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Oznaczanie gęstości nasypowej jamistości.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Część 4: Oznaczanie pustych przestrzeni suchego, zagęszczonego wypełniacza.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Część 5: Oznaczanie zawartości wody przez suszenie w suszarce z wentylacją.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19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Część 6: Oznaczanie gęstości ziaren i nasiąkliwości.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1097-7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Część 7: Oznaczanie gęstości wypełniacza - Metoda piknometryczna.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1097-8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mechanicznych i fizycznych właściwości kruszyw - Część 8: Oznaczanie tolerowalności kamienia.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1367-1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właściwości cieplnych i odporności kruszyw na działanie czynników atmosferycznych - Część 1: Oznaczanie mrozoodporności.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1367-3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właściwości cieplnych i odporności kruszyw na działanie czynników atmosferycznych - Część 3: Badanie bazaltowej zgorzeli słonecznej metodą gotowania.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1367-6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właściwości cieplnych i odporności kruszyw na działanie czynników atmosferycznych -- Część 6: Mrozoodporność w obecności soli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12697-11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Mieszanki mineralno-asfaltowe - Metody badań mieszanek mineralno-asfaltowych na gorąco - Część 11: Określanie powiązania pomiędzy kruszywem i asfaltem.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1744-1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chemicznych właściwości kruszyw - Analiza chemiczna.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1744-4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chemicznych właściwości kruszyw - Część 4: Oznaczanie podatności wypełniaczy do mieszanek mineralno-asfaltowych na działanie wody.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13179-1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 xml:space="preserve">Badania kruszyw wypełniających stosowanych do mieszanek bitumicznych - Część </w:t>
            </w:r>
            <w:r w:rsidRPr="005B7745">
              <w:rPr>
                <w:rStyle w:val="FontStyle41"/>
                <w:color w:val="auto"/>
                <w:spacing w:val="30"/>
              </w:rPr>
              <w:t>I:</w:t>
            </w:r>
            <w:r w:rsidRPr="005B7745">
              <w:rPr>
                <w:rStyle w:val="FontStyle41"/>
                <w:color w:val="auto"/>
              </w:rPr>
              <w:t xml:space="preserve"> Badanie metodą Pierścienia i Kuli.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29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PN-EN 13179-2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Badania kruszyw wypełniających stosowanych do mieszanek bitumicznych - Część 2: Liczba bitumiczna.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PN-ISO 565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Sita kontrolne - Tkanina z drutu, blacha perforowana i blacha cienka perforowana elektrochemicznie - Wymiary nominalne oczek.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12591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Asfalty i produkty asfaltowe - Wymagania dla asfaltów drogowych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12597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Asfalty i produkty asfaltowe – Terminologia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13808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Zasady klasyfikacji kationowych emulsji asfaltowych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14023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Asfalty i lepiszcza asfaltowe - Zasady specyfikacji dla asfaltów modyfikowanych polimerami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13043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1: Zawartość lepiszcza rozpuszczalnego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2: Oznaczanie składu ziarnowego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38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3: Odzyskiwanie asfaltu - - Wyparka obrotowa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lastRenderedPageBreak/>
              <w:t>39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4: Odzyskiwanie asfaltu - Kolumna do destylacji frakcyjnej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5: Oznaczanie gęstości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6: Oznaczanie gęstości objętościowej metodą hydrostatyczną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8: Oznaczanie zawartości wolnej przestrzeni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12697-11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11: Określenie powiązania pomiędzy kruszywem i asfaltem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12697-12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badania mieszanek mineralno-asfaltowych na gorąco - Część 12: Określanie wrażliwości na wodę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12697-17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17: Ubytek ziaren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12697-18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18: Spływanie lepiszcza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12697-20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20: Penetracja próbek sześciennych lub Marshalla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22: Koleinowanie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49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badania mieszanek mineralno-asfaltowych na gorąco - Część 23: Określanie pośredniej wytrzymałości na rozciąganie próbek asfaltowych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24: Odporność na zmęczenie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26: Sztywność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12697-27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27: Pobieranie próbek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28: Przygotowanie próbek do oznaczania zawartości lepiszcza, zawartości wody i uziarnienia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12697-29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Metoda badania mieszanek mineralno-asfaltowych na gorąco - Część 29: Pomiar próbki z zagęszczonej mieszanki mineralno-asfaltowej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12697-30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30: Przygotowanie próbek zagęszczonych przez ubijanie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12697-33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33: Przygotowanie próbek zagęszczanych walcem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35: Mieszanie laboratoryjne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38: Podstawowe wyposażenie i kalibracja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59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12697-39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39: Oznaczanie zawartości lepiszcza rozpuszczalnego metodą spalania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12697-40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40: Wodoprzepuszczalność „in-situ"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61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12697-42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Metody badań mieszanek mineralno-asfaltowych na gorąco - Część 42: Zawartość zanieczyszczeń w destrukcie asfaltowym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62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 xml:space="preserve">Mieszanki mineralno-asfaltowe - Wymagania - Część </w:t>
            </w:r>
            <w:r w:rsidRPr="005B7745">
              <w:rPr>
                <w:rStyle w:val="FontStyle106"/>
                <w:color w:val="auto"/>
                <w:spacing w:val="30"/>
                <w:sz w:val="20"/>
                <w:szCs w:val="20"/>
              </w:rPr>
              <w:t>t:</w:t>
            </w:r>
            <w:r w:rsidRPr="005B7745">
              <w:rPr>
                <w:rStyle w:val="FontStyle106"/>
                <w:color w:val="auto"/>
                <w:sz w:val="20"/>
                <w:szCs w:val="20"/>
              </w:rPr>
              <w:t xml:space="preserve"> Beton asfaltowy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63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13108-2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– Wymagania. Część 2: Beton asfaltowy do bardzo cienkich warstw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64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13108-4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– Wymagania. Część 5: Mieszanka HRA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65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13108-5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– Wymagania. Część 5: Mieszanka SMA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66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13108-6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– Wymagania. Część 6: Asfalt lany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lastRenderedPageBreak/>
              <w:t>67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13108-7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Wymagania Część 7: Asfalt porowaty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68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13108-8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Wymagania Część 8: Destrukt asfaltowy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69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13108-20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- Wymagania Część 20: Badanie typu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Style w:val="FontStyle41"/>
                <w:color w:val="auto"/>
              </w:rPr>
            </w:pPr>
            <w:r w:rsidRPr="005B7745">
              <w:rPr>
                <w:rStyle w:val="FontStyle41"/>
                <w:color w:val="auto"/>
              </w:rPr>
              <w:t>70</w:t>
            </w:r>
          </w:p>
        </w:tc>
        <w:tc>
          <w:tcPr>
            <w:tcW w:w="1843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PN-EN 13108-21</w:t>
            </w:r>
          </w:p>
        </w:tc>
        <w:tc>
          <w:tcPr>
            <w:tcW w:w="6662" w:type="dxa"/>
          </w:tcPr>
          <w:p w:rsidR="005C2A73" w:rsidRPr="005B7745" w:rsidRDefault="009F59A6" w:rsidP="005B7745">
            <w:pPr>
              <w:spacing w:before="0" w:after="0"/>
              <w:rPr>
                <w:rStyle w:val="FontStyle106"/>
                <w:color w:val="auto"/>
                <w:sz w:val="20"/>
                <w:szCs w:val="20"/>
              </w:rPr>
            </w:pPr>
            <w:r w:rsidRPr="005B7745">
              <w:rPr>
                <w:rStyle w:val="FontStyle106"/>
                <w:color w:val="auto"/>
                <w:sz w:val="20"/>
                <w:szCs w:val="20"/>
              </w:rPr>
              <w:t>Mieszanki mineralno-asfaltowe – Wymagania. Część 21: Zakładowa Kontrola Produkcji</w:t>
            </w:r>
          </w:p>
        </w:tc>
      </w:tr>
    </w:tbl>
    <w:p w:rsidR="005C2A73" w:rsidRPr="00511112" w:rsidRDefault="009F59A6" w:rsidP="005B7745">
      <w:pPr>
        <w:spacing w:after="0"/>
        <w:rPr>
          <w:rFonts w:cs="Times New Roman"/>
          <w:b/>
          <w:szCs w:val="20"/>
        </w:rPr>
      </w:pPr>
      <w:r w:rsidRPr="00511112">
        <w:rPr>
          <w:rFonts w:cs="Times New Roman"/>
          <w:b/>
          <w:szCs w:val="20"/>
        </w:rPr>
        <w:t>10.2.</w:t>
      </w:r>
      <w:r w:rsidRPr="00511112">
        <w:rPr>
          <w:rFonts w:cs="Times New Roman"/>
          <w:b/>
          <w:szCs w:val="20"/>
        </w:rPr>
        <w:tab/>
        <w:t>INNE DOKUMENTY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5"/>
      </w:tblGrid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71</w:t>
            </w:r>
          </w:p>
        </w:tc>
        <w:tc>
          <w:tcPr>
            <w:tcW w:w="850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 xml:space="preserve">WT-1 „Kruszywa do mieszanek </w:t>
            </w:r>
            <w:proofErr w:type="spellStart"/>
            <w:r w:rsidRPr="005B7745">
              <w:rPr>
                <w:rFonts w:cs="Times New Roman"/>
                <w:szCs w:val="20"/>
              </w:rPr>
              <w:t>mineralno</w:t>
            </w:r>
            <w:proofErr w:type="spellEnd"/>
            <w:r w:rsidRPr="005B7745">
              <w:rPr>
                <w:rFonts w:cs="Times New Roman"/>
                <w:szCs w:val="20"/>
              </w:rPr>
              <w:t>–asfaltowych i powierzchniowych utrwaleń na drogach publicznych” WT-1  2014 Wymagania Techniczne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72</w:t>
            </w:r>
          </w:p>
        </w:tc>
        <w:tc>
          <w:tcPr>
            <w:tcW w:w="850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WT-2 „Nawierzchnie asfaltowe na drogach krajowych” WT-2 2014 część I listopad 2014  Mieszanki mineralno-asfaltowe Wymagania techniczne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73</w:t>
            </w:r>
          </w:p>
        </w:tc>
        <w:tc>
          <w:tcPr>
            <w:tcW w:w="850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WT-2 „Nawierzchnie asfaltowe na drogach krajowych” WT-2 2016 część II wrzesień 2016  Wykonanie warstw nawierzchni asfaltowych. Wymagania techniczne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74</w:t>
            </w:r>
          </w:p>
        </w:tc>
        <w:tc>
          <w:tcPr>
            <w:tcW w:w="8505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  <w:u w:val="single"/>
              </w:rPr>
            </w:pPr>
            <w:r w:rsidRPr="005B7745">
              <w:rPr>
                <w:rFonts w:cs="Times New Roman"/>
                <w:szCs w:val="20"/>
              </w:rPr>
              <w:t>KATALOG TYPOWYCH KONSTRUKCJI NAWIERZCHNI PODATNYCH i PÓŁSZTYWNYCH. Politechnika Gdańska - Katedra Inżynierii Drogowej 2014. Opracowany na zlecenie GDDKiA.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75</w:t>
            </w:r>
          </w:p>
        </w:tc>
        <w:tc>
          <w:tcPr>
            <w:tcW w:w="8505" w:type="dxa"/>
          </w:tcPr>
          <w:p w:rsidR="005C2A73" w:rsidRPr="005B7745" w:rsidRDefault="009C3370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Instrukcja DP-T14 „Ocena jakości na drogach krajowych, część I – roboty drogowe”</w:t>
            </w:r>
          </w:p>
        </w:tc>
      </w:tr>
      <w:tr w:rsidR="005C2A73" w:rsidRPr="005B7745">
        <w:tc>
          <w:tcPr>
            <w:tcW w:w="567" w:type="dxa"/>
          </w:tcPr>
          <w:p w:rsidR="005C2A73" w:rsidRPr="005B7745" w:rsidRDefault="009F59A6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76</w:t>
            </w:r>
          </w:p>
        </w:tc>
        <w:tc>
          <w:tcPr>
            <w:tcW w:w="8505" w:type="dxa"/>
          </w:tcPr>
          <w:p w:rsidR="005C2A73" w:rsidRPr="005B7745" w:rsidRDefault="009C3370" w:rsidP="005B7745">
            <w:pPr>
              <w:spacing w:before="0" w:after="0"/>
              <w:rPr>
                <w:rFonts w:cs="Times New Roman"/>
                <w:szCs w:val="20"/>
              </w:rPr>
            </w:pPr>
            <w:r w:rsidRPr="005B7745">
              <w:rPr>
                <w:rFonts w:cs="Times New Roman"/>
                <w:szCs w:val="20"/>
              </w:rPr>
              <w:t>Rozporządzenie Ministra Transportu i Gospodarki Morskiej z dnia 2 marca 1999 r. w sprawie warunków technicznych, jakim powinny odpowiadać drogi publiczne i ich usytuowanie (Dz. U. Nr 43, poz. 430, wraz z późniejszymi zmianami) – tekst jednolity Dz. U. z 2016 r. poz. 124</w:t>
            </w:r>
          </w:p>
        </w:tc>
      </w:tr>
    </w:tbl>
    <w:p w:rsidR="005C2A73" w:rsidRPr="005B7745" w:rsidRDefault="005C2A73" w:rsidP="005B7745">
      <w:pPr>
        <w:spacing w:after="0"/>
        <w:rPr>
          <w:rFonts w:cs="Times New Roman"/>
          <w:szCs w:val="20"/>
        </w:rPr>
      </w:pPr>
    </w:p>
    <w:sectPr w:rsidR="005C2A73" w:rsidRPr="005B7745" w:rsidSect="00566CB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10" w:right="1417" w:bottom="993" w:left="1417" w:header="567" w:footer="567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872" w:rsidRDefault="00875872">
      <w:r>
        <w:separator/>
      </w:r>
    </w:p>
  </w:endnote>
  <w:endnote w:type="continuationSeparator" w:id="0">
    <w:p w:rsidR="00875872" w:rsidRDefault="0087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Borders>
        <w:top w:val="single" w:sz="8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468"/>
    </w:tblGrid>
    <w:tr w:rsidR="005C2A73">
      <w:tc>
        <w:tcPr>
          <w:tcW w:w="9468" w:type="dxa"/>
        </w:tcPr>
        <w:p w:rsidR="005C2A73" w:rsidRDefault="009F59A6">
          <w:pPr>
            <w:pStyle w:val="Stopka"/>
            <w:jc w:val="center"/>
            <w:rPr>
              <w:rFonts w:cs="Times New Roman"/>
              <w:i/>
            </w:rPr>
          </w:pPr>
          <w:r>
            <w:rPr>
              <w:rStyle w:val="Numerstrony"/>
              <w:rFonts w:ascii="Times New Roman" w:hAnsi="Times New Roman" w:cs="Times New Roman"/>
              <w:i w:val="0"/>
            </w:rPr>
            <w:fldChar w:fldCharType="begin"/>
          </w:r>
          <w:r>
            <w:rPr>
              <w:rStyle w:val="Numerstrony"/>
              <w:rFonts w:ascii="Times New Roman" w:hAnsi="Times New Roman" w:cs="Times New Roman"/>
              <w:i w:val="0"/>
            </w:rPr>
            <w:instrText xml:space="preserve"> PAGE </w:instrTex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separate"/>
          </w:r>
          <w:r>
            <w:rPr>
              <w:rStyle w:val="Numerstrony"/>
              <w:rFonts w:ascii="Times New Roman" w:hAnsi="Times New Roman" w:cs="Times New Roman"/>
              <w:i w:val="0"/>
              <w:noProof/>
            </w:rPr>
            <w:t>240</w: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end"/>
          </w:r>
        </w:p>
      </w:tc>
    </w:tr>
  </w:tbl>
  <w:p w:rsidR="005C2A73" w:rsidRDefault="005C2A73">
    <w:pPr>
      <w:pStyle w:val="Tabel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CB9" w:rsidRDefault="00566CB9">
    <w:pPr>
      <w:pStyle w:val="Stopka"/>
      <w:jc w:val="right"/>
    </w:pPr>
  </w:p>
  <w:p w:rsidR="00566CB9" w:rsidRDefault="00566C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872" w:rsidRDefault="00875872">
      <w:r>
        <w:separator/>
      </w:r>
    </w:p>
  </w:footnote>
  <w:footnote w:type="continuationSeparator" w:id="0">
    <w:p w:rsidR="00875872" w:rsidRDefault="00875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3969"/>
      <w:gridCol w:w="2835"/>
      <w:gridCol w:w="2268"/>
    </w:tblGrid>
    <w:tr w:rsidR="005C2A73">
      <w:trPr>
        <w:trHeight w:val="290"/>
      </w:trPr>
      <w:tc>
        <w:tcPr>
          <w:tcW w:w="3969" w:type="dxa"/>
          <w:vAlign w:val="center"/>
        </w:tcPr>
        <w:p w:rsidR="005C2A73" w:rsidRDefault="009F59A6">
          <w:pPr>
            <w:pStyle w:val="Nagwek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Rozbudowa DK8 Radziejowice – granica województwa</w:t>
          </w:r>
        </w:p>
      </w:tc>
      <w:tc>
        <w:tcPr>
          <w:tcW w:w="0" w:type="auto"/>
          <w:vAlign w:val="center"/>
        </w:tcPr>
        <w:p w:rsidR="005C2A73" w:rsidRDefault="009F59A6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45233320-8</w:t>
          </w:r>
        </w:p>
      </w:tc>
      <w:tc>
        <w:tcPr>
          <w:tcW w:w="2268" w:type="dxa"/>
          <w:vAlign w:val="center"/>
        </w:tcPr>
        <w:p w:rsidR="005C2A73" w:rsidRDefault="009F59A6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D.04.07.01_Z1</w:t>
          </w:r>
        </w:p>
      </w:tc>
    </w:tr>
  </w:tbl>
  <w:p w:rsidR="005C2A73" w:rsidRDefault="005C2A73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A73" w:rsidRPr="005B7745" w:rsidRDefault="005B7745" w:rsidP="005B7745">
    <w:pPr>
      <w:pStyle w:val="Nagwek"/>
      <w:pBdr>
        <w:bottom w:val="single" w:sz="4" w:space="1" w:color="auto"/>
      </w:pBdr>
      <w:jc w:val="center"/>
      <w:rPr>
        <w:rFonts w:cs="Times New Roman"/>
        <w:sz w:val="16"/>
        <w:szCs w:val="16"/>
      </w:rPr>
    </w:pPr>
    <w:r w:rsidRPr="005B7745">
      <w:rPr>
        <w:rFonts w:cs="Times New Roman"/>
        <w:sz w:val="16"/>
        <w:szCs w:val="16"/>
      </w:rPr>
      <w:t>M.30.01.05</w:t>
    </w:r>
    <w:r w:rsidRPr="005B7745">
      <w:rPr>
        <w:rFonts w:cs="Times New Roman"/>
        <w:sz w:val="16"/>
        <w:szCs w:val="16"/>
      </w:rPr>
      <w:tab/>
      <w:t>NAWIERZCHNIA JEZDNI MOSTOWEJ Z ASFALTU LANEGO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124E21"/>
    <w:multiLevelType w:val="hybridMultilevel"/>
    <w:tmpl w:val="F93608E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 w15:restartNumberingAfterBreak="0">
    <w:nsid w:val="006B289C"/>
    <w:multiLevelType w:val="hybridMultilevel"/>
    <w:tmpl w:val="2A36AD5C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B254D4"/>
    <w:multiLevelType w:val="hybridMultilevel"/>
    <w:tmpl w:val="6988DE94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BC643E"/>
    <w:multiLevelType w:val="hybridMultilevel"/>
    <w:tmpl w:val="77707112"/>
    <w:lvl w:ilvl="0" w:tplc="637AC24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A1F7E"/>
    <w:multiLevelType w:val="hybridMultilevel"/>
    <w:tmpl w:val="3124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D42886"/>
    <w:multiLevelType w:val="hybridMultilevel"/>
    <w:tmpl w:val="91807EC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983A79"/>
    <w:multiLevelType w:val="hybridMultilevel"/>
    <w:tmpl w:val="D20A6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E32047"/>
    <w:multiLevelType w:val="multilevel"/>
    <w:tmpl w:val="B7B4E29C"/>
    <w:lvl w:ilvl="0">
      <w:start w:val="1"/>
      <w:numFmt w:val="decimal"/>
      <w:pStyle w:val="Nagwek1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86"/>
        </w:tabs>
        <w:ind w:left="1135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165072A"/>
    <w:multiLevelType w:val="hybridMultilevel"/>
    <w:tmpl w:val="0B6ED5B6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320CD0"/>
    <w:multiLevelType w:val="hybridMultilevel"/>
    <w:tmpl w:val="9522B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7D4B35"/>
    <w:multiLevelType w:val="hybridMultilevel"/>
    <w:tmpl w:val="CC5C9844"/>
    <w:lvl w:ilvl="0" w:tplc="394462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A715C5"/>
    <w:multiLevelType w:val="hybridMultilevel"/>
    <w:tmpl w:val="A1164C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1BA2520D"/>
    <w:multiLevelType w:val="hybridMultilevel"/>
    <w:tmpl w:val="F572C8BA"/>
    <w:lvl w:ilvl="0" w:tplc="637AC24A">
      <w:start w:val="1"/>
      <w:numFmt w:val="bullet"/>
      <w:lvlText w:val="­"/>
      <w:lvlJc w:val="left"/>
      <w:pPr>
        <w:ind w:left="8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0" w15:restartNumberingAfterBreak="0">
    <w:nsid w:val="20A64166"/>
    <w:multiLevelType w:val="hybridMultilevel"/>
    <w:tmpl w:val="4F90DF8E"/>
    <w:lvl w:ilvl="0" w:tplc="214496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CB0E4E"/>
    <w:multiLevelType w:val="hybridMultilevel"/>
    <w:tmpl w:val="7D74605E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8565E2"/>
    <w:multiLevelType w:val="hybridMultilevel"/>
    <w:tmpl w:val="AE5CABE2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E06E64"/>
    <w:multiLevelType w:val="hybridMultilevel"/>
    <w:tmpl w:val="A6A0B5A8"/>
    <w:lvl w:ilvl="0" w:tplc="637AC24A">
      <w:start w:val="1"/>
      <w:numFmt w:val="bullet"/>
      <w:lvlText w:val="­"/>
      <w:lvlJc w:val="left"/>
      <w:pPr>
        <w:ind w:left="101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4" w15:restartNumberingAfterBreak="0">
    <w:nsid w:val="280209D5"/>
    <w:multiLevelType w:val="hybridMultilevel"/>
    <w:tmpl w:val="045C7C1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BA92EDA"/>
    <w:multiLevelType w:val="hybridMultilevel"/>
    <w:tmpl w:val="A9906F22"/>
    <w:lvl w:ilvl="0" w:tplc="F63E319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18"/>
      </w:rPr>
    </w:lvl>
    <w:lvl w:ilvl="1" w:tplc="D4C4FF32">
      <w:start w:val="1"/>
      <w:numFmt w:val="bullet"/>
      <w:lvlText w:val="­"/>
      <w:lvlJc w:val="left"/>
      <w:pPr>
        <w:tabs>
          <w:tab w:val="num" w:pos="397"/>
        </w:tabs>
        <w:ind w:left="794" w:hanging="397"/>
      </w:pPr>
      <w:rPr>
        <w:rFonts w:ascii="Courier New" w:hAnsi="Courier New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F9E7519"/>
    <w:multiLevelType w:val="hybridMultilevel"/>
    <w:tmpl w:val="20A25CFE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483BFF"/>
    <w:multiLevelType w:val="hybridMultilevel"/>
    <w:tmpl w:val="2CF05CD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3E598E"/>
    <w:multiLevelType w:val="hybridMultilevel"/>
    <w:tmpl w:val="B4442BC4"/>
    <w:lvl w:ilvl="0" w:tplc="637AC24A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E017A4"/>
    <w:multiLevelType w:val="hybridMultilevel"/>
    <w:tmpl w:val="64103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9E2D8D"/>
    <w:multiLevelType w:val="hybridMultilevel"/>
    <w:tmpl w:val="82B60C04"/>
    <w:lvl w:ilvl="0" w:tplc="214496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2B836C6"/>
    <w:multiLevelType w:val="hybridMultilevel"/>
    <w:tmpl w:val="EBE2C026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BB203B"/>
    <w:multiLevelType w:val="hybridMultilevel"/>
    <w:tmpl w:val="55B46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04460"/>
    <w:multiLevelType w:val="hybridMultilevel"/>
    <w:tmpl w:val="C7129FA2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761A3A"/>
    <w:multiLevelType w:val="hybridMultilevel"/>
    <w:tmpl w:val="8DAA594A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A99"/>
    <w:multiLevelType w:val="hybridMultilevel"/>
    <w:tmpl w:val="10805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62B0D"/>
    <w:multiLevelType w:val="hybridMultilevel"/>
    <w:tmpl w:val="B3BE0660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87316"/>
    <w:multiLevelType w:val="hybridMultilevel"/>
    <w:tmpl w:val="39083BDA"/>
    <w:lvl w:ilvl="0" w:tplc="706EC8B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C2FEC"/>
    <w:multiLevelType w:val="hybridMultilevel"/>
    <w:tmpl w:val="06FC5362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A072A29E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F373A"/>
    <w:multiLevelType w:val="hybridMultilevel"/>
    <w:tmpl w:val="C98C8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F2EA9"/>
    <w:multiLevelType w:val="hybridMultilevel"/>
    <w:tmpl w:val="6F06D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D271453"/>
    <w:multiLevelType w:val="hybridMultilevel"/>
    <w:tmpl w:val="F51A6E62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7"/>
  </w:num>
  <w:num w:numId="4">
    <w:abstractNumId w:val="9"/>
  </w:num>
  <w:num w:numId="5">
    <w:abstractNumId w:val="36"/>
  </w:num>
  <w:num w:numId="6">
    <w:abstractNumId w:val="28"/>
  </w:num>
  <w:num w:numId="7">
    <w:abstractNumId w:val="25"/>
  </w:num>
  <w:num w:numId="8">
    <w:abstractNumId w:val="42"/>
  </w:num>
  <w:num w:numId="9">
    <w:abstractNumId w:val="10"/>
  </w:num>
  <w:num w:numId="10">
    <w:abstractNumId w:val="8"/>
  </w:num>
  <w:num w:numId="11">
    <w:abstractNumId w:val="21"/>
  </w:num>
  <w:num w:numId="12">
    <w:abstractNumId w:val="19"/>
  </w:num>
  <w:num w:numId="13">
    <w:abstractNumId w:val="23"/>
  </w:num>
  <w:num w:numId="14">
    <w:abstractNumId w:val="7"/>
  </w:num>
  <w:num w:numId="15">
    <w:abstractNumId w:val="38"/>
  </w:num>
  <w:num w:numId="16">
    <w:abstractNumId w:val="12"/>
  </w:num>
  <w:num w:numId="17">
    <w:abstractNumId w:val="22"/>
  </w:num>
  <w:num w:numId="18">
    <w:abstractNumId w:val="27"/>
  </w:num>
  <w:num w:numId="19">
    <w:abstractNumId w:val="45"/>
  </w:num>
  <w:num w:numId="20">
    <w:abstractNumId w:val="30"/>
  </w:num>
  <w:num w:numId="21">
    <w:abstractNumId w:val="16"/>
  </w:num>
  <w:num w:numId="22">
    <w:abstractNumId w:val="41"/>
  </w:num>
  <w:num w:numId="23">
    <w:abstractNumId w:val="32"/>
  </w:num>
  <w:num w:numId="24">
    <w:abstractNumId w:val="34"/>
  </w:num>
  <w:num w:numId="25">
    <w:abstractNumId w:val="43"/>
  </w:num>
  <w:num w:numId="26">
    <w:abstractNumId w:val="13"/>
  </w:num>
  <w:num w:numId="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1"/>
  </w:num>
  <w:num w:numId="29">
    <w:abstractNumId w:val="24"/>
  </w:num>
  <w:num w:numId="30">
    <w:abstractNumId w:val="18"/>
  </w:num>
  <w:num w:numId="31">
    <w:abstractNumId w:val="29"/>
  </w:num>
  <w:num w:numId="32">
    <w:abstractNumId w:val="17"/>
  </w:num>
  <w:num w:numId="33">
    <w:abstractNumId w:val="20"/>
  </w:num>
  <w:num w:numId="34">
    <w:abstractNumId w:val="31"/>
  </w:num>
  <w:num w:numId="35">
    <w:abstractNumId w:val="44"/>
  </w:num>
  <w:num w:numId="36">
    <w:abstractNumId w:val="46"/>
  </w:num>
  <w:num w:numId="37">
    <w:abstractNumId w:val="39"/>
  </w:num>
  <w:num w:numId="38">
    <w:abstractNumId w:val="40"/>
  </w:num>
  <w:num w:numId="39">
    <w:abstractNumId w:val="33"/>
  </w:num>
  <w:num w:numId="40">
    <w:abstractNumId w:val="15"/>
  </w:num>
  <w:num w:numId="41">
    <w:abstractNumId w:val="26"/>
  </w:num>
  <w:num w:numId="42">
    <w:abstractNumId w:val="6"/>
  </w:num>
  <w:num w:numId="43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A73"/>
    <w:rsid w:val="00362ACA"/>
    <w:rsid w:val="00511112"/>
    <w:rsid w:val="00554DD2"/>
    <w:rsid w:val="00566CB9"/>
    <w:rsid w:val="005B7745"/>
    <w:rsid w:val="005C2A73"/>
    <w:rsid w:val="00875872"/>
    <w:rsid w:val="0087701B"/>
    <w:rsid w:val="009C3370"/>
    <w:rsid w:val="009F59A6"/>
    <w:rsid w:val="00CE1AB0"/>
    <w:rsid w:val="00CE6966"/>
    <w:rsid w:val="00DC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60ADF"/>
  <w15:docId w15:val="{0EAAEAC9-A9D0-4991-9C1F-D2D6CC19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tabs>
        <w:tab w:val="left" w:pos="397"/>
        <w:tab w:val="left" w:pos="567"/>
        <w:tab w:val="left" w:pos="737"/>
      </w:tabs>
      <w:spacing w:after="60"/>
      <w:jc w:val="both"/>
    </w:pPr>
    <w:rPr>
      <w:rFonts w:cs="Arial"/>
      <w:bCs/>
      <w:iCs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pPr>
      <w:keepNext/>
      <w:numPr>
        <w:numId w:val="1"/>
      </w:numPr>
      <w:spacing w:before="360"/>
      <w:jc w:val="left"/>
      <w:outlineLvl w:val="0"/>
    </w:pPr>
    <w:rPr>
      <w:b/>
      <w:bCs w:val="0"/>
      <w:kern w:val="24"/>
      <w:sz w:val="22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pPr>
      <w:keepNext/>
      <w:numPr>
        <w:ilvl w:val="1"/>
        <w:numId w:val="1"/>
      </w:numPr>
      <w:tabs>
        <w:tab w:val="clear" w:pos="397"/>
      </w:tabs>
      <w:spacing w:before="240"/>
      <w:outlineLvl w:val="1"/>
    </w:pPr>
    <w:rPr>
      <w:b/>
      <w:bCs w:val="0"/>
      <w:iCs w:val="0"/>
      <w:kern w:val="24"/>
      <w:sz w:val="22"/>
    </w:rPr>
  </w:style>
  <w:style w:type="paragraph" w:styleId="Nagwek3">
    <w:name w:val="heading 3"/>
    <w:basedOn w:val="Normalny"/>
    <w:next w:val="Normalny"/>
    <w:link w:val="Nagwek3Znak1"/>
    <w:qFormat/>
    <w:pPr>
      <w:keepNext/>
      <w:numPr>
        <w:ilvl w:val="2"/>
        <w:numId w:val="1"/>
      </w:numPr>
      <w:tabs>
        <w:tab w:val="clear" w:pos="397"/>
        <w:tab w:val="clear" w:pos="567"/>
      </w:tabs>
      <w:spacing w:before="120"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397"/>
      </w:tabs>
      <w:spacing w:before="120"/>
      <w:outlineLvl w:val="3"/>
    </w:pPr>
    <w:rPr>
      <w:rFonts w:cs="Times New Roman"/>
      <w:b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2"/>
      </w:numPr>
      <w:spacing w:before="240" w:after="120"/>
      <w:outlineLvl w:val="4"/>
    </w:pPr>
    <w:rPr>
      <w:i/>
    </w:rPr>
  </w:style>
  <w:style w:type="paragraph" w:styleId="Nagwek6">
    <w:name w:val="heading 6"/>
    <w:basedOn w:val="Normalny"/>
    <w:next w:val="Normalny"/>
    <w:qFormat/>
    <w:pPr>
      <w:numPr>
        <w:ilvl w:val="5"/>
        <w:numId w:val="2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2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2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2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Pr>
      <w:b w:val="0"/>
    </w:rPr>
  </w:style>
  <w:style w:type="paragraph" w:customStyle="1" w:styleId="StylNormalny">
    <w:name w:val="Styl Normalny"/>
    <w:basedOn w:val="Normalny"/>
    <w:pPr>
      <w:spacing w:before="240"/>
    </w:pPr>
  </w:style>
  <w:style w:type="paragraph" w:styleId="Nagwek">
    <w:name w:val="header"/>
    <w:aliases w:val="Nagłówek strony"/>
    <w:basedOn w:val="Normalny"/>
    <w:pPr>
      <w:tabs>
        <w:tab w:val="clear" w:pos="567"/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lear" w:pos="567"/>
        <w:tab w:val="center" w:pos="4536"/>
        <w:tab w:val="right" w:pos="9072"/>
      </w:tabs>
    </w:pPr>
  </w:style>
  <w:style w:type="paragraph" w:customStyle="1" w:styleId="normalny3">
    <w:name w:val="normalny 3"/>
    <w:basedOn w:val="Normalny"/>
    <w:link w:val="normalny3Znak"/>
    <w:pPr>
      <w:tabs>
        <w:tab w:val="clear" w:pos="567"/>
      </w:tabs>
      <w:spacing w:before="60"/>
    </w:pPr>
  </w:style>
  <w:style w:type="paragraph" w:customStyle="1" w:styleId="Tabela">
    <w:name w:val="Tabela"/>
    <w:basedOn w:val="Normalny"/>
    <w:link w:val="TabelaZnak"/>
    <w:pPr>
      <w:spacing w:before="120" w:after="0"/>
      <w:jc w:val="center"/>
    </w:pPr>
    <w:rPr>
      <w:sz w:val="18"/>
    </w:rPr>
  </w:style>
  <w:style w:type="paragraph" w:customStyle="1" w:styleId="TytuSST">
    <w:name w:val="Tytuł SST"/>
    <w:basedOn w:val="Normalny"/>
    <w:pPr>
      <w:tabs>
        <w:tab w:val="clear" w:pos="397"/>
        <w:tab w:val="clear" w:pos="567"/>
        <w:tab w:val="clear" w:pos="737"/>
        <w:tab w:val="left" w:pos="2126"/>
      </w:tabs>
      <w:spacing w:before="60"/>
      <w:jc w:val="center"/>
    </w:pPr>
    <w:rPr>
      <w:sz w:val="22"/>
      <w:u w:val="single"/>
    </w:rPr>
  </w:style>
  <w:style w:type="table" w:styleId="Tabela-Siatka">
    <w:name w:val="Table Grid"/>
    <w:basedOn w:val="Standardowy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Pr>
      <w:rFonts w:ascii="Arial" w:hAnsi="Arial"/>
      <w:i/>
      <w:sz w:val="20"/>
    </w:rPr>
  </w:style>
  <w:style w:type="character" w:customStyle="1" w:styleId="StopkaZnak">
    <w:name w:val="Stopka Znak"/>
    <w:basedOn w:val="Domylnaczcionkaakapitu"/>
    <w:link w:val="Stopka"/>
    <w:uiPriority w:val="99"/>
    <w:rPr>
      <w:rFonts w:cs="Arial"/>
      <w:bCs/>
      <w:iCs/>
      <w:szCs w:val="24"/>
      <w:lang w:val="pl-PL" w:eastAsia="pl-PL" w:bidi="ar-SA"/>
    </w:rPr>
  </w:style>
  <w:style w:type="paragraph" w:customStyle="1" w:styleId="Kropka">
    <w:name w:val="Kropka"/>
    <w:basedOn w:val="Normalny"/>
    <w:pPr>
      <w:tabs>
        <w:tab w:val="clear" w:pos="567"/>
      </w:tabs>
      <w:ind w:left="284" w:hanging="284"/>
    </w:pPr>
  </w:style>
  <w:style w:type="paragraph" w:customStyle="1" w:styleId="11Pogrubienie">
    <w:name w:val="1.1. Pogrubienie"/>
    <w:basedOn w:val="Normalny"/>
    <w:link w:val="11PogrubienieZnakZnak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basedOn w:val="Domylnaczcionkaakapitu"/>
    <w:link w:val="11Pogrubienie"/>
    <w:rPr>
      <w:rFonts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basedOn w:val="Domylnaczcionkaakapitu"/>
    <w:link w:val="normalny3"/>
    <w:rPr>
      <w:rFonts w:cs="Arial"/>
      <w:bCs/>
      <w:iCs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pPr>
      <w:spacing w:before="240"/>
    </w:pPr>
  </w:style>
  <w:style w:type="character" w:customStyle="1" w:styleId="Normal12Znak">
    <w:name w:val="Normal 12 Znak"/>
    <w:basedOn w:val="Domylnaczcionkaakapitu"/>
    <w:link w:val="Normal12"/>
    <w:rPr>
      <w:rFonts w:cs="Arial"/>
      <w:bCs/>
      <w:iCs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pPr>
      <w:spacing w:before="240"/>
    </w:pPr>
  </w:style>
  <w:style w:type="character" w:customStyle="1" w:styleId="Normal1Znak">
    <w:name w:val="Normal 1 Znak"/>
    <w:basedOn w:val="Domylnaczcionkaakapitu"/>
    <w:link w:val="Normal1"/>
    <w:rPr>
      <w:rFonts w:cs="Arial"/>
      <w:bCs/>
      <w:iCs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pPr>
      <w:tabs>
        <w:tab w:val="left" w:pos="340"/>
      </w:tabs>
    </w:pPr>
  </w:style>
  <w:style w:type="character" w:customStyle="1" w:styleId="Nagwek2Znak1">
    <w:name w:val="Nagłówek 2 Znak1"/>
    <w:aliases w:val="Title 2 Znak Znak Znak1,Title 2 Znak"/>
    <w:basedOn w:val="Domylnaczcionkaakapitu"/>
    <w:link w:val="Nagwek2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basedOn w:val="Domylnaczcionkaakapitu"/>
    <w:link w:val="Nagwek3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basedOn w:val="Domylnaczcionkaakapitu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pPr>
      <w:tabs>
        <w:tab w:val="clear" w:pos="567"/>
      </w:tabs>
      <w:spacing w:before="100" w:after="100" w:line="360" w:lineRule="auto"/>
    </w:pPr>
  </w:style>
  <w:style w:type="character" w:styleId="Hipercze">
    <w:name w:val="Hyperlink"/>
    <w:basedOn w:val="Domylnaczcionkaakapitu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Pr>
      <w:b w:val="0"/>
      <w:iCs w:val="0"/>
    </w:rPr>
  </w:style>
  <w:style w:type="paragraph" w:customStyle="1" w:styleId="StylNagwek3NiePogrubienie1">
    <w:name w:val="Styl Nagłówek 3 + Nie Pogrubienie1"/>
    <w:basedOn w:val="Nagwek3"/>
    <w:rPr>
      <w:b w:val="0"/>
      <w:iCs w:val="0"/>
    </w:rPr>
  </w:style>
  <w:style w:type="character" w:customStyle="1" w:styleId="Nagwek1Title1ZnakZnak">
    <w:name w:val="Nagłówek 1;Title 1 Znak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basedOn w:val="Domylnaczcionkaakapitu"/>
    <w:link w:val="Tabela"/>
    <w:rPr>
      <w:rFonts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basedOn w:val="Domylnaczcionkaakapitu"/>
    <w:link w:val="Styl1"/>
    <w:rPr>
      <w:rFonts w:cs="Arial"/>
      <w:bCs/>
      <w:iCs/>
      <w:szCs w:val="24"/>
      <w:lang w:val="pl-PL" w:eastAsia="pl-PL" w:bidi="ar-SA"/>
    </w:rPr>
  </w:style>
  <w:style w:type="character" w:customStyle="1" w:styleId="spelle">
    <w:name w:val="spelle"/>
    <w:basedOn w:val="Domylnaczcionkaakapitu"/>
  </w:style>
  <w:style w:type="paragraph" w:customStyle="1" w:styleId="normalny0">
    <w:name w:val="normalny 0"/>
    <w:basedOn w:val="Normalny"/>
    <w:link w:val="normalny0Znak"/>
    <w:pPr>
      <w:tabs>
        <w:tab w:val="left" w:pos="510"/>
        <w:tab w:val="left" w:pos="624"/>
        <w:tab w:val="left" w:pos="851"/>
      </w:tabs>
    </w:pPr>
  </w:style>
  <w:style w:type="character" w:customStyle="1" w:styleId="normalny0Znak">
    <w:name w:val="normalny 0 Znak"/>
    <w:basedOn w:val="Domylnaczcionkaakapitu"/>
    <w:link w:val="normalny0"/>
    <w:rPr>
      <w:rFonts w:cs="Arial"/>
      <w:bCs/>
      <w:iCs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pPr>
      <w:ind w:firstLine="567"/>
    </w:pPr>
  </w:style>
  <w:style w:type="character" w:customStyle="1" w:styleId="StylPierwszywiersz05cmZnak">
    <w:name w:val="Styl Pierwszy wiersz:  05 cm Znak"/>
    <w:basedOn w:val="Domylnaczcionkaakapitu"/>
    <w:link w:val="StylPierwszywiersz05cm"/>
    <w:rPr>
      <w:rFonts w:cs="Arial"/>
      <w:bCs/>
      <w:iCs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pPr>
      <w:ind w:firstLine="567"/>
    </w:pPr>
    <w:rPr>
      <w:szCs w:val="20"/>
    </w:rPr>
  </w:style>
  <w:style w:type="character" w:customStyle="1" w:styleId="StylPierwszywiersz1cmZnak">
    <w:name w:val="Styl Pierwszy wiersz:  1 cm Znak"/>
    <w:basedOn w:val="Domylnaczcionkaakapitu"/>
    <w:link w:val="StylPierwszywiersz1cm"/>
    <w:rPr>
      <w:rFonts w:cs="Arial"/>
      <w:bCs/>
      <w:iCs/>
      <w:lang w:val="pl-PL" w:eastAsia="pl-PL" w:bidi="ar-SA"/>
    </w:rPr>
  </w:style>
  <w:style w:type="paragraph" w:customStyle="1" w:styleId="StylNagwek1Wyjustowany">
    <w:name w:val="Styl Nagłówek 1 + Wyjustowany"/>
    <w:basedOn w:val="Nagwek1"/>
    <w:pPr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Pr>
      <w:szCs w:val="20"/>
    </w:rPr>
  </w:style>
  <w:style w:type="paragraph" w:styleId="Listapunktowana3">
    <w:name w:val="List Bullet 3"/>
    <w:basedOn w:val="Normalny"/>
    <w:pPr>
      <w:tabs>
        <w:tab w:val="num" w:pos="926"/>
      </w:tabs>
      <w:ind w:left="926" w:hanging="360"/>
    </w:pPr>
  </w:style>
  <w:style w:type="character" w:customStyle="1" w:styleId="Nagwek3Znak">
    <w:name w:val="Nagłówek 3 Znak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pPr>
      <w:tabs>
        <w:tab w:val="num" w:pos="397"/>
      </w:tabs>
      <w:ind w:left="397" w:hanging="397"/>
    </w:pPr>
  </w:style>
  <w:style w:type="paragraph" w:customStyle="1" w:styleId="11Normal1">
    <w:name w:val="1.1. Normal 1"/>
    <w:basedOn w:val="Normalny"/>
    <w:link w:val="11Normal1Znak"/>
    <w:pPr>
      <w:spacing w:before="240"/>
    </w:pPr>
  </w:style>
  <w:style w:type="character" w:customStyle="1" w:styleId="11Normal1Znak">
    <w:name w:val="1.1. Normal 1 Znak"/>
    <w:basedOn w:val="Domylnaczcionkaakapitu"/>
    <w:link w:val="11Normal1"/>
    <w:rPr>
      <w:rFonts w:cs="Arial"/>
      <w:bCs/>
      <w:iCs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Pr>
      <w:b/>
      <w:bCs w:val="0"/>
    </w:rPr>
  </w:style>
  <w:style w:type="character" w:customStyle="1" w:styleId="Styl11Normal1PogrubienieZnak">
    <w:name w:val="Styl 1.1. Normal 1 + Pogrubienie Znak"/>
    <w:basedOn w:val="11Normal1Znak"/>
    <w:link w:val="Styl11Normal1Pogrubienie"/>
    <w:rPr>
      <w:rFonts w:cs="Arial"/>
      <w:b/>
      <w:bCs/>
      <w:iCs/>
      <w:szCs w:val="24"/>
      <w:lang w:val="pl-PL" w:eastAsia="pl-PL" w:bidi="ar-SA"/>
    </w:rPr>
  </w:style>
  <w:style w:type="paragraph" w:customStyle="1" w:styleId="Norm12">
    <w:name w:val="Norm 12"/>
    <w:basedOn w:val="Normalny"/>
    <w:pPr>
      <w:spacing w:before="240"/>
    </w:pPr>
  </w:style>
  <w:style w:type="character" w:customStyle="1" w:styleId="StylWyjustowanyZnak">
    <w:name w:val="Styl Wyjustowany Znak"/>
    <w:basedOn w:val="Domylnaczcionkaakapitu"/>
    <w:link w:val="StylWyjustowany"/>
    <w:rPr>
      <w:rFonts w:cs="Arial"/>
      <w:bCs/>
      <w:iCs/>
      <w:lang w:val="pl-PL" w:eastAsia="pl-PL" w:bidi="ar-SA"/>
    </w:rPr>
  </w:style>
  <w:style w:type="paragraph" w:customStyle="1" w:styleId="Wyjust12">
    <w:name w:val="Wyjust 12"/>
    <w:basedOn w:val="StylWyjustowany"/>
    <w:pPr>
      <w:spacing w:before="240"/>
    </w:pPr>
  </w:style>
  <w:style w:type="paragraph" w:customStyle="1" w:styleId="Tekst">
    <w:name w:val="Tekst"/>
    <w:basedOn w:val="Normalny"/>
    <w:link w:val="TekstZnak"/>
    <w:pPr>
      <w:suppressLineNumbers/>
      <w:tabs>
        <w:tab w:val="left" w:pos="0"/>
        <w:tab w:val="left" w:pos="1134"/>
        <w:tab w:val="left" w:leader="dot" w:pos="1701"/>
        <w:tab w:val="right" w:pos="9354"/>
      </w:tabs>
      <w:spacing w:line="200" w:lineRule="atLeast"/>
      <w:textAlignment w:val="top"/>
    </w:pPr>
    <w:rPr>
      <w:kern w:val="1"/>
    </w:rPr>
  </w:style>
  <w:style w:type="character" w:customStyle="1" w:styleId="TekstZnak">
    <w:name w:val="Tekst Znak"/>
    <w:basedOn w:val="Domylnaczcionkaakapitu"/>
    <w:link w:val="Tekst"/>
    <w:rPr>
      <w:rFonts w:cs="Arial"/>
      <w:bCs/>
      <w:iCs/>
      <w:kern w:val="1"/>
      <w:szCs w:val="24"/>
      <w:lang w:val="pl-PL" w:bidi="ar-SA"/>
    </w:rPr>
  </w:style>
  <w:style w:type="paragraph" w:styleId="Listapunktowana2">
    <w:name w:val="List Bullet 2"/>
    <w:basedOn w:val="Normalny"/>
    <w:autoRedefine/>
    <w:pPr>
      <w:numPr>
        <w:numId w:val="2"/>
      </w:numPr>
    </w:pPr>
  </w:style>
  <w:style w:type="paragraph" w:styleId="Legenda">
    <w:name w:val="caption"/>
    <w:basedOn w:val="Normalny"/>
    <w:next w:val="Normalny"/>
    <w:qFormat/>
  </w:style>
  <w:style w:type="paragraph" w:customStyle="1" w:styleId="Kreska">
    <w:name w:val="Kreska"/>
    <w:basedOn w:val="Normalny"/>
    <w:pPr>
      <w:ind w:left="284" w:hanging="284"/>
    </w:pPr>
  </w:style>
  <w:style w:type="paragraph" w:styleId="Lista">
    <w:name w:val="List"/>
    <w:basedOn w:val="Normalny"/>
    <w:pPr>
      <w:spacing w:line="360" w:lineRule="exact"/>
      <w:ind w:left="284" w:hanging="284"/>
    </w:pPr>
  </w:style>
  <w:style w:type="paragraph" w:styleId="Lista2">
    <w:name w:val="List 2"/>
    <w:basedOn w:val="Normalny"/>
    <w:pPr>
      <w:ind w:left="566" w:hanging="283"/>
    </w:pPr>
  </w:style>
  <w:style w:type="paragraph" w:customStyle="1" w:styleId="Standardowypodkrelony">
    <w:name w:val="Standardowy_podkreślony"/>
    <w:basedOn w:val="Normalny"/>
    <w:pPr>
      <w:tabs>
        <w:tab w:val="clear" w:pos="567"/>
      </w:tabs>
      <w:spacing w:line="360" w:lineRule="exact"/>
    </w:pPr>
    <w:rPr>
      <w:u w:val="single"/>
    </w:rPr>
  </w:style>
  <w:style w:type="paragraph" w:customStyle="1" w:styleId="Wzr">
    <w:name w:val="Wzór"/>
    <w:basedOn w:val="Normalny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pPr>
      <w:keepNext/>
      <w:spacing w:after="120"/>
    </w:pPr>
    <w:rPr>
      <w:b/>
      <w:caps/>
    </w:rPr>
  </w:style>
  <w:style w:type="paragraph" w:styleId="Zwrotpoegnalny">
    <w:name w:val="Closing"/>
    <w:basedOn w:val="Normalny"/>
    <w:pPr>
      <w:ind w:left="4252"/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2">
    <w:name w:val="Body Text 2"/>
    <w:basedOn w:val="Normalny"/>
    <w:rPr>
      <w:b/>
    </w:rPr>
  </w:style>
  <w:style w:type="paragraph" w:customStyle="1" w:styleId="Rysunek">
    <w:name w:val="Rysunek"/>
    <w:basedOn w:val="Normalny"/>
    <w:pPr>
      <w:spacing w:line="240" w:lineRule="atLeast"/>
    </w:pPr>
  </w:style>
  <w:style w:type="paragraph" w:customStyle="1" w:styleId="Tekstcourier">
    <w:name w:val="Tekst_courier"/>
    <w:basedOn w:val="Zwykytekst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left"/>
    </w:pPr>
  </w:style>
  <w:style w:type="paragraph" w:customStyle="1" w:styleId="Tekstpodstawowy1">
    <w:name w:val="Tekst podstawowy1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Pr>
      <w:rFonts w:cs="Arial"/>
      <w:bCs/>
      <w:iCs/>
      <w:lang w:val="pl-PL" w:eastAsia="pl-PL" w:bidi="ar-SA"/>
    </w:rPr>
  </w:style>
  <w:style w:type="paragraph" w:customStyle="1" w:styleId="NORM0">
    <w:name w:val="NORM 0"/>
    <w:basedOn w:val="Normalny"/>
    <w:link w:val="NORM0Znak"/>
    <w:pPr>
      <w:tabs>
        <w:tab w:val="left" w:pos="284"/>
        <w:tab w:val="left" w:pos="851"/>
      </w:tabs>
    </w:pPr>
    <w:rPr>
      <w:rFonts w:cs="Times New Roman"/>
      <w:sz w:val="24"/>
    </w:rPr>
  </w:style>
  <w:style w:type="character" w:customStyle="1" w:styleId="NORM0Znak">
    <w:name w:val="NORM 0 Znak"/>
    <w:basedOn w:val="Domylnaczcionkaakapitu"/>
    <w:link w:val="NORM0"/>
    <w:rPr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basedOn w:val="Nagwek2Znak"/>
    <w:link w:val="StylNagwek2Pogrubienie"/>
    <w:rPr>
      <w:rFonts w:cs="Arial"/>
      <w:b/>
      <w:bCs/>
      <w:kern w:val="24"/>
      <w:sz w:val="22"/>
      <w:szCs w:val="24"/>
      <w:lang w:val="pl-PL" w:eastAsia="pl-PL" w:bidi="ar-SA"/>
    </w:rPr>
  </w:style>
  <w:style w:type="paragraph" w:styleId="Tekstprzypisudolnego">
    <w:name w:val="footnote text"/>
    <w:aliases w:val="Tekst przypisu"/>
    <w:basedOn w:val="Normalny"/>
    <w:semiHidden/>
    <w:pPr>
      <w:tabs>
        <w:tab w:val="clear" w:pos="567"/>
      </w:tabs>
      <w:jc w:val="left"/>
    </w:pPr>
    <w:rPr>
      <w:rFonts w:ascii="Arial" w:hAnsi="Arial"/>
    </w:rPr>
  </w:style>
  <w:style w:type="paragraph" w:styleId="Data">
    <w:name w:val="Date"/>
    <w:basedOn w:val="Normalny"/>
    <w:next w:val="Normalny"/>
    <w:pPr>
      <w:jc w:val="left"/>
    </w:p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customStyle="1" w:styleId="7">
    <w:name w:val="7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6">
    <w:name w:val="6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5">
    <w:name w:val="5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4">
    <w:name w:val="4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3">
    <w:name w:val="3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2">
    <w:name w:val="2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">
    <w:name w:val="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8">
    <w:name w:val="8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1">
    <w:name w:val="1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0">
    <w:name w:val="10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9">
    <w:name w:val="9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Normalny1">
    <w:name w:val="Normalny1"/>
    <w:basedOn w:val="Normalny"/>
    <w:link w:val="normalZnak"/>
    <w:pPr>
      <w:spacing w:before="240"/>
    </w:pPr>
  </w:style>
  <w:style w:type="character" w:customStyle="1" w:styleId="normalZnak">
    <w:name w:val="normal Znak"/>
    <w:basedOn w:val="Domylnaczcionkaakapitu"/>
    <w:link w:val="Normalny1"/>
    <w:rPr>
      <w:rFonts w:cs="Arial"/>
      <w:bCs/>
      <w:iCs/>
      <w:szCs w:val="24"/>
      <w:lang w:val="pl-PL" w:eastAsia="pl-PL" w:bidi="ar-SA"/>
    </w:rPr>
  </w:style>
  <w:style w:type="paragraph" w:customStyle="1" w:styleId="norm00">
    <w:name w:val="norm 0"/>
    <w:basedOn w:val="Normalny"/>
  </w:style>
  <w:style w:type="character" w:customStyle="1" w:styleId="Nagwek1Znak1">
    <w:name w:val="Nagłówek 1 Znak1"/>
    <w:aliases w:val="Title 1 Znak"/>
    <w:basedOn w:val="Domylnaczcionkaakapitu"/>
    <w:link w:val="Nagwek1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basedOn w:val="Domylnaczcionkaakapitu"/>
    <w:rPr>
      <w:b/>
    </w:rPr>
  </w:style>
  <w:style w:type="paragraph" w:customStyle="1" w:styleId="StylTytuSSTZlewej0cmWysunicie375cm">
    <w:name w:val="Styl Tytuł SST + Z lewej:  0 cm Wysunięcie:  375 cm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basedOn w:val="Domylnaczcionkaakapitu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basedOn w:val="Domylnaczcionkaakapitu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basedOn w:val="Domylnaczcionkaakapitu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pPr>
      <w:tabs>
        <w:tab w:val="left" w:pos="355"/>
      </w:tabs>
      <w:overflowPunct/>
      <w:adjustRightInd/>
      <w:ind w:right="360"/>
      <w:jc w:val="right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pPr>
      <w:numPr>
        <w:numId w:val="4"/>
      </w:numPr>
    </w:pPr>
  </w:style>
  <w:style w:type="numbering" w:customStyle="1" w:styleId="Punktowane2">
    <w:name w:val="Punktowane2"/>
    <w:basedOn w:val="Bezlisty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Pr>
      <w:b w:val="0"/>
      <w:iCs w:val="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basedOn w:val="Domylnaczcionkaakapitu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basedOn w:val="Domylnaczcionkaakapitu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basedOn w:val="Domylnaczcionkaakapitu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pPr>
      <w:tabs>
        <w:tab w:val="clear" w:pos="2126"/>
      </w:tabs>
    </w:pPr>
    <w:rPr>
      <w:b/>
      <w:sz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Pr>
      <w:szCs w:val="20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pPr>
      <w:ind w:left="709"/>
    </w:pPr>
  </w:style>
  <w:style w:type="paragraph" w:customStyle="1" w:styleId="Styl2">
    <w:name w:val="Styl2"/>
    <w:basedOn w:val="Tekstpodstawowy"/>
    <w:next w:val="Standardowytekst"/>
  </w:style>
  <w:style w:type="character" w:customStyle="1" w:styleId="StylNormalny1210ptNiePogrubienieZnak">
    <w:name w:val="Styl Normalny 12 + 10 pt Nie Pogrubienie Znak"/>
    <w:basedOn w:val="Normalny12Znak"/>
    <w:link w:val="StylNormalny1210ptNiePogrubienie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customStyle="1" w:styleId="Komentarz">
    <w:name w:val="Komentarz"/>
    <w:basedOn w:val="Normalny"/>
    <w:rPr>
      <w:i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semiHidden/>
    <w:pPr>
      <w:tabs>
        <w:tab w:val="clear" w:pos="567"/>
      </w:tabs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clear" w:pos="567"/>
      </w:tabs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semiHidden/>
    <w:pPr>
      <w:tabs>
        <w:tab w:val="clear" w:pos="567"/>
      </w:tabs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semiHidden/>
    <w:pPr>
      <w:tabs>
        <w:tab w:val="clear" w:pos="567"/>
      </w:tabs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pPr>
      <w:tabs>
        <w:tab w:val="clear" w:pos="567"/>
      </w:tabs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pPr>
      <w:tabs>
        <w:tab w:val="clear" w:pos="567"/>
      </w:tabs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pPr>
      <w:tabs>
        <w:tab w:val="clear" w:pos="567"/>
      </w:tabs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pPr>
      <w:tabs>
        <w:tab w:val="clear" w:pos="567"/>
      </w:tabs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pPr>
      <w:tabs>
        <w:tab w:val="clear" w:pos="567"/>
      </w:tabs>
      <w:ind w:left="1920"/>
      <w:jc w:val="left"/>
    </w:pPr>
    <w:rPr>
      <w:sz w:val="18"/>
    </w:r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tabs>
        <w:tab w:val="clear" w:pos="567"/>
      </w:tabs>
    </w:pPr>
    <w:rPr>
      <w:b/>
      <w:sz w:val="28"/>
    </w:rPr>
  </w:style>
  <w:style w:type="paragraph" w:customStyle="1" w:styleId="Tekstpodstawowy31">
    <w:name w:val="Tekst podstawowy 31"/>
    <w:basedOn w:val="Normalny"/>
    <w:pPr>
      <w:tabs>
        <w:tab w:val="clear" w:pos="567"/>
      </w:tabs>
    </w:pPr>
    <w:rPr>
      <w:b/>
      <w:sz w:val="28"/>
    </w:rPr>
  </w:style>
  <w:style w:type="paragraph" w:customStyle="1" w:styleId="a">
    <w:name w:val="Ś"/>
    <w:basedOn w:val="Stopka"/>
    <w:pPr>
      <w:tabs>
        <w:tab w:val="clear" w:pos="397"/>
        <w:tab w:val="clear" w:pos="737"/>
        <w:tab w:val="clear" w:pos="4536"/>
        <w:tab w:val="clear" w:pos="9072"/>
      </w:tabs>
      <w:spacing w:before="40"/>
      <w:jc w:val="right"/>
    </w:pPr>
    <w:rPr>
      <w:rFonts w:ascii="Arial" w:hAnsi="Arial"/>
      <w:i/>
      <w:sz w:val="16"/>
      <w:szCs w:val="16"/>
    </w:rPr>
  </w:style>
  <w:style w:type="paragraph" w:styleId="Tekstpodstawowywcity2">
    <w:name w:val="Body Text Indent 2"/>
    <w:basedOn w:val="Normalny"/>
    <w:pPr>
      <w:tabs>
        <w:tab w:val="clear" w:pos="737"/>
        <w:tab w:val="left" w:pos="291"/>
        <w:tab w:val="left" w:pos="723"/>
        <w:tab w:val="left" w:pos="1560"/>
      </w:tabs>
      <w:ind w:left="1560" w:hanging="405"/>
    </w:pPr>
  </w:style>
  <w:style w:type="paragraph" w:styleId="Tekstkomentarza">
    <w:name w:val="annotation text"/>
    <w:basedOn w:val="Normalny"/>
    <w:semiHidden/>
  </w:style>
  <w:style w:type="paragraph" w:customStyle="1" w:styleId="tytu">
    <w:name w:val="tytuł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pPr>
      <w:numPr>
        <w:numId w:val="0"/>
      </w:num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basedOn w:val="Nagwek1Znak1"/>
    <w:link w:val="StylNagwek1Po0pt"/>
    <w:rPr>
      <w:rFonts w:cs="Arial"/>
      <w:b/>
      <w:bCs/>
      <w:iCs/>
      <w:kern w:val="24"/>
      <w:sz w:val="22"/>
      <w:szCs w:val="24"/>
      <w:lang w:val="pl-PL" w:eastAsia="pl-PL" w:bidi="ar-SA"/>
    </w:rPr>
  </w:style>
  <w:style w:type="paragraph" w:customStyle="1" w:styleId="Nagwek2Pogrubienie">
    <w:name w:val="Nagłówek 2 + Pogrubienie"/>
    <w:basedOn w:val="Nagwek2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</w:style>
  <w:style w:type="paragraph" w:customStyle="1" w:styleId="Mylnik1">
    <w:name w:val="Myślnik 1"/>
    <w:basedOn w:val="Mylnik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pPr>
      <w:tabs>
        <w:tab w:val="clear" w:pos="737"/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basedOn w:val="Domylnaczcionkaakapitu"/>
    <w:link w:val="Normalny12"/>
    <w:rPr>
      <w:rFonts w:cs="Arial"/>
      <w:b/>
      <w:bCs/>
      <w:iCs/>
      <w:szCs w:val="24"/>
      <w:lang w:val="pl-PL" w:eastAsia="pl-PL" w:bidi="ar-SA"/>
    </w:rPr>
  </w:style>
  <w:style w:type="paragraph" w:styleId="Poprawka">
    <w:name w:val="Revision"/>
    <w:basedOn w:val="Normalny"/>
    <w:next w:val="Normalny"/>
    <w:pPr>
      <w:tabs>
        <w:tab w:val="clear" w:pos="737"/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pPr>
      <w:spacing w:line="360" w:lineRule="auto"/>
      <w:jc w:val="left"/>
    </w:pPr>
  </w:style>
  <w:style w:type="paragraph" w:customStyle="1" w:styleId="normal0">
    <w:name w:val="normal 0"/>
    <w:basedOn w:val="Normalny"/>
  </w:style>
  <w:style w:type="paragraph" w:customStyle="1" w:styleId="StylNormalny1210ptNiePogrubienie">
    <w:name w:val="Styl Normalny 12 + 10 pt Nie Pogrubienie"/>
    <w:basedOn w:val="Normalny12"/>
    <w:link w:val="StylNormalny1210ptNiePogrubienieZnak"/>
    <w:pPr>
      <w:tabs>
        <w:tab w:val="clear" w:pos="3"/>
        <w:tab w:val="clear" w:pos="147"/>
        <w:tab w:val="clear" w:pos="723"/>
        <w:tab w:val="clear" w:pos="1011"/>
        <w:tab w:val="left" w:pos="1985"/>
      </w:tabs>
    </w:pPr>
  </w:style>
  <w:style w:type="paragraph" w:customStyle="1" w:styleId="tekstost0">
    <w:name w:val="tekstost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StylTytuSSTPogrubienie">
    <w:name w:val="Styl Tytuł SST + Pogrubienie"/>
    <w:basedOn w:val="TytuSST"/>
    <w:pPr>
      <w:spacing w:after="240"/>
    </w:pPr>
    <w:rPr>
      <w:b/>
      <w:iCs w:val="0"/>
    </w:rPr>
  </w:style>
  <w:style w:type="character" w:customStyle="1" w:styleId="Nagwek1Znak">
    <w:name w:val="Nagłówek 1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pPr>
      <w:spacing w:before="20" w:after="20"/>
      <w:jc w:val="center"/>
    </w:pPr>
    <w:rPr>
      <w:rFonts w:cs="Times New Roman"/>
      <w:bCs w:val="0"/>
      <w:iCs w:val="0"/>
      <w:sz w:val="18"/>
      <w:szCs w:val="20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szCs w:val="20"/>
    </w:rPr>
  </w:style>
  <w:style w:type="paragraph" w:customStyle="1" w:styleId="podpkt11">
    <w:name w:val="pod_pkt1.1"/>
    <w:basedOn w:val="Normalny"/>
    <w:autoRedefine/>
    <w:pPr>
      <w:keepNext/>
      <w:widowControl w:val="0"/>
      <w:tabs>
        <w:tab w:val="clear" w:pos="397"/>
        <w:tab w:val="clear" w:pos="567"/>
        <w:tab w:val="clear" w:pos="737"/>
      </w:tabs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iCs w:val="0"/>
      <w:sz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eading3Char">
    <w:name w:val="Heading 3 Char"/>
    <w:uiPriority w:val="99"/>
    <w:locked/>
    <w:rPr>
      <w:rFonts w:ascii="Century Gothic" w:hAnsi="Century Gothic" w:cs="Arial"/>
      <w:b/>
      <w:bCs/>
      <w:sz w:val="26"/>
      <w:szCs w:val="26"/>
      <w:lang w:val="pl-PL" w:eastAsia="pl-PL" w:bidi="ar-SA"/>
    </w:rPr>
  </w:style>
  <w:style w:type="paragraph" w:customStyle="1" w:styleId="punkt11">
    <w:name w:val="punkt 1.1"/>
    <w:basedOn w:val="Normalny"/>
    <w:link w:val="punkt11Znak"/>
    <w:qFormat/>
    <w:pPr>
      <w:tabs>
        <w:tab w:val="clear" w:pos="397"/>
        <w:tab w:val="clear" w:pos="567"/>
        <w:tab w:val="clear" w:pos="737"/>
      </w:tabs>
      <w:spacing w:before="240" w:after="120"/>
    </w:pPr>
    <w:rPr>
      <w:rFonts w:ascii="Arial" w:hAnsi="Arial" w:cs="Times New Roman"/>
      <w:b/>
      <w:bCs w:val="0"/>
      <w:iCs w:val="0"/>
      <w:caps/>
      <w:smallCaps/>
      <w:szCs w:val="20"/>
    </w:rPr>
  </w:style>
  <w:style w:type="character" w:customStyle="1" w:styleId="punkt11Znak">
    <w:name w:val="punkt 1.1 Znak"/>
    <w:link w:val="punkt11"/>
    <w:locked/>
    <w:rPr>
      <w:rFonts w:ascii="Arial" w:hAnsi="Arial"/>
      <w:b/>
      <w:caps/>
      <w:smallCaps/>
    </w:rPr>
  </w:style>
  <w:style w:type="paragraph" w:customStyle="1" w:styleId="Style8">
    <w:name w:val="Style8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 w:line="266" w:lineRule="exact"/>
      <w:ind w:hanging="1793"/>
      <w:jc w:val="left"/>
    </w:pPr>
    <w:rPr>
      <w:rFonts w:ascii="Arial" w:hAnsi="Arial"/>
      <w:bCs w:val="0"/>
      <w:iCs w:val="0"/>
      <w:sz w:val="24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6">
    <w:name w:val="Font Style106"/>
    <w:uiPriority w:val="9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ystians\Dane%20aplikacji\Microsoft\Templates\Arcad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2912-4E78-4073-81B2-F1E20279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Arcadis.dot</Template>
  <TotalTime>16</TotalTime>
  <Pages>1</Pages>
  <Words>4568</Words>
  <Characters>27410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31915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WT-LD Kraków</dc:creator>
  <cp:lastModifiedBy>User</cp:lastModifiedBy>
  <cp:revision>15</cp:revision>
  <cp:lastPrinted>2019-02-22T13:13:00Z</cp:lastPrinted>
  <dcterms:created xsi:type="dcterms:W3CDTF">2016-08-25T12:49:00Z</dcterms:created>
  <dcterms:modified xsi:type="dcterms:W3CDTF">2019-02-22T13:13:00Z</dcterms:modified>
</cp:coreProperties>
</file>