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6DC8" w:rsidRPr="00D42776" w:rsidRDefault="009E0C2C" w:rsidP="009E0C2C">
      <w:pPr>
        <w:jc w:val="both"/>
        <w:rPr>
          <w:rFonts w:eastAsia="Calibri"/>
          <w:b/>
          <w:sz w:val="20"/>
          <w:lang w:eastAsia="en-US"/>
        </w:rPr>
      </w:pPr>
      <w:bookmarkStart w:id="0" w:name="_Toc404150096"/>
      <w:bookmarkStart w:id="1" w:name="_Toc416830698"/>
      <w:bookmarkStart w:id="2" w:name="_Toc149616876"/>
      <w:r w:rsidRPr="009E0C2C">
        <w:rPr>
          <w:rFonts w:eastAsia="Calibri"/>
          <w:b/>
          <w:sz w:val="20"/>
          <w:lang w:eastAsia="en-US"/>
        </w:rPr>
        <w:t xml:space="preserve">M-13.02.01. </w:t>
      </w:r>
      <w:r w:rsidRPr="009E0C2C">
        <w:rPr>
          <w:rFonts w:eastAsia="Calibri"/>
          <w:b/>
          <w:sz w:val="20"/>
          <w:lang w:eastAsia="en-US"/>
        </w:rPr>
        <w:tab/>
      </w:r>
      <w:r w:rsidRPr="00D42776">
        <w:rPr>
          <w:b/>
          <w:sz w:val="20"/>
        </w:rPr>
        <w:t>BETON KLASY PONIŻEJ C20/25</w:t>
      </w:r>
    </w:p>
    <w:p w:rsidR="00E86DC8" w:rsidRPr="00D42776" w:rsidRDefault="00E86DC8" w:rsidP="009E0C2C">
      <w:pPr>
        <w:jc w:val="both"/>
        <w:rPr>
          <w:b/>
          <w:sz w:val="20"/>
        </w:rPr>
      </w:pPr>
    </w:p>
    <w:p w:rsidR="00E86DC8" w:rsidRPr="009E0C2C" w:rsidRDefault="009E0C2C" w:rsidP="009E0C2C">
      <w:pPr>
        <w:jc w:val="both"/>
        <w:rPr>
          <w:b/>
          <w:sz w:val="20"/>
        </w:rPr>
      </w:pPr>
      <w:r w:rsidRPr="009E0C2C">
        <w:rPr>
          <w:b/>
          <w:sz w:val="20"/>
        </w:rPr>
        <w:t>1. WSTĘP</w:t>
      </w:r>
      <w:bookmarkEnd w:id="0"/>
      <w:bookmarkEnd w:id="1"/>
      <w:bookmarkEnd w:id="2"/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sz w:val="20"/>
        </w:rPr>
        <w:t xml:space="preserve">Przedmiotem niniejszych </w:t>
      </w:r>
      <w:r w:rsidR="00D42776">
        <w:rPr>
          <w:sz w:val="20"/>
        </w:rPr>
        <w:t>SST</w:t>
      </w:r>
      <w:r w:rsidRPr="009E0C2C">
        <w:rPr>
          <w:sz w:val="20"/>
        </w:rPr>
        <w:t xml:space="preserve"> są dla robót związanych z wykonaniem oraz ułożeniem betonu niekonstrukcyjnego klasy poniżej C 20/25, w drogowych obiektach inżynierskich</w:t>
      </w:r>
      <w:r w:rsidR="00EF40A0">
        <w:rPr>
          <w:sz w:val="20"/>
        </w:rPr>
        <w:t>.</w:t>
      </w:r>
    </w:p>
    <w:p w:rsidR="00E86DC8" w:rsidRPr="009E0C2C" w:rsidRDefault="00E86DC8" w:rsidP="009E0C2C">
      <w:pPr>
        <w:jc w:val="both"/>
        <w:rPr>
          <w:sz w:val="20"/>
        </w:rPr>
      </w:pPr>
    </w:p>
    <w:p w:rsidR="00E86DC8" w:rsidRPr="009E0C2C" w:rsidRDefault="009E0C2C" w:rsidP="009E0C2C">
      <w:pPr>
        <w:jc w:val="both"/>
        <w:rPr>
          <w:b/>
          <w:i/>
          <w:sz w:val="20"/>
        </w:rPr>
      </w:pPr>
      <w:r w:rsidRPr="009E0C2C">
        <w:rPr>
          <w:b/>
          <w:sz w:val="20"/>
        </w:rPr>
        <w:t>1.1. Określenia podstawowe</w:t>
      </w:r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b/>
          <w:sz w:val="20"/>
        </w:rPr>
        <w:t>Beton niekonstrukcyjny</w:t>
      </w:r>
      <w:r w:rsidRPr="009E0C2C">
        <w:rPr>
          <w:sz w:val="20"/>
        </w:rPr>
        <w:t xml:space="preserve"> – beton w elementach obiektu mostowego, ustalonych w dokumentacji projektowej, o wytrzymałości mniejszej niż wytrzymałość betonu klasy C20/25.</w:t>
      </w:r>
    </w:p>
    <w:p w:rsidR="00E86DC8" w:rsidRPr="009E0C2C" w:rsidRDefault="00E86DC8" w:rsidP="009E0C2C">
      <w:pPr>
        <w:jc w:val="both"/>
        <w:rPr>
          <w:b/>
          <w:sz w:val="20"/>
        </w:rPr>
      </w:pPr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sz w:val="20"/>
        </w:rPr>
        <w:t xml:space="preserve">Pozostałe określenia podstawowe są zgodne z obowiązującymi, odpowiednimi polskimi normami </w:t>
      </w:r>
      <w:r w:rsidRPr="009E0C2C">
        <w:rPr>
          <w:sz w:val="20"/>
        </w:rPr>
        <w:br/>
        <w:t>i z definicjami podanymi w D-M.00.00.00 „Wymagania ogólne” oraz z M-13.01.00.</w:t>
      </w:r>
    </w:p>
    <w:p w:rsidR="00E86DC8" w:rsidRPr="009E0C2C" w:rsidRDefault="00E86DC8" w:rsidP="009E0C2C">
      <w:pPr>
        <w:jc w:val="both"/>
        <w:rPr>
          <w:i/>
          <w:sz w:val="20"/>
        </w:rPr>
      </w:pPr>
    </w:p>
    <w:p w:rsidR="00E86DC8" w:rsidRPr="009E0C2C" w:rsidRDefault="009E0C2C" w:rsidP="009E0C2C">
      <w:pPr>
        <w:jc w:val="both"/>
        <w:rPr>
          <w:b/>
          <w:sz w:val="20"/>
        </w:rPr>
      </w:pPr>
      <w:bookmarkStart w:id="3" w:name="_Toc149616877"/>
      <w:r w:rsidRPr="009E0C2C">
        <w:rPr>
          <w:b/>
          <w:sz w:val="20"/>
        </w:rPr>
        <w:t>2. MATERIAŁY</w:t>
      </w:r>
      <w:bookmarkEnd w:id="3"/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sz w:val="20"/>
        </w:rPr>
        <w:t xml:space="preserve">Ogólne wymagania dotyczące materiałów, ich pozyskiwania i składowania, podano w </w:t>
      </w:r>
      <w:r w:rsidR="00D42776">
        <w:rPr>
          <w:sz w:val="20"/>
        </w:rPr>
        <w:t>SST</w:t>
      </w:r>
      <w:r w:rsidRPr="009E0C2C">
        <w:rPr>
          <w:sz w:val="20"/>
        </w:rPr>
        <w:t xml:space="preserve"> </w:t>
      </w:r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sz w:val="20"/>
        </w:rPr>
        <w:t>D-M-00.00.00 „Wymagania ogólne”.</w:t>
      </w:r>
    </w:p>
    <w:p w:rsidR="00E86DC8" w:rsidRPr="009E0C2C" w:rsidRDefault="00E86DC8" w:rsidP="009E0C2C">
      <w:pPr>
        <w:jc w:val="both"/>
        <w:rPr>
          <w:sz w:val="20"/>
        </w:rPr>
      </w:pPr>
    </w:p>
    <w:p w:rsidR="00E86DC8" w:rsidRPr="009E0C2C" w:rsidRDefault="009E0C2C" w:rsidP="009E0C2C">
      <w:pPr>
        <w:jc w:val="both"/>
        <w:rPr>
          <w:b/>
          <w:i/>
          <w:sz w:val="20"/>
        </w:rPr>
      </w:pPr>
      <w:r w:rsidRPr="009E0C2C">
        <w:rPr>
          <w:b/>
          <w:sz w:val="20"/>
        </w:rPr>
        <w:t>2.1. Wytrzymałość betonu i klasy ekspozycji</w:t>
      </w:r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sz w:val="20"/>
        </w:rPr>
        <w:t xml:space="preserve">Beton powinien mieć wytrzymałość określoną klasą zgodną z dokumentacją projektową. </w:t>
      </w:r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sz w:val="20"/>
        </w:rPr>
        <w:t>Klasy ekspozycji wg PN-EN 206-1 dla betonu podłoża: X0</w:t>
      </w:r>
    </w:p>
    <w:p w:rsidR="00E86DC8" w:rsidRPr="009E0C2C" w:rsidRDefault="00E86DC8" w:rsidP="009E0C2C">
      <w:pPr>
        <w:jc w:val="both"/>
        <w:rPr>
          <w:i/>
          <w:sz w:val="20"/>
        </w:rPr>
      </w:pPr>
    </w:p>
    <w:p w:rsidR="00E86DC8" w:rsidRPr="009E0C2C" w:rsidRDefault="009E0C2C" w:rsidP="009E0C2C">
      <w:pPr>
        <w:jc w:val="both"/>
        <w:rPr>
          <w:b/>
          <w:i/>
          <w:sz w:val="20"/>
        </w:rPr>
      </w:pPr>
      <w:r w:rsidRPr="009E0C2C">
        <w:rPr>
          <w:b/>
          <w:sz w:val="20"/>
        </w:rPr>
        <w:t>2.2. Składniki mieszanki betonowej</w:t>
      </w:r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b/>
          <w:sz w:val="20"/>
        </w:rPr>
        <w:t>2.2.1.</w:t>
      </w:r>
      <w:r w:rsidRPr="009E0C2C">
        <w:rPr>
          <w:sz w:val="20"/>
        </w:rPr>
        <w:t xml:space="preserve"> Cement </w:t>
      </w:r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sz w:val="20"/>
        </w:rPr>
        <w:t>Do wykonania betonu klasy poniżej C20/25 powinien być stosowany cement klasy 32,5 spełniający wymagania normy PN-EN 197-1 i M-13.01.00.</w:t>
      </w:r>
    </w:p>
    <w:p w:rsidR="00E86DC8" w:rsidRPr="009E0C2C" w:rsidRDefault="00E86DC8" w:rsidP="009E0C2C">
      <w:pPr>
        <w:jc w:val="both"/>
        <w:rPr>
          <w:b/>
          <w:sz w:val="20"/>
        </w:rPr>
      </w:pPr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b/>
          <w:sz w:val="20"/>
        </w:rPr>
        <w:t>2.2.2.</w:t>
      </w:r>
      <w:r w:rsidRPr="009E0C2C">
        <w:rPr>
          <w:sz w:val="20"/>
        </w:rPr>
        <w:t xml:space="preserve"> Kruszywo</w:t>
      </w:r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sz w:val="20"/>
        </w:rPr>
        <w:t xml:space="preserve">Kruszywo do wykonania betonu klasy poniżej C20/25 powinno odpowiadać wymaganiom normy </w:t>
      </w:r>
      <w:r w:rsidRPr="009E0C2C">
        <w:rPr>
          <w:sz w:val="20"/>
        </w:rPr>
        <w:br/>
        <w:t>PN-EN 12620 dla kruszyw do betonu i PN-EN 206. Ponadto kruszywo powinno spełniać poniższe wymagania:</w:t>
      </w:r>
    </w:p>
    <w:p w:rsidR="00E86DC8" w:rsidRPr="007D0F72" w:rsidRDefault="009E0C2C" w:rsidP="007D0F72">
      <w:pPr>
        <w:pStyle w:val="Akapitzlist"/>
        <w:numPr>
          <w:ilvl w:val="0"/>
          <w:numId w:val="30"/>
        </w:numPr>
        <w:ind w:hanging="153"/>
        <w:jc w:val="both"/>
        <w:rPr>
          <w:sz w:val="20"/>
        </w:rPr>
      </w:pPr>
      <w:r w:rsidRPr="007D0F72">
        <w:rPr>
          <w:sz w:val="20"/>
        </w:rPr>
        <w:t>jako kruszywo grube powinien być stosowane materiały o maksymalnym wymiarze ziarna nie większym niż 31,5 mm,</w:t>
      </w:r>
    </w:p>
    <w:p w:rsidR="00E86DC8" w:rsidRPr="007D0F72" w:rsidRDefault="009E0C2C" w:rsidP="007D0F72">
      <w:pPr>
        <w:pStyle w:val="Akapitzlist"/>
        <w:numPr>
          <w:ilvl w:val="0"/>
          <w:numId w:val="30"/>
        </w:numPr>
        <w:ind w:hanging="153"/>
        <w:jc w:val="both"/>
        <w:rPr>
          <w:sz w:val="20"/>
        </w:rPr>
      </w:pPr>
      <w:r w:rsidRPr="007D0F72">
        <w:rPr>
          <w:sz w:val="20"/>
        </w:rPr>
        <w:t>ziarna kruszywa nie powinny być większe niż 1/3 najmniejszego przekroju poprzecznego elementu i ¾ odległości w świetle między prętami zbrojenia, leżącymi w jednej płaszczyźnie prostopadłej do kierunku betonowania.</w:t>
      </w:r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sz w:val="20"/>
        </w:rPr>
        <w:t>Przed użyciem poszczególnych partii kruszywa do betonu konieczna jest akceptacja Inżyniera, która powinna być wydana na podstawie:</w:t>
      </w:r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sz w:val="20"/>
        </w:rPr>
        <w:t xml:space="preserve">a) krajowej deklaracji zgodności z Polską Normą, nie mającą statusu normy wycofanej lub Aprobatą Techniczną i oznaczenia znakiem budowlanym albo deklaracji zgodności z Polską Normą wprowadzającą normę zharmonizowaną na wyrób budowlany lub Europejską Aprobatą Techniczną oraz oznaczenia CE </w:t>
      </w:r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sz w:val="20"/>
        </w:rPr>
        <w:t>b) przeprowadzonych na budowie badań kruszywa obejmujących:</w:t>
      </w:r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sz w:val="20"/>
        </w:rPr>
        <w:t xml:space="preserve">oznaczenie składu ziarnowego wg PN-EN 933-1, </w:t>
      </w:r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sz w:val="20"/>
        </w:rPr>
        <w:t>Wymagana kategoria w zależności od wymiaru ziarna:</w:t>
      </w:r>
    </w:p>
    <w:p w:rsidR="00E86DC8" w:rsidRPr="007D0F72" w:rsidRDefault="009E0C2C" w:rsidP="007D0F72">
      <w:pPr>
        <w:pStyle w:val="Akapitzlist"/>
        <w:numPr>
          <w:ilvl w:val="0"/>
          <w:numId w:val="31"/>
        </w:numPr>
        <w:ind w:hanging="153"/>
        <w:jc w:val="both"/>
        <w:rPr>
          <w:sz w:val="20"/>
        </w:rPr>
      </w:pPr>
      <w:r w:rsidRPr="007D0F72">
        <w:rPr>
          <w:sz w:val="20"/>
        </w:rPr>
        <w:t xml:space="preserve">kruszywo grube: dla </w:t>
      </w:r>
      <w:r w:rsidRPr="007D0F72">
        <w:rPr>
          <w:i/>
          <w:sz w:val="20"/>
        </w:rPr>
        <w:t>D/d</w:t>
      </w:r>
      <w:r w:rsidRPr="007D0F72">
        <w:rPr>
          <w:sz w:val="20"/>
        </w:rPr>
        <w:t xml:space="preserve"> ≤ 2 lub </w:t>
      </w:r>
      <w:r w:rsidRPr="007D0F72">
        <w:rPr>
          <w:i/>
          <w:sz w:val="20"/>
        </w:rPr>
        <w:t>D</w:t>
      </w:r>
      <w:r w:rsidRPr="007D0F72">
        <w:rPr>
          <w:sz w:val="20"/>
        </w:rPr>
        <w:t xml:space="preserve"> ≤ 11,2 mm nie niższa niż </w:t>
      </w:r>
      <w:r w:rsidRPr="007D0F72">
        <w:rPr>
          <w:i/>
          <w:sz w:val="20"/>
        </w:rPr>
        <w:t>G</w:t>
      </w:r>
      <w:r w:rsidRPr="007D0F72">
        <w:rPr>
          <w:sz w:val="20"/>
          <w:vertAlign w:val="subscript"/>
        </w:rPr>
        <w:t>C</w:t>
      </w:r>
      <w:r w:rsidRPr="007D0F72">
        <w:rPr>
          <w:sz w:val="20"/>
        </w:rPr>
        <w:t xml:space="preserve">85/20; dla </w:t>
      </w:r>
      <w:r w:rsidRPr="007D0F72">
        <w:rPr>
          <w:i/>
          <w:sz w:val="20"/>
        </w:rPr>
        <w:t>D/d</w:t>
      </w:r>
      <w:r w:rsidRPr="007D0F72">
        <w:rPr>
          <w:sz w:val="20"/>
        </w:rPr>
        <w:t xml:space="preserve"> &gt; 2 i </w:t>
      </w:r>
      <w:r w:rsidRPr="007D0F72">
        <w:rPr>
          <w:i/>
          <w:sz w:val="20"/>
        </w:rPr>
        <w:t xml:space="preserve">D </w:t>
      </w:r>
      <w:r w:rsidRPr="007D0F72">
        <w:rPr>
          <w:sz w:val="20"/>
        </w:rPr>
        <w:t xml:space="preserve">&gt; 11,2 mm nie niższa niż </w:t>
      </w:r>
      <w:r w:rsidRPr="007D0F72">
        <w:rPr>
          <w:i/>
          <w:sz w:val="20"/>
        </w:rPr>
        <w:t>G</w:t>
      </w:r>
      <w:r w:rsidRPr="007D0F72">
        <w:rPr>
          <w:sz w:val="20"/>
          <w:vertAlign w:val="subscript"/>
        </w:rPr>
        <w:t>C</w:t>
      </w:r>
      <w:r w:rsidRPr="007D0F72">
        <w:rPr>
          <w:sz w:val="20"/>
        </w:rPr>
        <w:t>90/15</w:t>
      </w:r>
      <w:bookmarkStart w:id="4" w:name="_GoBack"/>
      <w:bookmarkEnd w:id="4"/>
    </w:p>
    <w:p w:rsidR="00E86DC8" w:rsidRPr="007D0F72" w:rsidRDefault="009E0C2C" w:rsidP="007D0F72">
      <w:pPr>
        <w:pStyle w:val="Akapitzlist"/>
        <w:numPr>
          <w:ilvl w:val="0"/>
          <w:numId w:val="31"/>
        </w:numPr>
        <w:ind w:hanging="153"/>
        <w:jc w:val="both"/>
        <w:rPr>
          <w:sz w:val="20"/>
        </w:rPr>
      </w:pPr>
      <w:r w:rsidRPr="007D0F72">
        <w:rPr>
          <w:sz w:val="20"/>
        </w:rPr>
        <w:t>kruszywo drobne: wymagana kategoria G</w:t>
      </w:r>
      <w:r w:rsidRPr="007D0F72">
        <w:rPr>
          <w:sz w:val="20"/>
          <w:vertAlign w:val="subscript"/>
        </w:rPr>
        <w:t>F</w:t>
      </w:r>
      <w:r w:rsidRPr="007D0F72">
        <w:rPr>
          <w:sz w:val="20"/>
        </w:rPr>
        <w:t>85</w:t>
      </w:r>
    </w:p>
    <w:p w:rsidR="00E86DC8" w:rsidRPr="007D0F72" w:rsidRDefault="009E0C2C" w:rsidP="007D0F72">
      <w:pPr>
        <w:pStyle w:val="Akapitzlist"/>
        <w:numPr>
          <w:ilvl w:val="0"/>
          <w:numId w:val="31"/>
        </w:numPr>
        <w:ind w:hanging="153"/>
        <w:jc w:val="both"/>
        <w:rPr>
          <w:sz w:val="20"/>
        </w:rPr>
      </w:pPr>
      <w:r w:rsidRPr="007D0F72">
        <w:rPr>
          <w:sz w:val="20"/>
        </w:rPr>
        <w:t>oznaczenie zawartości pyłów mineralnych wg PN-EN 933-1 (wymagana kategoria: dla kruszywa grubego ≤f</w:t>
      </w:r>
      <w:r w:rsidRPr="007D0F72">
        <w:rPr>
          <w:sz w:val="20"/>
          <w:vertAlign w:val="subscript"/>
        </w:rPr>
        <w:t>1,5</w:t>
      </w:r>
      <w:r w:rsidRPr="007D0F72">
        <w:rPr>
          <w:sz w:val="20"/>
        </w:rPr>
        <w:t>; dla kruszywa drobnego ≤f</w:t>
      </w:r>
      <w:r w:rsidRPr="007D0F72">
        <w:rPr>
          <w:sz w:val="20"/>
          <w:vertAlign w:val="subscript"/>
        </w:rPr>
        <w:t>3</w:t>
      </w:r>
      <w:r w:rsidRPr="007D0F72">
        <w:rPr>
          <w:sz w:val="20"/>
        </w:rPr>
        <w:t>)</w:t>
      </w:r>
    </w:p>
    <w:p w:rsidR="00E86DC8" w:rsidRPr="007D0F72" w:rsidRDefault="009E0C2C" w:rsidP="007D0F72">
      <w:pPr>
        <w:pStyle w:val="Akapitzlist"/>
        <w:numPr>
          <w:ilvl w:val="0"/>
          <w:numId w:val="31"/>
        </w:numPr>
        <w:ind w:hanging="153"/>
        <w:jc w:val="both"/>
        <w:rPr>
          <w:sz w:val="20"/>
        </w:rPr>
      </w:pPr>
      <w:r w:rsidRPr="007D0F72">
        <w:rPr>
          <w:sz w:val="20"/>
        </w:rPr>
        <w:t xml:space="preserve">oznaczenie kształtu </w:t>
      </w:r>
      <w:proofErr w:type="spellStart"/>
      <w:r w:rsidRPr="007D0F72">
        <w:rPr>
          <w:sz w:val="20"/>
        </w:rPr>
        <w:t>ziarn</w:t>
      </w:r>
      <w:proofErr w:type="spellEnd"/>
      <w:r w:rsidRPr="007D0F72">
        <w:rPr>
          <w:sz w:val="20"/>
        </w:rPr>
        <w:t xml:space="preserve"> wg PN-EN 933-4 (dotyczy kruszywa grubego – wymagana kategoria nie wyższa niż </w:t>
      </w:r>
      <w:r w:rsidRPr="007D0F72">
        <w:rPr>
          <w:i/>
          <w:sz w:val="20"/>
        </w:rPr>
        <w:t>SI</w:t>
      </w:r>
      <w:r w:rsidRPr="007D0F72">
        <w:rPr>
          <w:i/>
          <w:sz w:val="20"/>
          <w:vertAlign w:val="subscript"/>
        </w:rPr>
        <w:t>20</w:t>
      </w:r>
      <w:r w:rsidRPr="007D0F72">
        <w:rPr>
          <w:sz w:val="20"/>
        </w:rPr>
        <w:t>),</w:t>
      </w:r>
    </w:p>
    <w:p w:rsidR="00E86DC8" w:rsidRPr="007D0F72" w:rsidRDefault="009E0C2C" w:rsidP="007D0F72">
      <w:pPr>
        <w:pStyle w:val="Akapitzlist"/>
        <w:numPr>
          <w:ilvl w:val="0"/>
          <w:numId w:val="31"/>
        </w:numPr>
        <w:ind w:hanging="153"/>
        <w:jc w:val="both"/>
        <w:rPr>
          <w:sz w:val="20"/>
        </w:rPr>
      </w:pPr>
      <w:r w:rsidRPr="007D0F72">
        <w:rPr>
          <w:sz w:val="20"/>
        </w:rPr>
        <w:t xml:space="preserve">oznaczenie odporności kruszywa na rozdrabnianie wg PN-EN 1097-2, badane na frakcji </w:t>
      </w:r>
      <w:r w:rsidRPr="007D0F72">
        <w:rPr>
          <w:sz w:val="20"/>
        </w:rPr>
        <w:br/>
        <w:t>10-14 mm (wymagana kategoria ≤LA</w:t>
      </w:r>
      <w:r w:rsidRPr="007D0F72">
        <w:rPr>
          <w:sz w:val="20"/>
          <w:vertAlign w:val="subscript"/>
        </w:rPr>
        <w:t>40</w:t>
      </w:r>
      <w:r w:rsidRPr="007D0F72">
        <w:rPr>
          <w:sz w:val="20"/>
        </w:rPr>
        <w:t>)</w:t>
      </w:r>
    </w:p>
    <w:p w:rsidR="00E86DC8" w:rsidRPr="007D0F72" w:rsidRDefault="009E0C2C" w:rsidP="007D0F72">
      <w:pPr>
        <w:pStyle w:val="Akapitzlist"/>
        <w:numPr>
          <w:ilvl w:val="0"/>
          <w:numId w:val="31"/>
        </w:numPr>
        <w:ind w:hanging="153"/>
        <w:jc w:val="both"/>
        <w:rPr>
          <w:sz w:val="20"/>
        </w:rPr>
      </w:pPr>
      <w:r w:rsidRPr="007D0F72">
        <w:rPr>
          <w:sz w:val="20"/>
        </w:rPr>
        <w:t xml:space="preserve">oznaczenie mrozoodporności kruszywa w wodzie wg PN-EN 1367-1, badane na frakcji </w:t>
      </w:r>
      <w:r w:rsidRPr="007D0F72">
        <w:rPr>
          <w:sz w:val="20"/>
        </w:rPr>
        <w:br/>
        <w:t>8-16 mm (wymagana kategoria ≤F4)</w:t>
      </w:r>
    </w:p>
    <w:p w:rsidR="00E86DC8" w:rsidRPr="007D0F72" w:rsidRDefault="009E0C2C" w:rsidP="007D0F72">
      <w:pPr>
        <w:pStyle w:val="Akapitzlist"/>
        <w:numPr>
          <w:ilvl w:val="0"/>
          <w:numId w:val="31"/>
        </w:numPr>
        <w:ind w:hanging="153"/>
        <w:jc w:val="both"/>
        <w:rPr>
          <w:sz w:val="20"/>
        </w:rPr>
      </w:pPr>
      <w:r w:rsidRPr="007D0F72">
        <w:rPr>
          <w:sz w:val="20"/>
        </w:rPr>
        <w:t>oznaczenie zawartości zanieczyszczeń obcych),</w:t>
      </w:r>
    </w:p>
    <w:p w:rsidR="00E86DC8" w:rsidRPr="007D0F72" w:rsidRDefault="009E0C2C" w:rsidP="007D0F72">
      <w:pPr>
        <w:pStyle w:val="Akapitzlist"/>
        <w:numPr>
          <w:ilvl w:val="0"/>
          <w:numId w:val="31"/>
        </w:numPr>
        <w:ind w:hanging="153"/>
        <w:jc w:val="both"/>
        <w:rPr>
          <w:sz w:val="20"/>
        </w:rPr>
      </w:pPr>
      <w:r w:rsidRPr="007D0F72">
        <w:rPr>
          <w:sz w:val="20"/>
        </w:rPr>
        <w:t>oznaczenie zawartości grudek gliny (oznaczać jak zawartość zanieczyszczeń obcych),</w:t>
      </w:r>
    </w:p>
    <w:p w:rsidR="00E86DC8" w:rsidRPr="007D0F72" w:rsidRDefault="009E0C2C" w:rsidP="007D0F72">
      <w:pPr>
        <w:pStyle w:val="Akapitzlist"/>
        <w:numPr>
          <w:ilvl w:val="0"/>
          <w:numId w:val="31"/>
        </w:numPr>
        <w:ind w:hanging="153"/>
        <w:jc w:val="both"/>
        <w:rPr>
          <w:sz w:val="20"/>
        </w:rPr>
      </w:pPr>
      <w:r w:rsidRPr="007D0F72">
        <w:rPr>
          <w:sz w:val="20"/>
        </w:rPr>
        <w:t>oznaczenie zanieczyszczeń organicznych wg PN-EN 1744-1 (wymagana barwa nie ciemniejsza od wzorcowej)</w:t>
      </w:r>
    </w:p>
    <w:p w:rsidR="00E86DC8" w:rsidRPr="007D0F72" w:rsidRDefault="009E0C2C" w:rsidP="007D0F72">
      <w:pPr>
        <w:pStyle w:val="Akapitzlist"/>
        <w:numPr>
          <w:ilvl w:val="0"/>
          <w:numId w:val="31"/>
        </w:numPr>
        <w:ind w:hanging="153"/>
        <w:jc w:val="both"/>
        <w:rPr>
          <w:sz w:val="20"/>
        </w:rPr>
      </w:pPr>
      <w:r w:rsidRPr="007D0F72">
        <w:rPr>
          <w:sz w:val="20"/>
        </w:rPr>
        <w:t>należy prowadzić bieżącą kontrolę wilgotności kruszywa dla korygowania recepty roboczej betonu.</w:t>
      </w:r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sz w:val="20"/>
        </w:rPr>
        <w:t>W przypadku, gdy kontrola wykaże niezgodność cech z wymaganiami użycie kruszywa może nastąpić po jego uszlachetnieniu, np. przez dodatek odpowiednich frakcji.</w:t>
      </w:r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sz w:val="20"/>
        </w:rPr>
        <w:lastRenderedPageBreak/>
        <w:t>Inżynier Kontraktu zgodnie z przepisami ustawy z dnia 16 kwietnia 2004r. o wyrobach budowlanych może dopuścić, na podstawie otrzymanych badań do jednostkowego zastosowania w danym obiekcie budowlanym kruszywo nie posiadające oznaczenia znakiem budowlanym lub znakiem CE.</w:t>
      </w:r>
    </w:p>
    <w:p w:rsidR="00E86DC8" w:rsidRPr="009E0C2C" w:rsidRDefault="009E0C2C" w:rsidP="009E0C2C">
      <w:pPr>
        <w:jc w:val="both"/>
        <w:rPr>
          <w:sz w:val="20"/>
        </w:rPr>
      </w:pPr>
      <w:r w:rsidRPr="007D0F72">
        <w:rPr>
          <w:b/>
          <w:sz w:val="20"/>
        </w:rPr>
        <w:t>2.2.3.</w:t>
      </w:r>
      <w:r w:rsidRPr="009E0C2C">
        <w:rPr>
          <w:sz w:val="20"/>
        </w:rPr>
        <w:t xml:space="preserve"> Woda zarobowa do betonu</w:t>
      </w:r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sz w:val="20"/>
        </w:rPr>
        <w:t>Woda  zarobowa  do  betonu  powinna  odpowiadać wymaganiom PN-EN 1008 i M-13.01.00.</w:t>
      </w:r>
      <w:r w:rsidRPr="009E0C2C">
        <w:rPr>
          <w:b/>
          <w:sz w:val="20"/>
        </w:rPr>
        <w:t xml:space="preserve"> </w:t>
      </w:r>
    </w:p>
    <w:p w:rsidR="00E86DC8" w:rsidRPr="009E0C2C" w:rsidRDefault="009E0C2C" w:rsidP="009E0C2C">
      <w:pPr>
        <w:jc w:val="both"/>
        <w:rPr>
          <w:sz w:val="20"/>
        </w:rPr>
      </w:pPr>
      <w:r w:rsidRPr="007D0F72">
        <w:rPr>
          <w:b/>
          <w:sz w:val="20"/>
        </w:rPr>
        <w:t>2.2.4.</w:t>
      </w:r>
      <w:r w:rsidRPr="009E0C2C">
        <w:rPr>
          <w:sz w:val="20"/>
        </w:rPr>
        <w:t xml:space="preserve"> Ustalanie składu mieszanki betonowej</w:t>
      </w:r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sz w:val="20"/>
        </w:rPr>
        <w:t xml:space="preserve">Skład mieszanki betonowej powinien być ustalony zgodnie z </w:t>
      </w:r>
      <w:r w:rsidR="00D42776">
        <w:rPr>
          <w:sz w:val="20"/>
        </w:rPr>
        <w:t>SST</w:t>
      </w:r>
      <w:r w:rsidRPr="009E0C2C">
        <w:rPr>
          <w:sz w:val="20"/>
        </w:rPr>
        <w:t xml:space="preserve"> oraz normą PN-EN 206 tak, aby przy najmniejszej ilości wody zapewnić szczelne ułożenie mieszanki w wyniku zagęszczania przez wibrowanie. Skład mieszanki betonowej ustala laboratorium Wykonawcy lub wytwórni betonów i wymaga on zatwierdzenia przez Inżyniera.</w:t>
      </w:r>
    </w:p>
    <w:p w:rsidR="00E86DC8" w:rsidRPr="007D0F72" w:rsidRDefault="009E0C2C" w:rsidP="009E0C2C">
      <w:pPr>
        <w:jc w:val="both"/>
        <w:rPr>
          <w:b/>
          <w:sz w:val="20"/>
        </w:rPr>
      </w:pPr>
      <w:r w:rsidRPr="007D0F72">
        <w:rPr>
          <w:b/>
          <w:sz w:val="20"/>
        </w:rPr>
        <w:t>2.3. Wymagane właściwości betonu</w:t>
      </w:r>
    </w:p>
    <w:p w:rsidR="00E86DC8" w:rsidRPr="009E0C2C" w:rsidRDefault="009E0C2C" w:rsidP="009E0C2C">
      <w:pPr>
        <w:jc w:val="both"/>
        <w:rPr>
          <w:b/>
          <w:bCs/>
          <w:sz w:val="20"/>
        </w:rPr>
      </w:pPr>
      <w:r w:rsidRPr="009E0C2C">
        <w:rPr>
          <w:sz w:val="20"/>
        </w:rPr>
        <w:t>Dla betonów klasy poniżej C20/25  stosuje się tylko wymagania dotyczące wytrzymałości na ściskanie.</w:t>
      </w:r>
    </w:p>
    <w:p w:rsidR="00E86DC8" w:rsidRPr="007D0F72" w:rsidRDefault="009E0C2C" w:rsidP="009E0C2C">
      <w:pPr>
        <w:jc w:val="both"/>
        <w:rPr>
          <w:b/>
          <w:sz w:val="20"/>
        </w:rPr>
      </w:pPr>
      <w:bookmarkStart w:id="5" w:name="_Toc149616879"/>
      <w:r w:rsidRPr="007D0F72">
        <w:rPr>
          <w:b/>
          <w:sz w:val="20"/>
        </w:rPr>
        <w:t xml:space="preserve">3. </w:t>
      </w:r>
      <w:bookmarkEnd w:id="5"/>
      <w:r w:rsidRPr="007D0F72">
        <w:rPr>
          <w:b/>
          <w:sz w:val="20"/>
        </w:rPr>
        <w:t>SPRZĘT</w:t>
      </w:r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sz w:val="20"/>
        </w:rPr>
        <w:t xml:space="preserve">Ogólne wymagania dotyczące sprzętu podano w </w:t>
      </w:r>
      <w:r w:rsidR="00D42776">
        <w:rPr>
          <w:sz w:val="20"/>
        </w:rPr>
        <w:t>SST</w:t>
      </w:r>
      <w:r w:rsidRPr="009E0C2C">
        <w:rPr>
          <w:sz w:val="20"/>
        </w:rPr>
        <w:t xml:space="preserve"> D-M.00.00.00 „Wymagania ogólne”.</w:t>
      </w:r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sz w:val="20"/>
        </w:rPr>
        <w:t xml:space="preserve">Sprzęt do wykonania robót powinien spełniać wymagania podane w </w:t>
      </w:r>
      <w:r w:rsidR="00D42776">
        <w:rPr>
          <w:sz w:val="20"/>
        </w:rPr>
        <w:t>SST</w:t>
      </w:r>
      <w:r w:rsidRPr="009E0C2C">
        <w:rPr>
          <w:sz w:val="20"/>
        </w:rPr>
        <w:t xml:space="preserve"> M-13.01.00.</w:t>
      </w:r>
    </w:p>
    <w:p w:rsidR="00E86DC8" w:rsidRPr="007D0F72" w:rsidRDefault="009E0C2C" w:rsidP="009E0C2C">
      <w:pPr>
        <w:jc w:val="both"/>
        <w:rPr>
          <w:b/>
          <w:sz w:val="20"/>
        </w:rPr>
      </w:pPr>
      <w:bookmarkStart w:id="6" w:name="_Toc149616880"/>
      <w:r w:rsidRPr="007D0F72">
        <w:rPr>
          <w:b/>
          <w:sz w:val="20"/>
        </w:rPr>
        <w:t>4. TRANSPORT</w:t>
      </w:r>
      <w:bookmarkEnd w:id="6"/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sz w:val="20"/>
        </w:rPr>
        <w:t xml:space="preserve">Ogólne wymagania dotyczące transportu podano w </w:t>
      </w:r>
      <w:r w:rsidR="00D42776">
        <w:rPr>
          <w:sz w:val="20"/>
        </w:rPr>
        <w:t>SST</w:t>
      </w:r>
      <w:r w:rsidRPr="009E0C2C">
        <w:rPr>
          <w:sz w:val="20"/>
        </w:rPr>
        <w:t xml:space="preserve"> D-M-00.00.00 „Wymagania ogólne”.</w:t>
      </w:r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sz w:val="20"/>
        </w:rPr>
        <w:t xml:space="preserve">Transport mieszanki jak podano w </w:t>
      </w:r>
      <w:r w:rsidR="00D42776">
        <w:rPr>
          <w:sz w:val="20"/>
        </w:rPr>
        <w:t>SST</w:t>
      </w:r>
      <w:r w:rsidRPr="009E0C2C">
        <w:rPr>
          <w:sz w:val="20"/>
        </w:rPr>
        <w:t xml:space="preserve"> M-13.01.00, pkt 4.</w:t>
      </w:r>
    </w:p>
    <w:p w:rsidR="00E86DC8" w:rsidRPr="007D0F72" w:rsidRDefault="009E0C2C" w:rsidP="009E0C2C">
      <w:pPr>
        <w:jc w:val="both"/>
        <w:rPr>
          <w:b/>
          <w:sz w:val="20"/>
        </w:rPr>
      </w:pPr>
      <w:bookmarkStart w:id="7" w:name="_Toc149616881"/>
      <w:r w:rsidRPr="007D0F72">
        <w:rPr>
          <w:b/>
          <w:sz w:val="20"/>
        </w:rPr>
        <w:t>5. WYKONANIE ROBÓT</w:t>
      </w:r>
      <w:bookmarkEnd w:id="7"/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sz w:val="20"/>
        </w:rPr>
        <w:t xml:space="preserve">Ogólne zasady wykonywania robót podano w </w:t>
      </w:r>
      <w:r w:rsidR="00D42776">
        <w:rPr>
          <w:sz w:val="20"/>
        </w:rPr>
        <w:t>SST</w:t>
      </w:r>
      <w:r w:rsidRPr="009E0C2C">
        <w:rPr>
          <w:sz w:val="20"/>
        </w:rPr>
        <w:t xml:space="preserve"> D-M.00.00.00 „Wymagania ogólne”.</w:t>
      </w:r>
    </w:p>
    <w:p w:rsidR="00E86DC8" w:rsidRPr="007D0F72" w:rsidRDefault="009E0C2C" w:rsidP="009E0C2C">
      <w:pPr>
        <w:jc w:val="both"/>
        <w:rPr>
          <w:b/>
          <w:i/>
          <w:sz w:val="20"/>
        </w:rPr>
      </w:pPr>
      <w:r w:rsidRPr="007D0F72">
        <w:rPr>
          <w:b/>
          <w:sz w:val="20"/>
        </w:rPr>
        <w:t>5.2. Wykonanie robót betonowych</w:t>
      </w:r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sz w:val="20"/>
        </w:rPr>
        <w:t xml:space="preserve">Wykonanie robót betonowych - zgodnie z wymaganiami podanymi w </w:t>
      </w:r>
      <w:r w:rsidR="00D42776">
        <w:rPr>
          <w:sz w:val="20"/>
        </w:rPr>
        <w:t>SST</w:t>
      </w:r>
      <w:r w:rsidRPr="009E0C2C">
        <w:rPr>
          <w:sz w:val="20"/>
        </w:rPr>
        <w:t xml:space="preserve"> M-13.001.00. pkt.5.</w:t>
      </w:r>
    </w:p>
    <w:p w:rsidR="00E86DC8" w:rsidRPr="009E0C2C" w:rsidRDefault="009E0C2C" w:rsidP="009E0C2C">
      <w:pPr>
        <w:jc w:val="both"/>
        <w:rPr>
          <w:sz w:val="20"/>
        </w:rPr>
      </w:pPr>
      <w:bookmarkStart w:id="8" w:name="_Toc149616885"/>
      <w:r w:rsidRPr="009E0C2C">
        <w:rPr>
          <w:sz w:val="20"/>
        </w:rPr>
        <w:t>Wykonawca przedstawi Inżynierowi do akceptacji projekt organizacji i harmonogram robót uwzględniający wszystkie warunki, w jakich będą wykonywane roboty betonowe.</w:t>
      </w:r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sz w:val="20"/>
        </w:rPr>
        <w:t>Wykonanie robót powinno być poprzedzone odbiorem przez Inżyniera podłoża na poziomie posadowienia pod względem przydatności gruntu do posadowienia elementu.</w:t>
      </w:r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sz w:val="20"/>
        </w:rPr>
        <w:t xml:space="preserve">Przed przystąpieniem do układania betonu należy sprawdzić poprawność wykonania robót ziemnych (wg </w:t>
      </w:r>
      <w:r w:rsidR="00D42776">
        <w:rPr>
          <w:sz w:val="20"/>
        </w:rPr>
        <w:t>SST</w:t>
      </w:r>
      <w:r w:rsidRPr="009E0C2C">
        <w:rPr>
          <w:sz w:val="20"/>
        </w:rPr>
        <w:t xml:space="preserve"> M-11.01.00). Podłoże winno być równe, czyste i odwodnione. Beton winien być rozkładany w miarę możliwości w sposób ciągły z zachowaniem kontroli grubości oraz rzędnych wg rysunków. W czasie betonowania należy górną powierzchnię betonu wyprofilować w spadku oraz pozostawić wgłębienie w najniższym punkcie w celu możliwości prawidłowego odwodnienia wykopu.</w:t>
      </w:r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sz w:val="20"/>
        </w:rPr>
        <w:t xml:space="preserve">Wykonanie deskowania – zgodnie ze </w:t>
      </w:r>
      <w:r w:rsidR="00D42776">
        <w:rPr>
          <w:sz w:val="20"/>
        </w:rPr>
        <w:t>SST</w:t>
      </w:r>
      <w:r w:rsidRPr="009E0C2C">
        <w:rPr>
          <w:sz w:val="20"/>
        </w:rPr>
        <w:t xml:space="preserve"> M-13.01.00.</w:t>
      </w:r>
    </w:p>
    <w:p w:rsidR="00E86DC8" w:rsidRPr="007D0F72" w:rsidRDefault="009E0C2C" w:rsidP="009E0C2C">
      <w:pPr>
        <w:jc w:val="both"/>
        <w:rPr>
          <w:b/>
          <w:sz w:val="20"/>
        </w:rPr>
      </w:pPr>
      <w:r w:rsidRPr="007D0F72">
        <w:rPr>
          <w:b/>
          <w:sz w:val="20"/>
        </w:rPr>
        <w:t>6. KONTROLA JAKOŚCI ROBÓT</w:t>
      </w:r>
      <w:bookmarkEnd w:id="8"/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sz w:val="20"/>
        </w:rPr>
        <w:t xml:space="preserve">Ogólne zasady kontroli jakości robót podano w </w:t>
      </w:r>
      <w:r w:rsidR="00D42776">
        <w:rPr>
          <w:sz w:val="20"/>
        </w:rPr>
        <w:t>SST</w:t>
      </w:r>
      <w:r w:rsidRPr="009E0C2C">
        <w:rPr>
          <w:sz w:val="20"/>
        </w:rPr>
        <w:t xml:space="preserve"> D-M.00.00.00 „Wymagania ogólne”. </w:t>
      </w:r>
    </w:p>
    <w:p w:rsidR="00E86DC8" w:rsidRPr="007D0F72" w:rsidRDefault="009E0C2C" w:rsidP="009E0C2C">
      <w:pPr>
        <w:jc w:val="both"/>
        <w:rPr>
          <w:b/>
          <w:i/>
          <w:sz w:val="20"/>
        </w:rPr>
      </w:pPr>
      <w:r w:rsidRPr="007D0F72">
        <w:rPr>
          <w:b/>
          <w:sz w:val="20"/>
        </w:rPr>
        <w:t>6.1. Badania przed przystąpieniem do robót</w:t>
      </w:r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sz w:val="20"/>
        </w:rPr>
        <w:t>Przed przystąpieniem do robót Wykonawca powinien:</w:t>
      </w:r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sz w:val="20"/>
        </w:rPr>
        <w:t>a)  uzyskać wymagane dokumenty, dopuszczające wyroby budowlane do obrotu i powszechnego stosowania (oznaczenie CE lub znakiem budowlanym, ew. deklaracje właściwości użytkowych, aprobaty techniczne lub badania materiałów wykonane przez dostawców itp.) i na ich podstawie sprawdzić zgodność  materiałów z wymaganiami punktu 2 niniejszej specyfikacji.</w:t>
      </w:r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sz w:val="20"/>
        </w:rPr>
        <w:t xml:space="preserve">b)  wykonać własne badania właściwości materiałów przeznaczonych do wykonania robót, określone </w:t>
      </w:r>
      <w:r w:rsidRPr="009E0C2C">
        <w:rPr>
          <w:sz w:val="20"/>
        </w:rPr>
        <w:br/>
        <w:t xml:space="preserve">w </w:t>
      </w:r>
      <w:r w:rsidR="00D42776">
        <w:rPr>
          <w:sz w:val="20"/>
        </w:rPr>
        <w:t>SST</w:t>
      </w:r>
      <w:r w:rsidRPr="009E0C2C">
        <w:rPr>
          <w:sz w:val="20"/>
        </w:rPr>
        <w:t xml:space="preserve"> M-13.01.00 pkt 6.2, z uwzględnieniem wymagań podanych w punkcie 2 niniejszej </w:t>
      </w:r>
      <w:r w:rsidR="00D42776">
        <w:rPr>
          <w:sz w:val="20"/>
        </w:rPr>
        <w:t>SST</w:t>
      </w:r>
      <w:r w:rsidRPr="009E0C2C">
        <w:rPr>
          <w:sz w:val="20"/>
        </w:rPr>
        <w:t>.</w:t>
      </w:r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sz w:val="20"/>
        </w:rPr>
        <w:t>Inżynier Kontraktu zgodnie z przepisami ustawy z dnia 16 kwietnia 2004r. o wyrobach budowlanych może dopuścić, na podstawie otrzymanych badań do jednostkowego zastosowania w danym obiekcie budowlanym wyrób budowlany nie posiadający oznaczenia znakiem budowlanym lub znakiem CE</w:t>
      </w:r>
    </w:p>
    <w:p w:rsidR="00E86DC8" w:rsidRPr="007D0F72" w:rsidRDefault="009E0C2C" w:rsidP="009E0C2C">
      <w:pPr>
        <w:jc w:val="both"/>
        <w:rPr>
          <w:b/>
          <w:i/>
          <w:sz w:val="20"/>
        </w:rPr>
      </w:pPr>
      <w:r w:rsidRPr="007D0F72">
        <w:rPr>
          <w:b/>
          <w:sz w:val="20"/>
        </w:rPr>
        <w:t>6.2. Kontrola jakości betonu</w:t>
      </w:r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sz w:val="20"/>
        </w:rPr>
        <w:t>Kontroli podlegają:</w:t>
      </w:r>
    </w:p>
    <w:p w:rsidR="00E86DC8" w:rsidRPr="007D0F72" w:rsidRDefault="009E0C2C" w:rsidP="007D0F72">
      <w:pPr>
        <w:pStyle w:val="Akapitzlist"/>
        <w:numPr>
          <w:ilvl w:val="0"/>
          <w:numId w:val="32"/>
        </w:numPr>
        <w:ind w:hanging="153"/>
        <w:jc w:val="both"/>
        <w:rPr>
          <w:sz w:val="20"/>
        </w:rPr>
      </w:pPr>
      <w:r w:rsidRPr="007D0F72">
        <w:rPr>
          <w:sz w:val="20"/>
        </w:rPr>
        <w:t>wytrzymałość betonu na ściskanie.</w:t>
      </w:r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sz w:val="20"/>
        </w:rPr>
        <w:t>Zwraca się uwagę na konieczność wykonania planu kontroli jakości betonu zawierającego m.in. szczegółowe określenie liczebności i terminów pobierania próbek do kontroli jakości mieszanki i betonu. Plan kontroli jakości betonu podlega akceptacji Inżyniera.</w:t>
      </w:r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sz w:val="20"/>
        </w:rPr>
        <w:t xml:space="preserve">Kontrolę jakości mieszanki betonowej i betonu należy przeprowadzać zgodnie z PN-EN 12350-1, </w:t>
      </w:r>
      <w:r w:rsidRPr="009E0C2C">
        <w:rPr>
          <w:sz w:val="20"/>
        </w:rPr>
        <w:br/>
        <w:t xml:space="preserve">PN-EN 12390-2, PN-EN 12390-3 oraz </w:t>
      </w:r>
      <w:r w:rsidR="00D42776">
        <w:rPr>
          <w:sz w:val="20"/>
        </w:rPr>
        <w:t>SST</w:t>
      </w:r>
      <w:r w:rsidRPr="009E0C2C">
        <w:rPr>
          <w:sz w:val="20"/>
        </w:rPr>
        <w:t xml:space="preserve"> M-13.01.00 pkt 6.3.4. Wyniki kontroli powinny być zgodne z pkt 2.3 niniejszej </w:t>
      </w:r>
      <w:r w:rsidR="00D42776">
        <w:rPr>
          <w:sz w:val="20"/>
        </w:rPr>
        <w:t>SST</w:t>
      </w:r>
      <w:r w:rsidRPr="009E0C2C">
        <w:rPr>
          <w:sz w:val="20"/>
        </w:rPr>
        <w:t>.</w:t>
      </w:r>
    </w:p>
    <w:p w:rsidR="00E86DC8" w:rsidRPr="007D0F72" w:rsidRDefault="009E0C2C" w:rsidP="009E0C2C">
      <w:pPr>
        <w:jc w:val="both"/>
        <w:rPr>
          <w:b/>
          <w:i/>
          <w:sz w:val="20"/>
        </w:rPr>
      </w:pPr>
      <w:r w:rsidRPr="007D0F72">
        <w:rPr>
          <w:b/>
          <w:sz w:val="20"/>
        </w:rPr>
        <w:t xml:space="preserve">6.3. Tolerancje wymiarów </w:t>
      </w:r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sz w:val="20"/>
        </w:rPr>
        <w:t xml:space="preserve">Wymiary elementów nie powinny różnić się od projektowanych więcej niż o 1,0 cm. </w:t>
      </w:r>
    </w:p>
    <w:p w:rsidR="00E86DC8" w:rsidRPr="007D0F72" w:rsidRDefault="009E0C2C" w:rsidP="009E0C2C">
      <w:pPr>
        <w:jc w:val="both"/>
        <w:rPr>
          <w:b/>
          <w:i/>
          <w:sz w:val="20"/>
        </w:rPr>
      </w:pPr>
      <w:r w:rsidRPr="007D0F72">
        <w:rPr>
          <w:b/>
          <w:sz w:val="20"/>
        </w:rPr>
        <w:t xml:space="preserve">6.4. Kontrola </w:t>
      </w:r>
      <w:proofErr w:type="spellStart"/>
      <w:r w:rsidRPr="007D0F72">
        <w:rPr>
          <w:b/>
          <w:sz w:val="20"/>
        </w:rPr>
        <w:t>deskowań</w:t>
      </w:r>
      <w:proofErr w:type="spellEnd"/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sz w:val="20"/>
        </w:rPr>
        <w:t>Każde deskowanie powinno podlegać odbiorowi. Przedmiotem kontroli w czasie odbioru powinny być:</w:t>
      </w:r>
    </w:p>
    <w:p w:rsidR="00E86DC8" w:rsidRPr="007D0F72" w:rsidRDefault="009E0C2C" w:rsidP="007D0F72">
      <w:pPr>
        <w:pStyle w:val="Akapitzlist"/>
        <w:numPr>
          <w:ilvl w:val="0"/>
          <w:numId w:val="32"/>
        </w:numPr>
        <w:ind w:hanging="153"/>
        <w:jc w:val="both"/>
        <w:rPr>
          <w:sz w:val="20"/>
        </w:rPr>
      </w:pPr>
      <w:r w:rsidRPr="007D0F72">
        <w:rPr>
          <w:sz w:val="20"/>
        </w:rPr>
        <w:t>rodzaj użytego materiału na zgodność z projektem technologicznym,</w:t>
      </w:r>
    </w:p>
    <w:p w:rsidR="00E86DC8" w:rsidRPr="007D0F72" w:rsidRDefault="009E0C2C" w:rsidP="007D0F72">
      <w:pPr>
        <w:pStyle w:val="Akapitzlist"/>
        <w:numPr>
          <w:ilvl w:val="0"/>
          <w:numId w:val="32"/>
        </w:numPr>
        <w:ind w:hanging="153"/>
        <w:jc w:val="both"/>
        <w:rPr>
          <w:sz w:val="20"/>
        </w:rPr>
      </w:pPr>
      <w:r w:rsidRPr="007D0F72">
        <w:rPr>
          <w:sz w:val="20"/>
        </w:rPr>
        <w:t xml:space="preserve">szczelność </w:t>
      </w:r>
      <w:proofErr w:type="spellStart"/>
      <w:r w:rsidRPr="007D0F72">
        <w:rPr>
          <w:sz w:val="20"/>
        </w:rPr>
        <w:t>deskowań</w:t>
      </w:r>
      <w:proofErr w:type="spellEnd"/>
      <w:r w:rsidRPr="007D0F72">
        <w:rPr>
          <w:sz w:val="20"/>
        </w:rPr>
        <w:t xml:space="preserve"> w płaszczyznach i narożach,</w:t>
      </w:r>
    </w:p>
    <w:p w:rsidR="00E86DC8" w:rsidRPr="007D0F72" w:rsidRDefault="009E0C2C" w:rsidP="007D0F72">
      <w:pPr>
        <w:pStyle w:val="Akapitzlist"/>
        <w:numPr>
          <w:ilvl w:val="0"/>
          <w:numId w:val="32"/>
        </w:numPr>
        <w:ind w:hanging="153"/>
        <w:jc w:val="both"/>
        <w:rPr>
          <w:sz w:val="20"/>
        </w:rPr>
      </w:pPr>
      <w:r w:rsidRPr="007D0F72">
        <w:rPr>
          <w:sz w:val="20"/>
        </w:rPr>
        <w:t xml:space="preserve">poziom górnej krawędzi i powierzchni </w:t>
      </w:r>
      <w:proofErr w:type="spellStart"/>
      <w:r w:rsidRPr="007D0F72">
        <w:rPr>
          <w:sz w:val="20"/>
        </w:rPr>
        <w:t>deskowań</w:t>
      </w:r>
      <w:proofErr w:type="spellEnd"/>
      <w:r w:rsidRPr="007D0F72">
        <w:rPr>
          <w:sz w:val="20"/>
        </w:rPr>
        <w:t xml:space="preserve"> przed betonowaniem i po nim oraz porównanie </w:t>
      </w:r>
      <w:r w:rsidRPr="007D0F72">
        <w:rPr>
          <w:sz w:val="20"/>
        </w:rPr>
        <w:br/>
        <w:t>z poziomem wymaganym.</w:t>
      </w:r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sz w:val="20"/>
        </w:rPr>
        <w:lastRenderedPageBreak/>
        <w:t xml:space="preserve">Deskowania w czasie betonowania powinny być przedmiotem kontroli geodezyjnej w nawiązaniu do niezależnych reperów. </w:t>
      </w:r>
    </w:p>
    <w:p w:rsidR="00E86DC8" w:rsidRPr="007D0F72" w:rsidRDefault="009E0C2C" w:rsidP="009E0C2C">
      <w:pPr>
        <w:jc w:val="both"/>
        <w:rPr>
          <w:b/>
          <w:sz w:val="20"/>
        </w:rPr>
      </w:pPr>
      <w:bookmarkStart w:id="9" w:name="_Toc149616887"/>
      <w:r w:rsidRPr="007D0F72">
        <w:rPr>
          <w:b/>
          <w:sz w:val="20"/>
        </w:rPr>
        <w:t>7. OBMIAR ROBÓT</w:t>
      </w:r>
      <w:bookmarkEnd w:id="9"/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sz w:val="20"/>
        </w:rPr>
        <w:t xml:space="preserve">Kontrakt ryczałtowy – jednostką obmiaru jest wykonana i odebrana protokołem Odbioru Końcowego jednostka określona w </w:t>
      </w:r>
      <w:proofErr w:type="spellStart"/>
      <w:r w:rsidRPr="009E0C2C">
        <w:rPr>
          <w:sz w:val="20"/>
        </w:rPr>
        <w:t>STWiORB</w:t>
      </w:r>
      <w:proofErr w:type="spellEnd"/>
      <w:r w:rsidRPr="009E0C2C">
        <w:rPr>
          <w:sz w:val="20"/>
        </w:rPr>
        <w:t>.</w:t>
      </w:r>
    </w:p>
    <w:p w:rsidR="00E86DC8" w:rsidRPr="007D0F72" w:rsidRDefault="009E0C2C" w:rsidP="009E0C2C">
      <w:pPr>
        <w:jc w:val="both"/>
        <w:rPr>
          <w:b/>
          <w:sz w:val="20"/>
        </w:rPr>
      </w:pPr>
      <w:bookmarkStart w:id="10" w:name="_Toc149616888"/>
      <w:r w:rsidRPr="007D0F72">
        <w:rPr>
          <w:b/>
          <w:sz w:val="20"/>
        </w:rPr>
        <w:t>8. ODBIÓR ROBÓT</w:t>
      </w:r>
      <w:bookmarkEnd w:id="10"/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sz w:val="20"/>
        </w:rPr>
        <w:t xml:space="preserve">Ogólne zasady odbioru robót podano w </w:t>
      </w:r>
      <w:r w:rsidR="00D42776">
        <w:rPr>
          <w:sz w:val="20"/>
        </w:rPr>
        <w:t>SST</w:t>
      </w:r>
      <w:r w:rsidRPr="009E0C2C">
        <w:rPr>
          <w:sz w:val="20"/>
        </w:rPr>
        <w:t xml:space="preserve"> D-M.00.00.00 „Wymagania ogólne”.</w:t>
      </w:r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sz w:val="20"/>
        </w:rPr>
        <w:t xml:space="preserve">Roboty uznaje się za wykonane zgodnie z dokumentacją projektową, </w:t>
      </w:r>
      <w:r w:rsidR="00D42776">
        <w:rPr>
          <w:sz w:val="20"/>
        </w:rPr>
        <w:t>SST</w:t>
      </w:r>
      <w:r w:rsidRPr="009E0C2C">
        <w:rPr>
          <w:sz w:val="20"/>
        </w:rPr>
        <w:t xml:space="preserve"> i wymaganiami Inżyniera, jeżeli wszystkie pomiary i badania z zachowaniem tolerancji wg punktu 6 dały wyniki pozytywne.</w:t>
      </w:r>
    </w:p>
    <w:p w:rsidR="00E86DC8" w:rsidRPr="007D0F72" w:rsidRDefault="009E0C2C" w:rsidP="009E0C2C">
      <w:pPr>
        <w:jc w:val="both"/>
        <w:rPr>
          <w:b/>
          <w:i/>
          <w:sz w:val="20"/>
        </w:rPr>
      </w:pPr>
      <w:r w:rsidRPr="007D0F72">
        <w:rPr>
          <w:b/>
          <w:sz w:val="20"/>
        </w:rPr>
        <w:t>8.1. Odbiór robót zanikających i ulegających zakryciu</w:t>
      </w:r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sz w:val="20"/>
        </w:rPr>
        <w:t>Odbiorowi robót zanikających i ulegających zakryciu podlegają:</w:t>
      </w:r>
    </w:p>
    <w:p w:rsidR="00E86DC8" w:rsidRPr="007D0F72" w:rsidRDefault="009E0C2C" w:rsidP="007D0F72">
      <w:pPr>
        <w:pStyle w:val="Akapitzlist"/>
        <w:numPr>
          <w:ilvl w:val="0"/>
          <w:numId w:val="33"/>
        </w:numPr>
        <w:ind w:hanging="153"/>
        <w:jc w:val="both"/>
        <w:rPr>
          <w:sz w:val="20"/>
        </w:rPr>
      </w:pPr>
      <w:r w:rsidRPr="007D0F72">
        <w:rPr>
          <w:sz w:val="20"/>
        </w:rPr>
        <w:t xml:space="preserve">wykonanie </w:t>
      </w:r>
      <w:proofErr w:type="spellStart"/>
      <w:r w:rsidRPr="007D0F72">
        <w:rPr>
          <w:sz w:val="20"/>
        </w:rPr>
        <w:t>deskowań</w:t>
      </w:r>
      <w:proofErr w:type="spellEnd"/>
      <w:r w:rsidRPr="007D0F72">
        <w:rPr>
          <w:sz w:val="20"/>
        </w:rPr>
        <w:t>,</w:t>
      </w:r>
    </w:p>
    <w:p w:rsidR="00E86DC8" w:rsidRPr="007D0F72" w:rsidRDefault="009E0C2C" w:rsidP="007D0F72">
      <w:pPr>
        <w:pStyle w:val="Akapitzlist"/>
        <w:numPr>
          <w:ilvl w:val="0"/>
          <w:numId w:val="33"/>
        </w:numPr>
        <w:ind w:hanging="153"/>
        <w:jc w:val="both"/>
        <w:rPr>
          <w:sz w:val="20"/>
        </w:rPr>
      </w:pPr>
      <w:r w:rsidRPr="007D0F72">
        <w:rPr>
          <w:sz w:val="20"/>
        </w:rPr>
        <w:t>wykonanie betonu w podłożu fundamentów.</w:t>
      </w:r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sz w:val="20"/>
        </w:rPr>
        <w:t xml:space="preserve">Odbiór tych robót powinien być zgodny z wymaganiami D-M-00.00.00 „Wymagania ogólne“ oraz niniejszej </w:t>
      </w:r>
      <w:r w:rsidR="00D42776">
        <w:rPr>
          <w:sz w:val="20"/>
        </w:rPr>
        <w:t>SST</w:t>
      </w:r>
      <w:r w:rsidRPr="009E0C2C">
        <w:rPr>
          <w:sz w:val="20"/>
        </w:rPr>
        <w:t>.</w:t>
      </w:r>
    </w:p>
    <w:p w:rsidR="00E86DC8" w:rsidRPr="007D0F72" w:rsidRDefault="009E0C2C" w:rsidP="009E0C2C">
      <w:pPr>
        <w:jc w:val="both"/>
        <w:rPr>
          <w:b/>
          <w:sz w:val="20"/>
        </w:rPr>
      </w:pPr>
      <w:bookmarkStart w:id="11" w:name="_Toc149616889"/>
      <w:r w:rsidRPr="007D0F72">
        <w:rPr>
          <w:b/>
          <w:sz w:val="20"/>
        </w:rPr>
        <w:t>9. PODSTAWA PŁATNOŚCI</w:t>
      </w:r>
      <w:bookmarkEnd w:id="11"/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sz w:val="20"/>
        </w:rPr>
        <w:t>Wynagrodzenie ryczałtowe: zasady płatności podano w umowie pomiędzy Zamawiającym a Wykonawcą.</w:t>
      </w:r>
    </w:p>
    <w:p w:rsidR="00E86DC8" w:rsidRPr="007D0F72" w:rsidRDefault="009E0C2C" w:rsidP="009E0C2C">
      <w:pPr>
        <w:jc w:val="both"/>
        <w:rPr>
          <w:b/>
          <w:caps/>
          <w:sz w:val="20"/>
        </w:rPr>
      </w:pPr>
      <w:bookmarkStart w:id="12" w:name="_Toc149616890"/>
      <w:r w:rsidRPr="007D0F72">
        <w:rPr>
          <w:b/>
          <w:caps/>
          <w:sz w:val="20"/>
        </w:rPr>
        <w:t>10. Przepisy związane</w:t>
      </w:r>
      <w:bookmarkEnd w:id="12"/>
    </w:p>
    <w:p w:rsidR="00E86DC8" w:rsidRPr="007D0F72" w:rsidRDefault="009E0C2C" w:rsidP="009E0C2C">
      <w:pPr>
        <w:jc w:val="both"/>
        <w:rPr>
          <w:b/>
          <w:i/>
          <w:sz w:val="20"/>
        </w:rPr>
      </w:pPr>
      <w:r w:rsidRPr="007D0F72">
        <w:rPr>
          <w:b/>
          <w:sz w:val="20"/>
        </w:rPr>
        <w:t>10.1. Normy</w:t>
      </w:r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sz w:val="20"/>
        </w:rPr>
        <w:t>PN-EN 197-1</w:t>
      </w:r>
      <w:r w:rsidRPr="009E0C2C">
        <w:rPr>
          <w:sz w:val="20"/>
        </w:rPr>
        <w:tab/>
        <w:t>Cement. Część 1: Skład, wymagania i kryteria zgodności dotyczące cementów powszechnego użytku.</w:t>
      </w:r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sz w:val="20"/>
        </w:rPr>
        <w:t>PN-EN 933-1</w:t>
      </w:r>
      <w:r w:rsidRPr="009E0C2C">
        <w:rPr>
          <w:sz w:val="20"/>
        </w:rPr>
        <w:tab/>
        <w:t>Badanie geometrycznych właściwości kruszyw. Oznaczanie składu ziarnowego.</w:t>
      </w:r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sz w:val="20"/>
        </w:rPr>
        <w:t>PN-EN 933-4</w:t>
      </w:r>
      <w:r w:rsidRPr="009E0C2C">
        <w:rPr>
          <w:sz w:val="20"/>
        </w:rPr>
        <w:tab/>
        <w:t xml:space="preserve">Badania geometrycznych właściwości kruszyw. Część 4. Oznaczanie kształtu </w:t>
      </w:r>
      <w:proofErr w:type="spellStart"/>
      <w:r w:rsidRPr="009E0C2C">
        <w:rPr>
          <w:sz w:val="20"/>
        </w:rPr>
        <w:t>ziarn</w:t>
      </w:r>
      <w:proofErr w:type="spellEnd"/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sz w:val="20"/>
        </w:rPr>
        <w:t>PN-EN 1008</w:t>
      </w:r>
      <w:r w:rsidRPr="009E0C2C">
        <w:rPr>
          <w:sz w:val="20"/>
        </w:rPr>
        <w:tab/>
        <w:t>Woda do zarobowa do betonów.</w:t>
      </w:r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sz w:val="20"/>
          <w:lang w:val="nl-NL"/>
        </w:rPr>
        <w:t>PN-EN 206</w:t>
      </w:r>
      <w:r w:rsidRPr="009E0C2C">
        <w:rPr>
          <w:sz w:val="20"/>
          <w:lang w:val="nl-NL"/>
        </w:rPr>
        <w:tab/>
      </w:r>
      <w:r w:rsidRPr="009E0C2C">
        <w:rPr>
          <w:sz w:val="20"/>
        </w:rPr>
        <w:t>Beton. Wymagania, właściwości, produkcja i zgodność.</w:t>
      </w:r>
    </w:p>
    <w:p w:rsidR="00E86DC8" w:rsidRPr="009E0C2C" w:rsidRDefault="009E0C2C" w:rsidP="009E0C2C">
      <w:pPr>
        <w:jc w:val="both"/>
        <w:rPr>
          <w:sz w:val="20"/>
          <w:lang w:val="nl-NL"/>
        </w:rPr>
      </w:pPr>
      <w:r w:rsidRPr="009E0C2C">
        <w:rPr>
          <w:sz w:val="20"/>
          <w:lang w:val="nl-NL"/>
        </w:rPr>
        <w:t>PN-EN 12620</w:t>
      </w:r>
      <w:r w:rsidRPr="009E0C2C">
        <w:rPr>
          <w:sz w:val="20"/>
          <w:lang w:val="nl-NL"/>
        </w:rPr>
        <w:tab/>
        <w:t>Kruszywa do betonu</w:t>
      </w:r>
    </w:p>
    <w:p w:rsidR="00E86DC8" w:rsidRPr="009E0C2C" w:rsidRDefault="009E0C2C" w:rsidP="009E0C2C">
      <w:pPr>
        <w:jc w:val="both"/>
        <w:rPr>
          <w:sz w:val="20"/>
          <w:lang w:val="nl-NL"/>
        </w:rPr>
      </w:pPr>
      <w:r w:rsidRPr="009E0C2C">
        <w:rPr>
          <w:sz w:val="20"/>
          <w:lang w:val="nl-NL"/>
        </w:rPr>
        <w:t>PN-EN 12350-1</w:t>
      </w:r>
      <w:r w:rsidRPr="009E0C2C">
        <w:rPr>
          <w:sz w:val="20"/>
          <w:lang w:val="nl-NL"/>
        </w:rPr>
        <w:tab/>
        <w:t>Badania mieszanki betonowej. Pobieranie próbek</w:t>
      </w:r>
    </w:p>
    <w:p w:rsidR="00E86DC8" w:rsidRPr="009E0C2C" w:rsidRDefault="009E0C2C" w:rsidP="009E0C2C">
      <w:pPr>
        <w:jc w:val="both"/>
        <w:rPr>
          <w:sz w:val="20"/>
          <w:lang w:val="nl-NL"/>
        </w:rPr>
      </w:pPr>
      <w:r w:rsidRPr="009E0C2C">
        <w:rPr>
          <w:sz w:val="20"/>
          <w:lang w:val="nl-NL"/>
        </w:rPr>
        <w:t>PN-EN 12390-2</w:t>
      </w:r>
      <w:r w:rsidRPr="009E0C2C">
        <w:rPr>
          <w:sz w:val="20"/>
          <w:lang w:val="nl-NL"/>
        </w:rPr>
        <w:tab/>
        <w:t>Badania betonu. Wykonywanie I pielęgnacja próbek do badań wytrzymałościowych.</w:t>
      </w:r>
    </w:p>
    <w:p w:rsidR="00E86DC8" w:rsidRPr="009E0C2C" w:rsidRDefault="009E0C2C" w:rsidP="009E0C2C">
      <w:pPr>
        <w:jc w:val="both"/>
        <w:rPr>
          <w:sz w:val="20"/>
          <w:lang w:val="nl-NL"/>
        </w:rPr>
      </w:pPr>
      <w:r w:rsidRPr="009E0C2C">
        <w:rPr>
          <w:sz w:val="20"/>
          <w:lang w:val="nl-NL"/>
        </w:rPr>
        <w:t>PN-EN 12390-3</w:t>
      </w:r>
      <w:r w:rsidRPr="009E0C2C">
        <w:rPr>
          <w:sz w:val="20"/>
          <w:lang w:val="nl-NL"/>
        </w:rPr>
        <w:tab/>
      </w:r>
      <w:r w:rsidRPr="009E0C2C">
        <w:rPr>
          <w:sz w:val="20"/>
        </w:rPr>
        <w:t>Badania betonu.  Wytrzymałość na ściskanie próbek do badania</w:t>
      </w:r>
    </w:p>
    <w:p w:rsidR="00E86DC8" w:rsidRPr="009E0C2C" w:rsidRDefault="009E0C2C" w:rsidP="009E0C2C">
      <w:pPr>
        <w:jc w:val="both"/>
        <w:rPr>
          <w:sz w:val="20"/>
          <w:lang w:val="nl-NL"/>
        </w:rPr>
      </w:pPr>
      <w:r w:rsidRPr="009E0C2C">
        <w:rPr>
          <w:sz w:val="20"/>
          <w:lang w:val="nl-NL"/>
        </w:rPr>
        <w:t>PN-EN 1097-2</w:t>
      </w:r>
      <w:r w:rsidRPr="009E0C2C">
        <w:rPr>
          <w:sz w:val="20"/>
          <w:lang w:val="nl-NL"/>
        </w:rPr>
        <w:tab/>
        <w:t>Badania mechanicznych i fizycznych właściwości kruszyw. Metody oznaczania odporności na rozdrabnianie.</w:t>
      </w:r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sz w:val="20"/>
          <w:lang w:val="nl-NL"/>
        </w:rPr>
        <w:t>PN-EN 1367-1</w:t>
      </w:r>
      <w:r w:rsidRPr="009E0C2C">
        <w:rPr>
          <w:sz w:val="20"/>
          <w:lang w:val="nl-NL"/>
        </w:rPr>
        <w:tab/>
      </w:r>
      <w:r w:rsidRPr="009E0C2C">
        <w:rPr>
          <w:sz w:val="20"/>
        </w:rPr>
        <w:t>Badania właściwości cieplnych i odporności kruszyw na działanie czynników atmosferycznych. Część 1: Oznaczanie mrozoodporności.</w:t>
      </w:r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sz w:val="20"/>
        </w:rPr>
        <w:t>PN-EN 1744-1</w:t>
      </w:r>
      <w:r w:rsidRPr="009E0C2C">
        <w:rPr>
          <w:sz w:val="20"/>
        </w:rPr>
        <w:tab/>
        <w:t>Badania chemicznych właściwości kruszyw -- Część 1: Analiza chemiczna</w:t>
      </w:r>
    </w:p>
    <w:p w:rsidR="00E86DC8" w:rsidRPr="007D0F72" w:rsidRDefault="009E0C2C" w:rsidP="009E0C2C">
      <w:pPr>
        <w:jc w:val="both"/>
        <w:rPr>
          <w:b/>
          <w:i/>
          <w:sz w:val="20"/>
        </w:rPr>
      </w:pPr>
      <w:r w:rsidRPr="007D0F72">
        <w:rPr>
          <w:b/>
          <w:sz w:val="20"/>
        </w:rPr>
        <w:t>10.2. Inne dokumenty</w:t>
      </w:r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sz w:val="20"/>
        </w:rPr>
        <w:t>D-M.00.00.00. Wymagania ogólne</w:t>
      </w:r>
    </w:p>
    <w:p w:rsidR="00E86DC8" w:rsidRPr="009E0C2C" w:rsidRDefault="009E0C2C" w:rsidP="009E0C2C">
      <w:pPr>
        <w:jc w:val="both"/>
        <w:rPr>
          <w:sz w:val="20"/>
        </w:rPr>
      </w:pPr>
      <w:r w:rsidRPr="009E0C2C">
        <w:rPr>
          <w:sz w:val="20"/>
        </w:rPr>
        <w:t xml:space="preserve">M-13.01.00. Beton konstrukcyjny </w:t>
      </w:r>
    </w:p>
    <w:sectPr w:rsidR="00E86DC8" w:rsidRPr="009E0C2C" w:rsidSect="00D42776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098" w:right="1418" w:bottom="1418" w:left="1418" w:header="567" w:footer="474" w:gutter="0"/>
      <w:pgNumType w:start="21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2C99" w:rsidRDefault="00392C99">
      <w:r>
        <w:separator/>
      </w:r>
    </w:p>
  </w:endnote>
  <w:endnote w:type="continuationSeparator" w:id="0">
    <w:p w:rsidR="00392C99" w:rsidRDefault="00392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0C2C" w:rsidRDefault="009E0C2C">
    <w:pPr>
      <w:pStyle w:val="Stopka"/>
      <w:pBdr>
        <w:top w:val="single" w:sz="4" w:space="1" w:color="auto"/>
      </w:pBdr>
      <w:jc w:val="center"/>
      <w:rPr>
        <w:i/>
        <w:sz w:val="20"/>
      </w:rPr>
    </w:pPr>
    <w:r>
      <w:rPr>
        <w:sz w:val="20"/>
      </w:rPr>
      <w:t xml:space="preserve">DHV Polska Sp. z o.o. </w:t>
    </w:r>
  </w:p>
  <w:p w:rsidR="009E0C2C" w:rsidRDefault="009E0C2C">
    <w:pPr>
      <w:pStyle w:val="Stopka"/>
      <w:tabs>
        <w:tab w:val="clear" w:pos="9072"/>
        <w:tab w:val="right" w:pos="9070"/>
      </w:tabs>
      <w:rPr>
        <w:i/>
        <w:sz w:val="20"/>
      </w:rPr>
    </w:pPr>
  </w:p>
  <w:p w:rsidR="009E0C2C" w:rsidRDefault="009E0C2C">
    <w:pPr>
      <w:pStyle w:val="Stopka"/>
      <w:jc w:val="center"/>
      <w:rPr>
        <w:i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2776" w:rsidRDefault="00D42776">
    <w:pPr>
      <w:pStyle w:val="Stopka"/>
      <w:jc w:val="right"/>
    </w:pPr>
  </w:p>
  <w:p w:rsidR="009E0C2C" w:rsidRDefault="009E0C2C">
    <w:pPr>
      <w:pStyle w:val="Stopka"/>
      <w:rPr>
        <w:rFonts w:ascii="Calibri" w:hAnsi="Calibri" w:cs="Calibr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2C99" w:rsidRDefault="00392C99">
      <w:r>
        <w:separator/>
      </w:r>
    </w:p>
  </w:footnote>
  <w:footnote w:type="continuationSeparator" w:id="0">
    <w:p w:rsidR="00392C99" w:rsidRDefault="00392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0C2C" w:rsidRDefault="009E0C2C">
    <w:pPr>
      <w:rPr>
        <w:sz w:val="16"/>
        <w:szCs w:val="16"/>
      </w:rPr>
    </w:pPr>
  </w:p>
  <w:tbl>
    <w:tblPr>
      <w:tblW w:w="5000" w:type="pct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8"/>
      <w:gridCol w:w="6864"/>
      <w:gridCol w:w="1649"/>
    </w:tblGrid>
    <w:tr w:rsidR="009E0C2C">
      <w:trPr>
        <w:trHeight w:val="250"/>
      </w:trPr>
      <w:tc>
        <w:tcPr>
          <w:tcW w:w="379" w:type="pct"/>
          <w:vAlign w:val="center"/>
        </w:tcPr>
        <w:p w:rsidR="009E0C2C" w:rsidRDefault="009E0C2C">
          <w:pPr>
            <w:pStyle w:val="Nagwek-SST-nieparzysty"/>
            <w:rPr>
              <w:sz w:val="16"/>
              <w:szCs w:val="16"/>
            </w:rPr>
          </w:pPr>
        </w:p>
        <w:p w:rsidR="009E0C2C" w:rsidRDefault="009E0C2C">
          <w:pPr>
            <w:pStyle w:val="Nagwek-SST-nieparzysty"/>
          </w:pPr>
          <w:r>
            <w:fldChar w:fldCharType="begin"/>
          </w:r>
          <w:r>
            <w:instrText xml:space="preserve">PAGE  </w:instrText>
          </w:r>
          <w:r>
            <w:fldChar w:fldCharType="separate"/>
          </w:r>
          <w:r>
            <w:t>88</w:t>
          </w:r>
          <w:r>
            <w:fldChar w:fldCharType="end"/>
          </w:r>
        </w:p>
      </w:tc>
      <w:tc>
        <w:tcPr>
          <w:tcW w:w="3726" w:type="pct"/>
        </w:tcPr>
        <w:p w:rsidR="009E0C2C" w:rsidRDefault="009E0C2C">
          <w:pPr>
            <w:pStyle w:val="Nagwek-SST-parzysty"/>
            <w:jc w:val="center"/>
            <w:rPr>
              <w:lang w:val="pl-PL"/>
            </w:rPr>
          </w:pPr>
          <w:r>
            <w:rPr>
              <w:lang w:val="pl-PL"/>
            </w:rPr>
            <w:t>Beton  klasy poniżej C 20/25 w deskowaniu</w:t>
          </w:r>
        </w:p>
      </w:tc>
      <w:tc>
        <w:tcPr>
          <w:tcW w:w="895" w:type="pct"/>
        </w:tcPr>
        <w:p w:rsidR="009E0C2C" w:rsidRDefault="009E0C2C">
          <w:pPr>
            <w:pStyle w:val="Nagwek-SST-parzysty"/>
          </w:pPr>
          <w:r>
            <w:t>M-13.02.01</w:t>
          </w:r>
        </w:p>
      </w:tc>
    </w:tr>
  </w:tbl>
  <w:p w:rsidR="009E0C2C" w:rsidRDefault="009E0C2C">
    <w:pPr>
      <w:pStyle w:val="Nagwek"/>
      <w:ind w:right="-6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0C2C" w:rsidRPr="009E0C2C" w:rsidRDefault="009E0C2C" w:rsidP="009E0C2C">
    <w:pPr>
      <w:pBdr>
        <w:bottom w:val="single" w:sz="4" w:space="1" w:color="auto"/>
      </w:pBdr>
      <w:suppressAutoHyphens/>
      <w:jc w:val="center"/>
      <w:rPr>
        <w:rFonts w:eastAsia="Calibri"/>
        <w:sz w:val="16"/>
        <w:szCs w:val="16"/>
        <w:lang w:eastAsia="en-US"/>
      </w:rPr>
    </w:pPr>
    <w:r w:rsidRPr="009E0C2C">
      <w:rPr>
        <w:rFonts w:eastAsia="Calibri"/>
        <w:sz w:val="16"/>
        <w:szCs w:val="16"/>
        <w:lang w:eastAsia="en-US"/>
      </w:rPr>
      <w:t xml:space="preserve">M-13.02.01. </w:t>
    </w:r>
    <w:r w:rsidRPr="009E0C2C">
      <w:rPr>
        <w:rFonts w:eastAsia="Calibri"/>
        <w:sz w:val="16"/>
        <w:szCs w:val="16"/>
        <w:lang w:eastAsia="en-US"/>
      </w:rPr>
      <w:tab/>
    </w:r>
    <w:r w:rsidRPr="009E0C2C">
      <w:rPr>
        <w:sz w:val="16"/>
        <w:szCs w:val="16"/>
      </w:rPr>
      <w:t>BETON KLASY PONIŻEJ C20/25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C74D49"/>
    <w:multiLevelType w:val="hybridMultilevel"/>
    <w:tmpl w:val="0A4C61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52F68"/>
    <w:multiLevelType w:val="multilevel"/>
    <w:tmpl w:val="65B0B13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701CB8"/>
    <w:multiLevelType w:val="hybridMultilevel"/>
    <w:tmpl w:val="0A5A8584"/>
    <w:lvl w:ilvl="0" w:tplc="C576DBD4">
      <w:start w:val="1"/>
      <w:numFmt w:val="bullet"/>
      <w:lvlText w:val="-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A854A06"/>
    <w:multiLevelType w:val="hybridMultilevel"/>
    <w:tmpl w:val="08A4D904"/>
    <w:lvl w:ilvl="0" w:tplc="95AC7D6E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BD18E6"/>
    <w:multiLevelType w:val="hybridMultilevel"/>
    <w:tmpl w:val="ADC87C4A"/>
    <w:lvl w:ilvl="0" w:tplc="556A2B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3"/>
        <w:sz w:val="19"/>
        <w:szCs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C441A5"/>
    <w:multiLevelType w:val="hybridMultilevel"/>
    <w:tmpl w:val="4338473C"/>
    <w:lvl w:ilvl="0" w:tplc="0B761AF2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A546FE"/>
    <w:multiLevelType w:val="hybridMultilevel"/>
    <w:tmpl w:val="7700CB0A"/>
    <w:lvl w:ilvl="0" w:tplc="556A2B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3"/>
        <w:sz w:val="19"/>
        <w:szCs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CE037A"/>
    <w:multiLevelType w:val="hybridMultilevel"/>
    <w:tmpl w:val="2EA85488"/>
    <w:lvl w:ilvl="0" w:tplc="556A2B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3"/>
        <w:sz w:val="19"/>
        <w:szCs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C27684"/>
    <w:multiLevelType w:val="hybridMultilevel"/>
    <w:tmpl w:val="87F89458"/>
    <w:lvl w:ilvl="0" w:tplc="556A2B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3"/>
        <w:sz w:val="19"/>
        <w:szCs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235AB7"/>
    <w:multiLevelType w:val="hybridMultilevel"/>
    <w:tmpl w:val="4AC28640"/>
    <w:lvl w:ilvl="0" w:tplc="0B761AF2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425AA9"/>
    <w:multiLevelType w:val="hybridMultilevel"/>
    <w:tmpl w:val="BA9A3D5E"/>
    <w:lvl w:ilvl="0" w:tplc="F4BC8016">
      <w:start w:val="1"/>
      <w:numFmt w:val="bullet"/>
      <w:lvlText w:val=""/>
      <w:lvlJc w:val="left"/>
      <w:pPr>
        <w:tabs>
          <w:tab w:val="num" w:pos="1505"/>
        </w:tabs>
        <w:ind w:left="1505" w:hanging="42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1E586E"/>
    <w:multiLevelType w:val="hybridMultilevel"/>
    <w:tmpl w:val="639CE64C"/>
    <w:lvl w:ilvl="0" w:tplc="0B761AF2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6449F6"/>
    <w:multiLevelType w:val="hybridMultilevel"/>
    <w:tmpl w:val="0A4C61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11241"/>
    <w:multiLevelType w:val="hybridMultilevel"/>
    <w:tmpl w:val="062AD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8C3078"/>
    <w:multiLevelType w:val="hybridMultilevel"/>
    <w:tmpl w:val="61CADF44"/>
    <w:lvl w:ilvl="0" w:tplc="556A2B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3"/>
        <w:sz w:val="19"/>
        <w:szCs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F470B3"/>
    <w:multiLevelType w:val="hybridMultilevel"/>
    <w:tmpl w:val="9CA8854C"/>
    <w:lvl w:ilvl="0" w:tplc="0B761AF2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4A32F8"/>
    <w:multiLevelType w:val="hybridMultilevel"/>
    <w:tmpl w:val="18B8A24A"/>
    <w:lvl w:ilvl="0" w:tplc="C576DBD4">
      <w:start w:val="1"/>
      <w:numFmt w:val="bullet"/>
      <w:lvlText w:val="-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D0E69AF"/>
    <w:multiLevelType w:val="hybridMultilevel"/>
    <w:tmpl w:val="63C28E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9C6A84"/>
    <w:multiLevelType w:val="hybridMultilevel"/>
    <w:tmpl w:val="439C09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F3526E"/>
    <w:multiLevelType w:val="hybridMultilevel"/>
    <w:tmpl w:val="65B0B13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A32313"/>
    <w:multiLevelType w:val="hybridMultilevel"/>
    <w:tmpl w:val="9DDECBA0"/>
    <w:lvl w:ilvl="0" w:tplc="0B40E93A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AC6D22"/>
    <w:multiLevelType w:val="hybridMultilevel"/>
    <w:tmpl w:val="E280FA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6D0EAF"/>
    <w:multiLevelType w:val="hybridMultilevel"/>
    <w:tmpl w:val="077EBE98"/>
    <w:lvl w:ilvl="0" w:tplc="95AC7D6E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7B32D5"/>
    <w:multiLevelType w:val="hybridMultilevel"/>
    <w:tmpl w:val="9740D83E"/>
    <w:lvl w:ilvl="0" w:tplc="673A9B6A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951257"/>
    <w:multiLevelType w:val="hybridMultilevel"/>
    <w:tmpl w:val="6CA42D42"/>
    <w:lvl w:ilvl="0" w:tplc="0B761AF2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1E1D98"/>
    <w:multiLevelType w:val="hybridMultilevel"/>
    <w:tmpl w:val="2E48D418"/>
    <w:lvl w:ilvl="0" w:tplc="0B761AF2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1B5CF0"/>
    <w:multiLevelType w:val="singleLevel"/>
    <w:tmpl w:val="89364D3C"/>
    <w:lvl w:ilvl="0">
      <w:start w:val="1"/>
      <w:numFmt w:val="bullet"/>
      <w:lvlText w:val="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28" w15:restartNumberingAfterBreak="0">
    <w:nsid w:val="6E836281"/>
    <w:multiLevelType w:val="hybridMultilevel"/>
    <w:tmpl w:val="FE943802"/>
    <w:lvl w:ilvl="0" w:tplc="5BFAE3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0EE39E1"/>
    <w:multiLevelType w:val="hybridMultilevel"/>
    <w:tmpl w:val="35323E34"/>
    <w:lvl w:ilvl="0" w:tplc="04150017">
      <w:start w:val="1"/>
      <w:numFmt w:val="lowerLetter"/>
      <w:lvlText w:val="%1)"/>
      <w:lvlJc w:val="left"/>
      <w:pPr>
        <w:ind w:left="13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63" w:hanging="360"/>
      </w:pPr>
    </w:lvl>
    <w:lvl w:ilvl="2" w:tplc="0415001B" w:tentative="1">
      <w:start w:val="1"/>
      <w:numFmt w:val="lowerRoman"/>
      <w:lvlText w:val="%3."/>
      <w:lvlJc w:val="right"/>
      <w:pPr>
        <w:ind w:left="2783" w:hanging="180"/>
      </w:pPr>
    </w:lvl>
    <w:lvl w:ilvl="3" w:tplc="0415000F" w:tentative="1">
      <w:start w:val="1"/>
      <w:numFmt w:val="decimal"/>
      <w:lvlText w:val="%4."/>
      <w:lvlJc w:val="left"/>
      <w:pPr>
        <w:ind w:left="3503" w:hanging="360"/>
      </w:pPr>
    </w:lvl>
    <w:lvl w:ilvl="4" w:tplc="04150019" w:tentative="1">
      <w:start w:val="1"/>
      <w:numFmt w:val="lowerLetter"/>
      <w:lvlText w:val="%5."/>
      <w:lvlJc w:val="left"/>
      <w:pPr>
        <w:ind w:left="4223" w:hanging="360"/>
      </w:pPr>
    </w:lvl>
    <w:lvl w:ilvl="5" w:tplc="0415001B" w:tentative="1">
      <w:start w:val="1"/>
      <w:numFmt w:val="lowerRoman"/>
      <w:lvlText w:val="%6."/>
      <w:lvlJc w:val="right"/>
      <w:pPr>
        <w:ind w:left="4943" w:hanging="180"/>
      </w:pPr>
    </w:lvl>
    <w:lvl w:ilvl="6" w:tplc="0415000F" w:tentative="1">
      <w:start w:val="1"/>
      <w:numFmt w:val="decimal"/>
      <w:lvlText w:val="%7."/>
      <w:lvlJc w:val="left"/>
      <w:pPr>
        <w:ind w:left="5663" w:hanging="360"/>
      </w:pPr>
    </w:lvl>
    <w:lvl w:ilvl="7" w:tplc="04150019" w:tentative="1">
      <w:start w:val="1"/>
      <w:numFmt w:val="lowerLetter"/>
      <w:lvlText w:val="%8."/>
      <w:lvlJc w:val="left"/>
      <w:pPr>
        <w:ind w:left="6383" w:hanging="360"/>
      </w:pPr>
    </w:lvl>
    <w:lvl w:ilvl="8" w:tplc="0415001B" w:tentative="1">
      <w:start w:val="1"/>
      <w:numFmt w:val="lowerRoman"/>
      <w:lvlText w:val="%9."/>
      <w:lvlJc w:val="right"/>
      <w:pPr>
        <w:ind w:left="7103" w:hanging="180"/>
      </w:pPr>
    </w:lvl>
  </w:abstractNum>
  <w:abstractNum w:abstractNumId="30" w15:restartNumberingAfterBreak="0">
    <w:nsid w:val="79B730E8"/>
    <w:multiLevelType w:val="singleLevel"/>
    <w:tmpl w:val="875094E2"/>
    <w:lvl w:ilvl="0">
      <w:start w:val="1"/>
      <w:numFmt w:val="bullet"/>
      <w:pStyle w:val="Bullet1poin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effect w:val="none"/>
      </w:rPr>
    </w:lvl>
  </w:abstractNum>
  <w:abstractNum w:abstractNumId="31" w15:restartNumberingAfterBreak="0">
    <w:nsid w:val="7C8E2803"/>
    <w:multiLevelType w:val="singleLevel"/>
    <w:tmpl w:val="C576DBD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8"/>
  </w:num>
  <w:num w:numId="3">
    <w:abstractNumId w:val="6"/>
  </w:num>
  <w:num w:numId="4">
    <w:abstractNumId w:val="10"/>
  </w:num>
  <w:num w:numId="5">
    <w:abstractNumId w:val="25"/>
  </w:num>
  <w:num w:numId="6">
    <w:abstractNumId w:val="30"/>
  </w:num>
  <w:num w:numId="7">
    <w:abstractNumId w:val="20"/>
  </w:num>
  <w:num w:numId="8">
    <w:abstractNumId w:val="26"/>
  </w:num>
  <w:num w:numId="9">
    <w:abstractNumId w:val="12"/>
  </w:num>
  <w:num w:numId="10">
    <w:abstractNumId w:val="16"/>
  </w:num>
  <w:num w:numId="11">
    <w:abstractNumId w:val="21"/>
  </w:num>
  <w:num w:numId="12">
    <w:abstractNumId w:val="4"/>
  </w:num>
  <w:num w:numId="13">
    <w:abstractNumId w:val="31"/>
  </w:num>
  <w:num w:numId="14">
    <w:abstractNumId w:val="1"/>
  </w:num>
  <w:num w:numId="15">
    <w:abstractNumId w:val="11"/>
  </w:num>
  <w:num w:numId="16">
    <w:abstractNumId w:val="14"/>
  </w:num>
  <w:num w:numId="17">
    <w:abstractNumId w:val="19"/>
  </w:num>
  <w:num w:numId="18">
    <w:abstractNumId w:val="3"/>
  </w:num>
  <w:num w:numId="19">
    <w:abstractNumId w:val="17"/>
  </w:num>
  <w:num w:numId="20">
    <w:abstractNumId w:val="2"/>
  </w:num>
  <w:num w:numId="2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22"/>
  </w:num>
  <w:num w:numId="24">
    <w:abstractNumId w:val="24"/>
  </w:num>
  <w:num w:numId="25">
    <w:abstractNumId w:val="23"/>
  </w:num>
  <w:num w:numId="26">
    <w:abstractNumId w:val="27"/>
  </w:num>
  <w:num w:numId="27">
    <w:abstractNumId w:val="29"/>
  </w:num>
  <w:num w:numId="28">
    <w:abstractNumId w:val="18"/>
  </w:num>
  <w:num w:numId="29">
    <w:abstractNumId w:val="8"/>
  </w:num>
  <w:num w:numId="30">
    <w:abstractNumId w:val="7"/>
  </w:num>
  <w:num w:numId="31">
    <w:abstractNumId w:val="5"/>
  </w:num>
  <w:num w:numId="32">
    <w:abstractNumId w:val="9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6DC8"/>
    <w:rsid w:val="00067F2F"/>
    <w:rsid w:val="001F2384"/>
    <w:rsid w:val="00392C99"/>
    <w:rsid w:val="007D0F72"/>
    <w:rsid w:val="009E0C2C"/>
    <w:rsid w:val="00D42776"/>
    <w:rsid w:val="00E86DC8"/>
    <w:rsid w:val="00EF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05D13B"/>
  <w15:docId w15:val="{6182FEF0-ACB2-4096-AEE0-7279B6D10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aliases w:val="Title 3"/>
    <w:next w:val="Normalny"/>
    <w:qFormat/>
    <w:pPr>
      <w:widowControl w:val="0"/>
      <w:spacing w:before="60"/>
      <w:outlineLvl w:val="2"/>
    </w:pPr>
    <w:rPr>
      <w:b/>
      <w:noProof/>
    </w:rPr>
  </w:style>
  <w:style w:type="paragraph" w:styleId="Nagwek4">
    <w:name w:val="heading 4"/>
    <w:basedOn w:val="Normalny"/>
    <w:next w:val="Normalny"/>
    <w:qFormat/>
    <w:pPr>
      <w:keepNext/>
      <w:spacing w:before="60" w:after="60"/>
      <w:ind w:right="-70"/>
      <w:jc w:val="center"/>
      <w:outlineLvl w:val="3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Listapunktowana">
    <w:name w:val="List Bullet"/>
    <w:basedOn w:val="Normalny"/>
    <w:pPr>
      <w:spacing w:line="360" w:lineRule="auto"/>
      <w:ind w:left="360" w:hanging="360"/>
    </w:pPr>
  </w:style>
  <w:style w:type="paragraph" w:styleId="Listapunktowana2">
    <w:name w:val="List Bullet 2"/>
    <w:basedOn w:val="Normalny"/>
    <w:pPr>
      <w:spacing w:line="360" w:lineRule="auto"/>
      <w:ind w:left="720" w:hanging="360"/>
    </w:pPr>
  </w:style>
  <w:style w:type="paragraph" w:styleId="Listapunktowana3">
    <w:name w:val="List Bullet 3"/>
    <w:basedOn w:val="Normalny"/>
    <w:pPr>
      <w:spacing w:line="360" w:lineRule="auto"/>
      <w:ind w:left="1080" w:hanging="360"/>
    </w:p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3">
    <w:name w:val="Body Text Indent 3"/>
    <w:basedOn w:val="Normalny"/>
    <w:pPr>
      <w:spacing w:line="360" w:lineRule="auto"/>
      <w:ind w:left="2268" w:hanging="2268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pPr>
      <w:numPr>
        <w:ilvl w:val="12"/>
      </w:numPr>
      <w:tabs>
        <w:tab w:val="left" w:pos="6237"/>
      </w:tabs>
      <w:spacing w:line="360" w:lineRule="auto"/>
      <w:ind w:left="6237" w:hanging="6237"/>
      <w:jc w:val="both"/>
    </w:pPr>
  </w:style>
  <w:style w:type="paragraph" w:styleId="Tekstkomentarza">
    <w:name w:val="annotation text"/>
    <w:basedOn w:val="Normalny"/>
    <w:link w:val="TekstkomentarzaZnak"/>
    <w:semiHidden/>
    <w:pPr>
      <w:spacing w:before="60"/>
      <w:jc w:val="both"/>
    </w:pPr>
    <w:rPr>
      <w:sz w:val="20"/>
    </w:rPr>
  </w:style>
  <w:style w:type="paragraph" w:styleId="Listanumerowana3">
    <w:name w:val="List Number 3"/>
    <w:basedOn w:val="Normalny"/>
    <w:pPr>
      <w:spacing w:before="60" w:after="60" w:line="312" w:lineRule="auto"/>
      <w:ind w:left="680" w:hanging="340"/>
      <w:jc w:val="both"/>
    </w:pPr>
    <w:rPr>
      <w:sz w:val="20"/>
    </w:rPr>
  </w:style>
  <w:style w:type="paragraph" w:styleId="Listanumerowana2">
    <w:name w:val="List Number 2"/>
    <w:basedOn w:val="Normalny"/>
    <w:pPr>
      <w:spacing w:before="60" w:after="60" w:line="312" w:lineRule="auto"/>
      <w:jc w:val="both"/>
    </w:pPr>
    <w:rPr>
      <w:sz w:val="20"/>
    </w:rPr>
  </w:style>
  <w:style w:type="paragraph" w:customStyle="1" w:styleId="BodyText21">
    <w:name w:val="Body Text 21"/>
    <w:basedOn w:val="Normalny"/>
    <w:pPr>
      <w:widowControl w:val="0"/>
      <w:spacing w:after="120"/>
      <w:jc w:val="both"/>
    </w:pPr>
    <w:rPr>
      <w:sz w:val="20"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paragraph" w:styleId="Tekstpodstawowy2">
    <w:name w:val="Body Text 2"/>
    <w:basedOn w:val="Normalny"/>
    <w:pPr>
      <w:numPr>
        <w:ilvl w:val="12"/>
      </w:numPr>
      <w:jc w:val="both"/>
    </w:pPr>
    <w:rPr>
      <w:color w:val="FF0000"/>
    </w:rPr>
  </w:style>
  <w:style w:type="paragraph" w:customStyle="1" w:styleId="a">
    <w:basedOn w:val="Normalny"/>
    <w:next w:val="Nagwek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Century Gothic" w:hAnsi="Century Gothic"/>
    </w:rPr>
  </w:style>
  <w:style w:type="paragraph" w:customStyle="1" w:styleId="Bullet1points">
    <w:name w:val="Bullet 1 points"/>
    <w:basedOn w:val="Normalny"/>
    <w:pPr>
      <w:numPr>
        <w:numId w:val="6"/>
      </w:numPr>
      <w:spacing w:before="60" w:after="60"/>
      <w:jc w:val="both"/>
    </w:pPr>
    <w:rPr>
      <w:sz w:val="20"/>
    </w:rPr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Pr>
      <w:sz w:val="24"/>
    </w:rPr>
  </w:style>
  <w:style w:type="paragraph" w:customStyle="1" w:styleId="Nagwek-SST-nieparzysty">
    <w:name w:val="Nagłówek - SST - nieparzysty"/>
    <w:basedOn w:val="Normalny"/>
    <w:autoRedefine/>
    <w:pPr>
      <w:tabs>
        <w:tab w:val="left" w:pos="0"/>
      </w:tabs>
      <w:autoSpaceDE w:val="0"/>
      <w:autoSpaceDN w:val="0"/>
    </w:pPr>
    <w:rPr>
      <w:bCs/>
      <w:noProof/>
      <w:sz w:val="20"/>
      <w:szCs w:val="24"/>
      <w:lang w:val="en-GB"/>
    </w:rPr>
  </w:style>
  <w:style w:type="paragraph" w:customStyle="1" w:styleId="Nagwek-SST-parzysty">
    <w:name w:val="Nagłówek - SST - parzysty"/>
    <w:basedOn w:val="Nagwek-SST-nieparzysty"/>
    <w:pPr>
      <w:jc w:val="right"/>
    </w:p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pPr>
      <w:spacing w:before="0"/>
      <w:jc w:val="left"/>
    </w:pPr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</w:style>
  <w:style w:type="character" w:customStyle="1" w:styleId="TematkomentarzaZnak">
    <w:name w:val="Temat komentarza Znak"/>
    <w:link w:val="Tematkomentarza"/>
    <w:uiPriority w:val="99"/>
    <w:semiHidden/>
    <w:rPr>
      <w:b/>
      <w:bCs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1373</Words>
  <Characters>8240</Characters>
  <Application>Microsoft Office Word</Application>
  <DocSecurity>0</DocSecurity>
  <Lines>68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D.02.03.01 WYKONANIE NASYPÓW</vt:lpstr>
      <vt:lpstr>D.02.03.01 WYKONANIE NASYPÓW</vt:lpstr>
    </vt:vector>
  </TitlesOfParts>
  <Company>Transprojekt</Company>
  <LinksUpToDate>false</LinksUpToDate>
  <CharactersWithSpaces>9594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D.02.03.01 WYKONANIE NASYPÓW</dc:title>
  <dc:creator>WT-LD Kraków</dc:creator>
  <cp:lastModifiedBy>User</cp:lastModifiedBy>
  <cp:revision>28</cp:revision>
  <cp:lastPrinted>2019-02-22T11:55:00Z</cp:lastPrinted>
  <dcterms:created xsi:type="dcterms:W3CDTF">2015-03-10T18:55:00Z</dcterms:created>
  <dcterms:modified xsi:type="dcterms:W3CDTF">2019-02-22T11:55:00Z</dcterms:modified>
</cp:coreProperties>
</file>