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6C3E35A" w:rsidR="00EC2759" w:rsidRPr="00DA1E7F" w:rsidRDefault="00B208DA" w:rsidP="00DA1E7F">
      <w:pPr>
        <w:spacing w:after="0" w:line="276" w:lineRule="auto"/>
        <w:ind w:left="34" w:right="91" w:firstLine="0"/>
        <w:jc w:val="center"/>
        <w:rPr>
          <w:b/>
          <w:i/>
          <w:color w:val="000000"/>
          <w:sz w:val="32"/>
        </w:rPr>
      </w:pPr>
      <w:bookmarkStart w:id="0" w:name="_Hlk169091610"/>
      <w:bookmarkStart w:id="1" w:name="_Hlk152075376"/>
      <w:r>
        <w:rPr>
          <w:b/>
          <w:color w:val="000000"/>
          <w:sz w:val="32"/>
        </w:rPr>
        <w:t>„</w:t>
      </w:r>
      <w:bookmarkStart w:id="2" w:name="_Hlk152065550"/>
      <w:r w:rsidR="00DA1E7F">
        <w:rPr>
          <w:b/>
          <w:color w:val="000000"/>
          <w:sz w:val="32"/>
        </w:rPr>
        <w:t>Budowa</w:t>
      </w:r>
      <w:r w:rsidR="00044FAA">
        <w:rPr>
          <w:b/>
          <w:color w:val="000000"/>
          <w:sz w:val="32"/>
        </w:rPr>
        <w:t xml:space="preserve"> tężni solankowej w Łęczycy</w:t>
      </w:r>
      <w:r w:rsidR="00DA1E7F" w:rsidRPr="00DA1E7F">
        <w:rPr>
          <w:b/>
          <w:i/>
          <w:color w:val="000000"/>
          <w:sz w:val="32"/>
        </w:rPr>
        <w:t>”</w:t>
      </w:r>
      <w:bookmarkEnd w:id="0"/>
    </w:p>
    <w:bookmarkEnd w:id="2"/>
    <w:bookmarkEnd w:id="1"/>
    <w:p w14:paraId="0172E789" w14:textId="77777777" w:rsidR="00EC2759" w:rsidRDefault="00B208DA">
      <w:pPr>
        <w:spacing w:after="183" w:line="259" w:lineRule="auto"/>
        <w:ind w:left="0" w:right="71" w:firstLine="0"/>
        <w:jc w:val="center"/>
      </w:pPr>
      <w:r>
        <w:rPr>
          <w:color w:val="000000"/>
          <w:sz w:val="24"/>
        </w:rPr>
        <w:t xml:space="preserve"> </w:t>
      </w:r>
    </w:p>
    <w:p w14:paraId="30291576" w14:textId="638EB938"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044FAA">
        <w:rPr>
          <w:b w:val="0"/>
        </w:rPr>
        <w:t>9</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19E082F"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C75EE3">
        <w:rPr>
          <w:b/>
          <w:color w:val="000000"/>
        </w:rPr>
        <w:t>lipiec</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lastRenderedPageBreak/>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lastRenderedPageBreak/>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lastRenderedPageBreak/>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478A1F53" w:rsidR="00EC2759" w:rsidRPr="00517874" w:rsidRDefault="00B208DA" w:rsidP="00517874">
      <w:pPr>
        <w:pStyle w:val="Akapitzlist"/>
        <w:numPr>
          <w:ilvl w:val="0"/>
          <w:numId w:val="38"/>
        </w:numPr>
        <w:spacing w:after="42" w:line="267" w:lineRule="auto"/>
        <w:ind w:right="0"/>
        <w:jc w:val="left"/>
        <w:rPr>
          <w:rFonts w:asciiTheme="minorHAnsi" w:hAnsiTheme="minorHAnsi" w:cstheme="minorHAnsi"/>
          <w:b/>
        </w:rPr>
      </w:pPr>
      <w:r w:rsidRPr="00517874">
        <w:rPr>
          <w:rFonts w:asciiTheme="minorHAnsi" w:hAnsiTheme="minorHAnsi" w:cstheme="minorHAnsi"/>
          <w:b/>
        </w:rPr>
        <w:t xml:space="preserve">Przedmiot zamówienia: </w:t>
      </w:r>
    </w:p>
    <w:p w14:paraId="78926F73" w14:textId="06BA810D"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Przedmiotem zamówienia jest: </w:t>
      </w:r>
      <w:r w:rsidRPr="00517874">
        <w:rPr>
          <w:rFonts w:asciiTheme="minorHAnsi" w:hAnsiTheme="minorHAnsi" w:cstheme="minorHAnsi"/>
          <w:b/>
        </w:rPr>
        <w:t xml:space="preserve">Budowa tężni solankowej w </w:t>
      </w:r>
      <w:r>
        <w:rPr>
          <w:rFonts w:asciiTheme="minorHAnsi" w:hAnsiTheme="minorHAnsi" w:cstheme="minorHAnsi"/>
          <w:b/>
        </w:rPr>
        <w:t>Łęczycy</w:t>
      </w:r>
      <w:r w:rsidRPr="00517874">
        <w:rPr>
          <w:rFonts w:asciiTheme="minorHAnsi" w:hAnsiTheme="minorHAnsi" w:cstheme="minorHAnsi"/>
          <w:b/>
        </w:rPr>
        <w:t xml:space="preserve">.  </w:t>
      </w:r>
    </w:p>
    <w:p w14:paraId="24CA912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Szczegółowo przedmiot zamówienia określony został w dokumentacji technicznej, specyfikacji technicznej wykonania i odbioru robót budowlanych, przedmiarze robót – załącznik nr 2. 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r w:rsidRPr="00517874">
        <w:rPr>
          <w:rFonts w:asciiTheme="minorHAnsi" w:hAnsiTheme="minorHAnsi" w:cstheme="minorHAnsi"/>
          <w:b/>
        </w:rPr>
        <w:t xml:space="preserve"> </w:t>
      </w:r>
    </w:p>
    <w:p w14:paraId="7645E23B" w14:textId="26034482" w:rsidR="008E0E36" w:rsidRPr="008E0E36" w:rsidRDefault="00517874" w:rsidP="00904358">
      <w:pPr>
        <w:pStyle w:val="Akapitzlist"/>
        <w:numPr>
          <w:ilvl w:val="0"/>
          <w:numId w:val="39"/>
        </w:numPr>
        <w:spacing w:after="42" w:line="267" w:lineRule="auto"/>
        <w:ind w:right="0"/>
        <w:rPr>
          <w:rFonts w:asciiTheme="minorHAnsi" w:hAnsiTheme="minorHAnsi" w:cstheme="minorHAnsi"/>
        </w:rPr>
      </w:pPr>
      <w:r w:rsidRPr="008E0E36">
        <w:rPr>
          <w:rFonts w:asciiTheme="minorHAnsi" w:hAnsiTheme="minorHAnsi" w:cstheme="minorHAnsi"/>
        </w:rPr>
        <w:t xml:space="preserve">Roboty budowalne obejmują: </w:t>
      </w:r>
      <w:r w:rsidR="008E0E36" w:rsidRPr="008E0E36">
        <w:rPr>
          <w:rFonts w:asciiTheme="minorHAnsi" w:hAnsiTheme="minorHAnsi" w:cstheme="minorHAnsi"/>
        </w:rPr>
        <w:t>b</w:t>
      </w:r>
      <w:r w:rsidRPr="008E0E36">
        <w:rPr>
          <w:rFonts w:asciiTheme="minorHAnsi" w:hAnsiTheme="minorHAnsi" w:cstheme="minorHAnsi"/>
        </w:rPr>
        <w:t>udowę tężni solankowej wraz z infrastrukturą towarzyszącą</w:t>
      </w:r>
      <w:r w:rsidR="008E0E36" w:rsidRPr="008E0E36">
        <w:rPr>
          <w:rFonts w:asciiTheme="minorHAnsi" w:hAnsiTheme="minorHAnsi" w:cstheme="minorHAnsi"/>
        </w:rPr>
        <w:t xml:space="preserve">, przyłączem wodociągowym oraz przyłączem kablowym </w:t>
      </w:r>
      <w:proofErr w:type="spellStart"/>
      <w:r w:rsidR="008E0E36" w:rsidRPr="008E0E36">
        <w:rPr>
          <w:rFonts w:asciiTheme="minorHAnsi" w:hAnsiTheme="minorHAnsi" w:cstheme="minorHAnsi"/>
        </w:rPr>
        <w:t>nN</w:t>
      </w:r>
      <w:proofErr w:type="spellEnd"/>
      <w:r w:rsidR="008E0E36" w:rsidRPr="008E0E36">
        <w:rPr>
          <w:rFonts w:asciiTheme="minorHAnsi" w:hAnsiTheme="minorHAnsi" w:cstheme="minorHAnsi"/>
        </w:rPr>
        <w:t xml:space="preserve"> wraz ze złączem kablowo-pomiarowym i wewnętrzną linią zasilającą </w:t>
      </w:r>
      <w:proofErr w:type="spellStart"/>
      <w:r w:rsidR="008E0E36" w:rsidRPr="008E0E36">
        <w:rPr>
          <w:rFonts w:asciiTheme="minorHAnsi" w:hAnsiTheme="minorHAnsi" w:cstheme="minorHAnsi"/>
        </w:rPr>
        <w:t>nN</w:t>
      </w:r>
      <w:r w:rsidR="008E0E36">
        <w:rPr>
          <w:rFonts w:asciiTheme="minorHAnsi" w:hAnsiTheme="minorHAnsi" w:cstheme="minorHAnsi"/>
        </w:rPr>
        <w:t>.</w:t>
      </w:r>
      <w:proofErr w:type="spellEnd"/>
    </w:p>
    <w:p w14:paraId="56DB806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po podpisaniu Umowy zobowiązany jest do opracowania harmonogramu rzeczowo – finansowego określającego wartość poszczególnych etapów i terminów ich wykonania . </w:t>
      </w:r>
    </w:p>
    <w:p w14:paraId="3DDA570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Szczegółowy opis przedmiotu zamówienia dla robót budowlanych zgodnie z art. 103 ustawy Prawo zamówień publicznych opisany został za pomocą dokumentacji projektowej oraz specyfikacji technicznej wykonania i odbioru robót budowlanych. Dokumenty te stanowią załączniki do niniejszej SWZ. </w:t>
      </w:r>
      <w:r w:rsidRPr="00517874">
        <w:rPr>
          <w:rFonts w:asciiTheme="minorHAnsi" w:hAnsiTheme="minorHAnsi" w:cstheme="minorHAnsi"/>
          <w:b/>
        </w:rPr>
        <w:t xml:space="preserve"> </w:t>
      </w:r>
    </w:p>
    <w:p w14:paraId="7C4945F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Roboty budowlane należy wykonać zgodnie z załączoną dokumentacją projektową, wytycznymi określonymi w specyfikacji warunków zamówienia, z wiedzą techniczną i sztuką budowlaną, przepisami BHP i ppoż. oraz zgodnie z zaleceniami inspektora nadzoru. </w:t>
      </w:r>
    </w:p>
    <w:p w14:paraId="220DE4D5"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Należy opracować szczegółowy plan bezpieczeństwa i ochrony zdrowia na podstawie Rozporządzenia Ministra Infrastruktury z dnia 23 czerwca 2003 r. w sprawie informacji dotyczącej bezpieczeństwa i ochrony zdrowia oraz planu bezpieczeństwa i ochrony zdrowia (Dz. U. Nr. 120 poz. 1126). </w:t>
      </w:r>
    </w:p>
    <w:p w14:paraId="0A10799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Wszystkie dostarczone i zamontowane urządzenia muszą być nowe. Nie dopuszcza się urządzeń prototypowych. Dostarczane urządzenia muszą być pracujące, posiadać wymagane certyfikaty lub deklaracje zgodności CE. </w:t>
      </w:r>
    </w:p>
    <w:p w14:paraId="3515C19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Do wykonania zamówienia wykonawca zobowiązany jest użyć materiałów gwarantujących odpowiednią jakość, o parametrach technicznych i jakościowych odpowiadających właściwościom materiałów przyjętych w projekcie. </w:t>
      </w:r>
    </w:p>
    <w:p w14:paraId="1EB0A3FC"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lastRenderedPageBreak/>
        <w:t xml:space="preserve">Wykonawca ma obowiązek posiadać w stosunku do użytych materiałów i urządzeń dokumenty potwierdzające pozwolenie na zastosowanie/wbudowanie (atesty, certyfikaty, aprobaty techniczne, świadectwa jakości).  </w:t>
      </w:r>
    </w:p>
    <w:p w14:paraId="798FC420"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Zabrania się stosowania materiałów nieodpowiadających wymaganiom obowiązujących norm oraz o innych parametrach niż określone w projekcie. </w:t>
      </w:r>
    </w:p>
    <w:p w14:paraId="1B63E7B4"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zabezpieczy składowane tymczasowo na placu budowy materiały i urządzenia - do czasu ich wbudowania, przed zniszczeniem, uszkodzeniem albo utratą jakości, właściwości lub parametrów oraz udostępni do kontroli przez Inspektora Nadzoru. </w:t>
      </w:r>
    </w:p>
    <w:p w14:paraId="62BCA367"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14:paraId="79D59D67" w14:textId="5D47CB2A"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może powierzyć wykonywanie części robót budowlanych podwykonawcom, </w:t>
      </w:r>
      <w:r w:rsidR="00904358">
        <w:rPr>
          <w:rFonts w:asciiTheme="minorHAnsi" w:hAnsiTheme="minorHAnsi" w:cstheme="minorHAnsi"/>
        </w:rPr>
        <w:t xml:space="preserve">                                      </w:t>
      </w:r>
      <w:r w:rsidRPr="00517874">
        <w:rPr>
          <w:rFonts w:asciiTheme="minorHAnsi" w:hAnsiTheme="minorHAnsi" w:cstheme="minorHAnsi"/>
        </w:rPr>
        <w:t xml:space="preserve"> z uwzględnieniem postanowień zawartych we wzorze umowy o roboty budowlane. </w:t>
      </w:r>
    </w:p>
    <w:p w14:paraId="1304635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ma obowiązek znać i stosować w czasie prowadzenia robót wszelkie przepisy dotyczące ochrony środowiska naturalnego, ochrony przeciwpożarowej, zgodnie z dokumentacją projektową specyfikacją wykonania i odbioru, Polskimi Normami, warunkami technicznymi wykonania i odbioru robót oraz poleceniami nadzoru inwestorskiego zgodnie z art. 26 ustawy Prawo budowlane oraz obowiązującymi przepisami BHP. </w:t>
      </w:r>
    </w:p>
    <w:p w14:paraId="2A63E23D"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organizuje plac budowy na swój koszt i sam go zabezpiecza.</w:t>
      </w:r>
      <w:r w:rsidRPr="00517874">
        <w:rPr>
          <w:rFonts w:asciiTheme="minorHAnsi" w:hAnsiTheme="minorHAnsi" w:cstheme="minorHAnsi"/>
          <w:b/>
        </w:rPr>
        <w:t xml:space="preserve"> </w:t>
      </w:r>
    </w:p>
    <w:p w14:paraId="54EB0BA3"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jest odpowiedzialny za pełną kontrolę jakości robót i stosowania materiałów użytych do wykonania instalacji.</w:t>
      </w:r>
      <w:r w:rsidRPr="00517874">
        <w:rPr>
          <w:rFonts w:asciiTheme="minorHAnsi" w:hAnsiTheme="minorHAnsi" w:cstheme="minorHAnsi"/>
          <w:b/>
        </w:rPr>
        <w:t xml:space="preserve"> </w:t>
      </w:r>
    </w:p>
    <w:p w14:paraId="582A3F02"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Wszelkie prace związane z obsługą sprzętu i maszyn muszą być wykonane przez osoby przeszkolone, a jak tego wymagają przepisy, posiadające odpowiednie uprawnienia.</w:t>
      </w:r>
      <w:r w:rsidRPr="00517874">
        <w:rPr>
          <w:rFonts w:asciiTheme="minorHAnsi" w:hAnsiTheme="minorHAnsi" w:cstheme="minorHAnsi"/>
          <w:b/>
        </w:rPr>
        <w:t xml:space="preserve"> </w:t>
      </w:r>
    </w:p>
    <w:p w14:paraId="67C024E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 przed złożeniem oferty. </w:t>
      </w:r>
      <w:r w:rsidRPr="00517874">
        <w:rPr>
          <w:rFonts w:asciiTheme="minorHAnsi" w:hAnsiTheme="minorHAnsi" w:cstheme="minorHAnsi"/>
          <w:b/>
          <w:u w:val="single"/>
        </w:rPr>
        <w:t>Zamawiający oczekuje wykonania w ramach wynagrodzenia za realizację</w:t>
      </w:r>
      <w:r w:rsidRPr="00517874">
        <w:rPr>
          <w:rFonts w:asciiTheme="minorHAnsi" w:hAnsiTheme="minorHAnsi" w:cstheme="minorHAnsi"/>
          <w:b/>
        </w:rPr>
        <w:t xml:space="preserve"> </w:t>
      </w:r>
      <w:r w:rsidRPr="00517874">
        <w:rPr>
          <w:rFonts w:asciiTheme="minorHAnsi" w:hAnsiTheme="minorHAnsi" w:cstheme="minorHAnsi"/>
          <w:b/>
          <w:u w:val="single"/>
        </w:rPr>
        <w:t>zamówienia wszystkich robót koniecznych dla prawidłowego wykonania zamówienia, w</w:t>
      </w:r>
      <w:r w:rsidRPr="00517874">
        <w:rPr>
          <w:rFonts w:asciiTheme="minorHAnsi" w:hAnsiTheme="minorHAnsi" w:cstheme="minorHAnsi"/>
          <w:b/>
        </w:rPr>
        <w:t xml:space="preserve"> </w:t>
      </w:r>
      <w:r w:rsidRPr="00517874">
        <w:rPr>
          <w:rFonts w:asciiTheme="minorHAnsi" w:hAnsiTheme="minorHAnsi" w:cstheme="minorHAnsi"/>
          <w:b/>
          <w:u w:val="single"/>
        </w:rPr>
        <w:t>szczególności w sytuacji, gdy w którymkolwiek z dokumentów przetargowych roboty te zostały</w:t>
      </w:r>
      <w:r w:rsidRPr="00517874">
        <w:rPr>
          <w:rFonts w:asciiTheme="minorHAnsi" w:hAnsiTheme="minorHAnsi" w:cstheme="minorHAnsi"/>
          <w:b/>
        </w:rPr>
        <w:t xml:space="preserve"> </w:t>
      </w:r>
      <w:r w:rsidRPr="00517874">
        <w:rPr>
          <w:rFonts w:asciiTheme="minorHAnsi" w:hAnsiTheme="minorHAnsi" w:cstheme="minorHAnsi"/>
          <w:b/>
          <w:u w:val="single"/>
        </w:rPr>
        <w:t>przewidziane lub ich wykonania wynika z przyjętej technologii albo z innych powodów jest</w:t>
      </w:r>
      <w:r w:rsidRPr="00517874">
        <w:rPr>
          <w:rFonts w:asciiTheme="minorHAnsi" w:hAnsiTheme="minorHAnsi" w:cstheme="minorHAnsi"/>
          <w:b/>
        </w:rPr>
        <w:t xml:space="preserve"> </w:t>
      </w:r>
      <w:r w:rsidRPr="00517874">
        <w:rPr>
          <w:rFonts w:asciiTheme="minorHAnsi" w:hAnsiTheme="minorHAnsi" w:cstheme="minorHAnsi"/>
          <w:b/>
          <w:u w:val="single"/>
        </w:rPr>
        <w:t>niezbędne dla prawidłowego wykonania zamówienia.</w:t>
      </w:r>
      <w:r w:rsidRPr="00517874">
        <w:rPr>
          <w:rFonts w:asciiTheme="minorHAnsi" w:hAnsiTheme="minorHAnsi" w:cstheme="minorHAnsi"/>
          <w:b/>
        </w:rPr>
        <w:t xml:space="preserve"> </w:t>
      </w:r>
    </w:p>
    <w:p w14:paraId="1DE886C3" w14:textId="77777777" w:rsidR="00517874" w:rsidRPr="00517874" w:rsidRDefault="00517874" w:rsidP="00904358">
      <w:pPr>
        <w:numPr>
          <w:ilvl w:val="0"/>
          <w:numId w:val="39"/>
        </w:numPr>
        <w:spacing w:after="42" w:line="267" w:lineRule="auto"/>
        <w:ind w:right="0"/>
        <w:jc w:val="left"/>
        <w:rPr>
          <w:rFonts w:asciiTheme="minorHAnsi" w:hAnsiTheme="minorHAnsi" w:cstheme="minorHAnsi"/>
        </w:rPr>
      </w:pPr>
      <w:r w:rsidRPr="00517874">
        <w:rPr>
          <w:rFonts w:asciiTheme="minorHAnsi" w:hAnsiTheme="minorHAnsi" w:cstheme="minorHAnsi"/>
        </w:rPr>
        <w:t>Gwarancja:</w:t>
      </w:r>
      <w:r w:rsidRPr="00517874">
        <w:rPr>
          <w:rFonts w:asciiTheme="minorHAnsi" w:hAnsiTheme="minorHAnsi" w:cstheme="minorHAnsi"/>
          <w:b/>
        </w:rPr>
        <w:t xml:space="preserve"> </w:t>
      </w:r>
    </w:p>
    <w:p w14:paraId="7C86B117" w14:textId="274C315E"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Zamawiający wymaga udzielenia na wykonane </w:t>
      </w:r>
      <w:r w:rsidRPr="00517874">
        <w:rPr>
          <w:rFonts w:asciiTheme="minorHAnsi" w:hAnsiTheme="minorHAnsi" w:cstheme="minorHAnsi"/>
          <w:u w:val="single"/>
        </w:rPr>
        <w:t>roboty budowlane</w:t>
      </w:r>
      <w:r w:rsidRPr="00517874">
        <w:rPr>
          <w:rFonts w:asciiTheme="minorHAnsi" w:hAnsiTheme="minorHAnsi" w:cstheme="minorHAnsi"/>
        </w:rPr>
        <w:t xml:space="preserve"> objęte przedmiotem zamówienia gwarancji i rękojmi za wady na </w:t>
      </w:r>
      <w:r w:rsidRPr="00517874">
        <w:rPr>
          <w:rFonts w:asciiTheme="minorHAnsi" w:hAnsiTheme="minorHAnsi" w:cstheme="minorHAnsi"/>
          <w:b/>
        </w:rPr>
        <w:t xml:space="preserve">okres minimum </w:t>
      </w:r>
      <w:r w:rsidR="00904358">
        <w:rPr>
          <w:rFonts w:asciiTheme="minorHAnsi" w:hAnsiTheme="minorHAnsi" w:cstheme="minorHAnsi"/>
          <w:b/>
        </w:rPr>
        <w:t>36</w:t>
      </w:r>
      <w:r w:rsidRPr="00517874">
        <w:rPr>
          <w:rFonts w:asciiTheme="minorHAnsi" w:hAnsiTheme="minorHAnsi" w:cstheme="minorHAnsi"/>
          <w:b/>
        </w:rPr>
        <w:t xml:space="preserve"> miesięcy</w:t>
      </w:r>
      <w:r w:rsidRPr="00517874">
        <w:rPr>
          <w:rFonts w:asciiTheme="minorHAnsi" w:hAnsiTheme="minorHAnsi" w:cstheme="minorHAnsi"/>
        </w:rPr>
        <w:t xml:space="preserve">, liczony od dnia podpisania przez Zamawiającego protokołu odbioru końcowego całości zadania będącego przedmiotem zamówienia. </w:t>
      </w:r>
    </w:p>
    <w:p w14:paraId="5644BFC8"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Gwarancją i rękojmią są objęte wszystkie elementy wykonanie przez Wykonawcę w ramach realizacji przedmiotowego zamówienia. </w:t>
      </w:r>
    </w:p>
    <w:p w14:paraId="267E4263"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Gwarancja obejmuje: </w:t>
      </w:r>
    </w:p>
    <w:p w14:paraId="54C58490"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Usuwanie wszelkich wad tkwiących w rzeczy w momencie odbioru, jak i powstałych  w okresie gwarancji; </w:t>
      </w:r>
    </w:p>
    <w:p w14:paraId="387B75C9"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Wszelkie koszty związane z wykonaniem napraw gwarancyjnych, w szczególności koszty materiałów i robocizny oraz koszty dojazdu do miejsca naprawy, transportu, dostarczenia wyrobów budowlanych i urządzeń; </w:t>
      </w:r>
    </w:p>
    <w:p w14:paraId="736261F4"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lastRenderedPageBreak/>
        <w:t xml:space="preserve">Koszty usunięcia wszelkich szkód, wad i usterek, które powstały w wyniku użytkowania urządzeń lub materiałów użytych przez Wykonawcę, posiadających wadę ukrytą. </w:t>
      </w:r>
    </w:p>
    <w:p w14:paraId="1D971194" w14:textId="543D291A" w:rsidR="00517874" w:rsidRPr="00517874" w:rsidRDefault="00517874" w:rsidP="00517874">
      <w:pPr>
        <w:spacing w:after="42" w:line="267" w:lineRule="auto"/>
        <w:ind w:left="101" w:right="0" w:firstLine="0"/>
        <w:jc w:val="left"/>
        <w:rPr>
          <w:rFonts w:asciiTheme="minorHAnsi" w:hAnsiTheme="minorHAnsi" w:cstheme="minorHAnsi"/>
        </w:rPr>
      </w:pPr>
      <w:r w:rsidRPr="00517874">
        <w:rPr>
          <w:rFonts w:asciiTheme="minorHAnsi" w:hAnsiTheme="minorHAnsi" w:cstheme="minorHAnsi"/>
          <w:b/>
          <w:u w:val="single"/>
        </w:rPr>
        <w:t>UWAGA</w:t>
      </w:r>
      <w:r w:rsidRPr="00517874">
        <w:rPr>
          <w:rFonts w:asciiTheme="minorHAnsi" w:hAnsiTheme="minorHAnsi" w:cstheme="minorHAnsi"/>
        </w:rPr>
        <w:t xml:space="preserve">: W ramach kryteriów oceny ofert Zamawiający oceniał będzie, okres gwarancji za wady (obligatoryjny plus fakultatywny zaoferowany przez Wykonawców. Maksymalny okres gwarancji za wady brany pod uwagę przy ocenie ofert wynosi </w:t>
      </w:r>
      <w:r w:rsidR="00904358">
        <w:rPr>
          <w:rFonts w:asciiTheme="minorHAnsi" w:hAnsiTheme="minorHAnsi" w:cstheme="minorHAnsi"/>
        </w:rPr>
        <w:t>60</w:t>
      </w:r>
      <w:r w:rsidRPr="00517874">
        <w:rPr>
          <w:rFonts w:asciiTheme="minorHAnsi" w:hAnsiTheme="minorHAnsi" w:cstheme="minorHAnsi"/>
        </w:rPr>
        <w:t xml:space="preserve"> miesiące (</w:t>
      </w:r>
      <w:r w:rsidR="00904358">
        <w:rPr>
          <w:rFonts w:asciiTheme="minorHAnsi" w:hAnsiTheme="minorHAnsi" w:cstheme="minorHAnsi"/>
        </w:rPr>
        <w:t>5</w:t>
      </w:r>
      <w:r w:rsidRPr="00517874">
        <w:rPr>
          <w:rFonts w:asciiTheme="minorHAnsi" w:hAnsiTheme="minorHAnsi" w:cstheme="minorHAnsi"/>
        </w:rPr>
        <w:t xml:space="preserve"> lat).</w:t>
      </w:r>
    </w:p>
    <w:p w14:paraId="487A2B1A" w14:textId="6D075DAE" w:rsidR="004279B2" w:rsidRDefault="00904358" w:rsidP="00822A7F">
      <w:pPr>
        <w:spacing w:after="7"/>
        <w:ind w:right="187"/>
      </w:pPr>
      <w:r>
        <w:t>22</w:t>
      </w:r>
      <w:r w:rsidR="00822A7F">
        <w:t xml:space="preserve">.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3080416F" w14:textId="77777777" w:rsidR="00331FC1" w:rsidRPr="00331FC1" w:rsidRDefault="00331FC1" w:rsidP="00331FC1">
      <w:pPr>
        <w:spacing w:after="7"/>
        <w:ind w:left="355" w:right="187" w:firstLine="0"/>
        <w:rPr>
          <w:b/>
        </w:rPr>
      </w:pPr>
      <w:r w:rsidRPr="00331FC1">
        <w:rPr>
          <w:b/>
        </w:rPr>
        <w:t xml:space="preserve">45000000-7 – Roboty budowlane </w:t>
      </w:r>
    </w:p>
    <w:p w14:paraId="435B0E99" w14:textId="77777777" w:rsidR="00331FC1" w:rsidRPr="00331FC1" w:rsidRDefault="00331FC1" w:rsidP="00331FC1">
      <w:pPr>
        <w:spacing w:after="7"/>
        <w:ind w:left="355" w:right="187" w:firstLine="0"/>
        <w:rPr>
          <w:b/>
        </w:rPr>
      </w:pPr>
      <w:r w:rsidRPr="00331FC1">
        <w:rPr>
          <w:b/>
        </w:rPr>
        <w:t>45112000-5 Roboty w zakresie usuwania gleby</w:t>
      </w:r>
    </w:p>
    <w:p w14:paraId="174BE42B" w14:textId="77777777" w:rsidR="00331FC1" w:rsidRPr="00331FC1" w:rsidRDefault="00331FC1" w:rsidP="00331FC1">
      <w:pPr>
        <w:spacing w:after="7"/>
        <w:ind w:left="355" w:right="187" w:firstLine="0"/>
        <w:rPr>
          <w:b/>
        </w:rPr>
      </w:pPr>
      <w:r w:rsidRPr="00331FC1">
        <w:rPr>
          <w:b/>
        </w:rPr>
        <w:t>45223500-1 Konstrukcje z betonu zbrojonego</w:t>
      </w:r>
    </w:p>
    <w:p w14:paraId="557CFE44" w14:textId="77777777" w:rsidR="00331FC1" w:rsidRPr="00331FC1" w:rsidRDefault="00331FC1" w:rsidP="00331FC1">
      <w:pPr>
        <w:spacing w:after="7"/>
        <w:ind w:left="355" w:right="187" w:firstLine="0"/>
        <w:rPr>
          <w:b/>
        </w:rPr>
      </w:pPr>
      <w:r w:rsidRPr="00331FC1">
        <w:rPr>
          <w:b/>
        </w:rPr>
        <w:t>45223210-1 Roboty konstrukcyjne z wykorzystaniem stali</w:t>
      </w:r>
    </w:p>
    <w:p w14:paraId="37335CD5" w14:textId="77777777" w:rsidR="00331FC1" w:rsidRPr="00331FC1" w:rsidRDefault="00331FC1" w:rsidP="00331FC1">
      <w:pPr>
        <w:spacing w:after="7"/>
        <w:ind w:left="355" w:right="187" w:firstLine="0"/>
        <w:rPr>
          <w:b/>
        </w:rPr>
      </w:pPr>
      <w:r w:rsidRPr="00331FC1">
        <w:rPr>
          <w:b/>
        </w:rPr>
        <w:t>45233161-5 Roboty budowlane w zakresie ścieżek pieszych</w:t>
      </w:r>
    </w:p>
    <w:p w14:paraId="487D20F5" w14:textId="77777777" w:rsidR="00331FC1" w:rsidRPr="00331FC1" w:rsidRDefault="00331FC1" w:rsidP="00331FC1">
      <w:pPr>
        <w:spacing w:after="7"/>
        <w:ind w:left="355" w:right="187" w:firstLine="0"/>
        <w:rPr>
          <w:b/>
        </w:rPr>
      </w:pPr>
      <w:r w:rsidRPr="00331FC1">
        <w:rPr>
          <w:b/>
        </w:rPr>
        <w:t>45450000-6 Roboty budowlane wykończeniowe, pozostałe</w:t>
      </w:r>
    </w:p>
    <w:p w14:paraId="03663F15" w14:textId="77777777" w:rsidR="00331FC1" w:rsidRPr="00331FC1" w:rsidRDefault="00331FC1" w:rsidP="00331FC1">
      <w:pPr>
        <w:spacing w:after="7"/>
        <w:ind w:left="355" w:right="187" w:firstLine="0"/>
        <w:rPr>
          <w:b/>
        </w:rPr>
      </w:pPr>
      <w:r w:rsidRPr="00331FC1">
        <w:rPr>
          <w:b/>
        </w:rPr>
        <w:t>45260000-7 Roboty w zakresie wykonywania pokryć i konstrukcji dachowych i inne</w:t>
      </w:r>
    </w:p>
    <w:p w14:paraId="048EC793" w14:textId="77777777" w:rsidR="00331FC1" w:rsidRPr="00331FC1" w:rsidRDefault="00331FC1" w:rsidP="00331FC1">
      <w:pPr>
        <w:spacing w:after="7"/>
        <w:ind w:left="355" w:right="187" w:firstLine="0"/>
        <w:rPr>
          <w:b/>
        </w:rPr>
      </w:pPr>
      <w:r w:rsidRPr="00331FC1">
        <w:rPr>
          <w:b/>
        </w:rPr>
        <w:t>podobne roboty specjalistyczne</w:t>
      </w:r>
    </w:p>
    <w:p w14:paraId="6949D816" w14:textId="7080DFE9" w:rsidR="004F6223" w:rsidRDefault="00331FC1" w:rsidP="00331FC1">
      <w:pPr>
        <w:spacing w:after="7"/>
        <w:ind w:left="355" w:right="187" w:firstLine="0"/>
      </w:pPr>
      <w:r w:rsidRPr="00331FC1">
        <w:rPr>
          <w:b/>
        </w:rPr>
        <w:t>45232000-2 Roboty pomocnicze w zakresie rurociągów i kabli</w:t>
      </w:r>
      <w:r w:rsidRPr="00331FC1">
        <w:rPr>
          <w:b/>
        </w:rPr>
        <w:br/>
      </w:r>
    </w:p>
    <w:p w14:paraId="774436DB" w14:textId="77777777" w:rsidR="00EC2759" w:rsidRPr="00F55A93" w:rsidRDefault="00B208DA" w:rsidP="00331FC1">
      <w:pPr>
        <w:numPr>
          <w:ilvl w:val="0"/>
          <w:numId w:val="44"/>
        </w:numPr>
        <w:spacing w:after="45" w:line="267" w:lineRule="auto"/>
        <w:ind w:right="187"/>
      </w:pPr>
      <w:r>
        <w:rPr>
          <w:color w:val="000009"/>
        </w:rPr>
        <w:t>Zamawiający nie dopuszcza możliwości składania ofert częściowych.</w:t>
      </w:r>
      <w:r>
        <w:rPr>
          <w:b/>
        </w:rPr>
        <w:t xml:space="preserve"> </w:t>
      </w:r>
    </w:p>
    <w:p w14:paraId="106AB02B" w14:textId="77777777" w:rsidR="007415A5" w:rsidRDefault="007415A5" w:rsidP="00331FC1">
      <w:pPr>
        <w:numPr>
          <w:ilvl w:val="0"/>
          <w:numId w:val="44"/>
        </w:numPr>
        <w:ind w:right="187"/>
      </w:pPr>
      <w: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67F50F7A" w14:textId="77777777" w:rsidR="007415A5" w:rsidRDefault="007415A5" w:rsidP="007415A5">
      <w:pPr>
        <w:ind w:left="284" w:right="187" w:firstLine="0"/>
      </w:pPr>
      <w:r>
        <w:t xml:space="preserve">Zamówienie nie zostało podzielone na części z następujących względów:  </w:t>
      </w:r>
    </w:p>
    <w:p w14:paraId="671CE9E7"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Zamawiający nie dokonał podziału robót budowlanych na mniejsze części ze względu na możliwość wystąpienia niekompatybilności technicznej i jakościowej poszczególnych prac co spowodowałoby możliwość naruszenia integralności całej inwestycji budowlanej oraz 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w:t>
      </w:r>
    </w:p>
    <w:p w14:paraId="1617BA1D"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1DD7D0A1"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61B3971D"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Każdy z Wykonawców w cenę wliczyłby odrębne koszty polisy OC, co  zwiększyłoby poziom wydatków Zamawiającego. </w:t>
      </w:r>
    </w:p>
    <w:p w14:paraId="6D34054E"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lastRenderedPageBreak/>
        <w:t xml:space="preserve">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3BF82EEF" w14:textId="4C408BED" w:rsidR="007415A5" w:rsidRDefault="007415A5" w:rsidP="007415A5">
      <w:pPr>
        <w:ind w:left="644" w:right="187" w:firstLine="0"/>
      </w:pPr>
      <w: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2635FD4E" w:rsidR="00EC2759" w:rsidRPr="00331FC1" w:rsidRDefault="00B208DA" w:rsidP="00331FC1">
      <w:pPr>
        <w:pStyle w:val="Akapitzlist"/>
        <w:numPr>
          <w:ilvl w:val="0"/>
          <w:numId w:val="44"/>
        </w:numPr>
        <w:ind w:right="187"/>
        <w:rPr>
          <w:rFonts w:asciiTheme="minorHAnsi" w:hAnsiTheme="minorHAnsi" w:cstheme="minorHAnsi"/>
          <w:sz w:val="22"/>
        </w:rPr>
      </w:pPr>
      <w:r w:rsidRPr="00331FC1">
        <w:rPr>
          <w:rFonts w:asciiTheme="minorHAnsi" w:hAnsiTheme="minorHAnsi" w:cstheme="minorHAnsi"/>
          <w:sz w:val="22"/>
        </w:rPr>
        <w:t>Zamawiający nie dopuszcza możliwości składania ofert wariantowych.</w:t>
      </w:r>
      <w:r w:rsidRPr="00331FC1">
        <w:rPr>
          <w:rFonts w:asciiTheme="minorHAnsi" w:hAnsiTheme="minorHAnsi" w:cstheme="minorHAnsi"/>
          <w:color w:val="000009"/>
          <w:sz w:val="22"/>
        </w:rPr>
        <w:t xml:space="preserve"> </w:t>
      </w:r>
    </w:p>
    <w:p w14:paraId="6B77EC15" w14:textId="77777777" w:rsidR="00EC2759" w:rsidRPr="00331FC1" w:rsidRDefault="00B208DA" w:rsidP="00331FC1">
      <w:pPr>
        <w:numPr>
          <w:ilvl w:val="0"/>
          <w:numId w:val="44"/>
        </w:numPr>
        <w:spacing w:after="45" w:line="267" w:lineRule="auto"/>
        <w:ind w:right="187"/>
        <w:rPr>
          <w:rFonts w:asciiTheme="minorHAnsi" w:hAnsiTheme="minorHAnsi" w:cstheme="minorHAnsi"/>
        </w:rPr>
      </w:pPr>
      <w:r w:rsidRPr="00331FC1">
        <w:rPr>
          <w:rFonts w:asciiTheme="minorHAnsi" w:hAnsiTheme="minorHAnsi" w:cstheme="minorHAnsi"/>
          <w:color w:val="000009"/>
        </w:rPr>
        <w:t>Każdy Wykonawca może złożyć tylko jedną ofertę w postępowaniu.</w:t>
      </w:r>
      <w:r w:rsidRPr="00331FC1">
        <w:rPr>
          <w:rFonts w:asciiTheme="minorHAnsi" w:hAnsiTheme="minorHAnsi" w:cstheme="minorHAnsi"/>
          <w:b/>
        </w:rPr>
        <w:t xml:space="preserve"> </w:t>
      </w:r>
    </w:p>
    <w:p w14:paraId="72A8E1AE" w14:textId="77777777" w:rsidR="00EC2759" w:rsidRPr="00331FC1" w:rsidRDefault="00B208DA" w:rsidP="00331FC1">
      <w:pPr>
        <w:numPr>
          <w:ilvl w:val="0"/>
          <w:numId w:val="44"/>
        </w:numPr>
        <w:ind w:right="187"/>
        <w:rPr>
          <w:rFonts w:asciiTheme="minorHAnsi" w:hAnsiTheme="minorHAnsi" w:cstheme="minorHAnsi"/>
        </w:rPr>
      </w:pPr>
      <w:r w:rsidRPr="00331FC1">
        <w:rPr>
          <w:rFonts w:asciiTheme="minorHAnsi" w:hAnsiTheme="minorHAnsi" w:cstheme="minorHAnsi"/>
        </w:rPr>
        <w:t xml:space="preserve">Zamawiający nie przewiduje udzielenia zamówień, o których mowa w art. 214 ust. 1 pkt 7 ustawy </w:t>
      </w:r>
      <w:proofErr w:type="spellStart"/>
      <w:r w:rsidRPr="00331FC1">
        <w:rPr>
          <w:rFonts w:asciiTheme="minorHAnsi" w:hAnsiTheme="minorHAnsi" w:cstheme="minorHAnsi"/>
        </w:rPr>
        <w:t>Pzp</w:t>
      </w:r>
      <w:proofErr w:type="spellEnd"/>
      <w:r w:rsidRPr="00331FC1">
        <w:rPr>
          <w:rFonts w:asciiTheme="minorHAnsi" w:hAnsiTheme="minorHAnsi" w:cstheme="minorHAnsi"/>
        </w:rPr>
        <w:t xml:space="preserve">. </w:t>
      </w:r>
    </w:p>
    <w:p w14:paraId="53E6BA62" w14:textId="77777777" w:rsidR="00EC2759" w:rsidRDefault="00B208DA" w:rsidP="00331FC1">
      <w:pPr>
        <w:numPr>
          <w:ilvl w:val="0"/>
          <w:numId w:val="44"/>
        </w:numPr>
        <w:spacing w:after="8"/>
        <w:ind w:right="187"/>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14822467" w:rsidR="00F55A93" w:rsidRDefault="00F55A93" w:rsidP="00331FC1">
      <w:pPr>
        <w:numPr>
          <w:ilvl w:val="0"/>
          <w:numId w:val="44"/>
        </w:numPr>
        <w:spacing w:after="8"/>
        <w:ind w:right="187"/>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w:t>
      </w:r>
      <w:r w:rsidR="007415A5">
        <w:t>r</w:t>
      </w:r>
      <w:r w:rsidRPr="00F55A93">
        <w:t xml:space="preserve">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sidRPr="00F55A93">
        <w:lastRenderedPageBreak/>
        <w:t>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331FC1">
      <w:pPr>
        <w:numPr>
          <w:ilvl w:val="0"/>
          <w:numId w:val="44"/>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331FC1">
      <w:pPr>
        <w:numPr>
          <w:ilvl w:val="0"/>
          <w:numId w:val="44"/>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lastRenderedPageBreak/>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rsidP="00012362">
      <w:pPr>
        <w:numPr>
          <w:ilvl w:val="0"/>
          <w:numId w:val="6"/>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52A56DE1"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331FC1">
        <w:rPr>
          <w:b/>
          <w:bCs/>
          <w:color w:val="000000"/>
        </w:rPr>
        <w:t>2</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012362">
      <w:pPr>
        <w:pStyle w:val="Akapitzlist"/>
        <w:numPr>
          <w:ilvl w:val="0"/>
          <w:numId w:val="23"/>
        </w:numPr>
        <w:spacing w:after="9" w:line="267" w:lineRule="auto"/>
        <w:ind w:right="69"/>
        <w:rPr>
          <w:rFonts w:ascii="Calibri" w:hAnsi="Calibri" w:cs="Calibri"/>
          <w:sz w:val="22"/>
        </w:rPr>
      </w:pPr>
      <w:r w:rsidRPr="002C0209">
        <w:rPr>
          <w:rFonts w:ascii="Calibri" w:hAnsi="Calibri" w:cs="Calibri"/>
          <w:sz w:val="22"/>
        </w:rPr>
        <w:lastRenderedPageBreak/>
        <w:t>Zamawiający uzna za spełniony w/w warunek, jeżeli Wykonawca wykaże, że:</w:t>
      </w:r>
    </w:p>
    <w:p w14:paraId="3C180F69" w14:textId="6659731D" w:rsidR="00A30DFE" w:rsidRPr="00A30DFE" w:rsidRDefault="007F536D" w:rsidP="008A793B">
      <w:pPr>
        <w:spacing w:after="9" w:line="267" w:lineRule="auto"/>
        <w:ind w:left="628" w:right="69" w:firstLine="0"/>
        <w:rPr>
          <w:b/>
        </w:rPr>
      </w:pPr>
      <w:r w:rsidRPr="002C0209">
        <w:t xml:space="preserve">− </w:t>
      </w:r>
      <w:r w:rsidR="00A30DFE" w:rsidRPr="00A30DFE">
        <w:t>posiadają wiedzę i doświadczenie niezbędne do wykonania przedmiotu zamówienia, tj.</w:t>
      </w:r>
      <w:r w:rsidR="00A30DFE" w:rsidRPr="00A30DFE">
        <w:rPr>
          <w:b/>
        </w:rPr>
        <w:t xml:space="preserve"> udokumentują wykonanie w okresie ostatnich pięciu lat, a jeżeli okres prowadzenia działalności jest krótszy – w tym okresie, co  najmniej </w:t>
      </w:r>
      <w:r w:rsidR="00A30DFE" w:rsidRPr="00A30DFE">
        <w:rPr>
          <w:b/>
          <w:u w:val="single"/>
        </w:rPr>
        <w:t xml:space="preserve">jednej  roboty  budowlanej </w:t>
      </w:r>
      <w:r w:rsidR="00A30DFE" w:rsidRPr="00A30DFE">
        <w:rPr>
          <w:b/>
        </w:rPr>
        <w:t xml:space="preserve">polegającej </w:t>
      </w:r>
      <w:r w:rsidR="008A793B">
        <w:rPr>
          <w:b/>
        </w:rPr>
        <w:t xml:space="preserve">budowie </w:t>
      </w:r>
      <w:r w:rsidR="008A793B" w:rsidRPr="008A793B">
        <w:rPr>
          <w:b/>
        </w:rPr>
        <w:t xml:space="preserve">tężni solankowej </w:t>
      </w:r>
      <w:r w:rsidR="008A793B">
        <w:rPr>
          <w:b/>
        </w:rPr>
        <w:t xml:space="preserve">o </w:t>
      </w:r>
      <w:r w:rsidR="008A793B" w:rsidRPr="008A793B">
        <w:rPr>
          <w:b/>
        </w:rPr>
        <w:t xml:space="preserve">wartości nie mniejszej niż </w:t>
      </w:r>
      <w:r w:rsidR="008A793B">
        <w:rPr>
          <w:b/>
        </w:rPr>
        <w:t>20</w:t>
      </w:r>
      <w:r w:rsidR="008A793B" w:rsidRPr="008A793B">
        <w:rPr>
          <w:b/>
        </w:rPr>
        <w:t>0 000,00 zł brutto</w:t>
      </w:r>
      <w:r w:rsidR="008A793B">
        <w:rPr>
          <w:b/>
        </w:rPr>
        <w:t xml:space="preserve"> </w:t>
      </w:r>
      <w:r w:rsidR="00A30DFE" w:rsidRPr="00A30DFE">
        <w:rPr>
          <w:b/>
        </w:rPr>
        <w:t>w ramach jednej umowy (kontraktu),</w:t>
      </w:r>
    </w:p>
    <w:p w14:paraId="02140863" w14:textId="77777777" w:rsidR="00A30DFE" w:rsidRPr="00A30DFE" w:rsidRDefault="00A30DFE" w:rsidP="00A30DFE">
      <w:pPr>
        <w:spacing w:after="9" w:line="267" w:lineRule="auto"/>
        <w:ind w:left="628" w:right="69" w:firstLine="0"/>
        <w:rPr>
          <w:b/>
        </w:rPr>
      </w:pPr>
      <w:r w:rsidRPr="00A30DFE">
        <w:rPr>
          <w:b/>
        </w:rPr>
        <w:t xml:space="preserve">Uwaga: </w:t>
      </w:r>
    </w:p>
    <w:p w14:paraId="55927E41" w14:textId="77777777" w:rsidR="00A30DFE" w:rsidRPr="00A30DFE" w:rsidRDefault="00A30DFE" w:rsidP="00A30DFE">
      <w:pPr>
        <w:spacing w:after="9" w:line="267" w:lineRule="auto"/>
        <w:ind w:left="628" w:right="69" w:firstLine="0"/>
      </w:pPr>
      <w:r w:rsidRPr="00A30DFE">
        <w:t>Pod pojęciami „budowa”, „przebudowa”, rozumie się pojęcia zdefiniowane odpowiednio w art. 3 pkt. 6 i 7a ustawy z dnia 7 lipca 1994 r. Prawo budowlane (</w:t>
      </w:r>
      <w:proofErr w:type="spellStart"/>
      <w:r w:rsidRPr="00A30DFE">
        <w:t>t.j</w:t>
      </w:r>
      <w:proofErr w:type="spellEnd"/>
      <w:r w:rsidRPr="00A30DFE">
        <w:t xml:space="preserve">. Dz. U. z 2021 r., poz. 2351 z </w:t>
      </w:r>
      <w:proofErr w:type="spellStart"/>
      <w:r w:rsidRPr="00A30DFE">
        <w:t>późn</w:t>
      </w:r>
      <w:proofErr w:type="spellEnd"/>
      <w:r w:rsidRPr="00A30DFE">
        <w:t>. zm.).</w:t>
      </w:r>
    </w:p>
    <w:p w14:paraId="7002579C" w14:textId="77777777" w:rsidR="00A30DFE" w:rsidRPr="00A30DFE" w:rsidRDefault="00A30DFE" w:rsidP="00A30DFE">
      <w:pPr>
        <w:spacing w:after="9" w:line="267" w:lineRule="auto"/>
        <w:ind w:left="628" w:right="69" w:firstLine="0"/>
      </w:pPr>
      <w:r w:rsidRPr="00A30DFE">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24E7DDE8" w14:textId="45D8B401" w:rsidR="00A30DFE" w:rsidRPr="00A30DFE" w:rsidRDefault="00A30DFE" w:rsidP="00A30DFE">
      <w:pPr>
        <w:spacing w:after="9" w:line="267" w:lineRule="auto"/>
        <w:ind w:left="628" w:right="69" w:firstLine="0"/>
      </w:pPr>
      <w:r w:rsidRPr="00A30DFE">
        <w:t xml:space="preserve">Zamawiający uzna za spełniony warunek wskazany w pkt </w:t>
      </w:r>
      <w:r>
        <w:t>IX</w:t>
      </w:r>
      <w:r w:rsidRPr="00A30DFE">
        <w:t>.2.4 SWZ również w przypadku, gdy doświadczenie wykazane przez Wykonawcę obejmuje szerszy zakres i wartość robót od wymaganych przez Zamawiającego.</w:t>
      </w:r>
    </w:p>
    <w:p w14:paraId="6E38C5DA" w14:textId="77777777" w:rsidR="00A30DFE" w:rsidRPr="00A30DFE" w:rsidRDefault="00A30DFE" w:rsidP="00A30DFE">
      <w:pPr>
        <w:spacing w:after="9" w:line="267" w:lineRule="auto"/>
        <w:ind w:left="628" w:right="69" w:firstLine="0"/>
      </w:pPr>
      <w:r w:rsidRPr="00A30DFE">
        <w:t>Zamawiający nie dopuszcza sumowania robót wykonanych w ramach odrębnych kontraktów (umów/zamówień) celem uzyskania wymaganego warunku kwotowego.</w:t>
      </w:r>
    </w:p>
    <w:p w14:paraId="3D23E72B" w14:textId="130B1B5B" w:rsidR="008F5F04" w:rsidRDefault="008F5F04" w:rsidP="00306928">
      <w:pPr>
        <w:spacing w:after="9" w:line="267" w:lineRule="auto"/>
        <w:ind w:left="628" w:right="69" w:firstLine="0"/>
      </w:pP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6C5EFBF6"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2C0209">
        <w:rPr>
          <w:rFonts w:asciiTheme="minorHAnsi" w:hAnsiTheme="minorHAnsi" w:cstheme="minorHAnsi"/>
        </w:rPr>
        <w:t xml:space="preserve">Wykonawca powinien w Wykazie robót wyraźnie określić rodzaj oraz wartość wykonanych robót, aby można było ustalić czy spełnia warunek udziału w postępowaniu. </w:t>
      </w:r>
    </w:p>
    <w:p w14:paraId="5D6B4438" w14:textId="77777777" w:rsid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0BF8A8AA" w:rsidR="002C0209" w:rsidRPr="00A30DFE" w:rsidRDefault="002C0209" w:rsidP="00012362">
      <w:pPr>
        <w:pStyle w:val="Akapitzlist"/>
        <w:numPr>
          <w:ilvl w:val="5"/>
          <w:numId w:val="24"/>
        </w:numPr>
        <w:spacing w:after="9" w:line="267" w:lineRule="auto"/>
        <w:ind w:right="69"/>
        <w:rPr>
          <w:rFonts w:asciiTheme="minorHAnsi" w:hAnsiTheme="minorHAnsi" w:cstheme="minorHAnsi"/>
        </w:rPr>
      </w:pPr>
      <w:r w:rsidRPr="00A30DFE">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w:t>
      </w:r>
      <w:r w:rsidRPr="007F536D">
        <w:lastRenderedPageBreak/>
        <w:t xml:space="preserve">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rsidP="00012362">
      <w:pPr>
        <w:numPr>
          <w:ilvl w:val="1"/>
          <w:numId w:val="8"/>
        </w:numPr>
        <w:ind w:right="187" w:hanging="425"/>
      </w:pPr>
      <w:r>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w:t>
      </w:r>
      <w:r>
        <w:lastRenderedPageBreak/>
        <w:t xml:space="preserve">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rsidP="00012362">
      <w:pPr>
        <w:numPr>
          <w:ilvl w:val="1"/>
          <w:numId w:val="8"/>
        </w:numPr>
        <w:spacing w:after="41" w:line="269" w:lineRule="auto"/>
        <w:ind w:right="187" w:hanging="425"/>
      </w:pPr>
      <w:r>
        <w:rPr>
          <w:color w:val="000000"/>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w:t>
      </w:r>
      <w:r>
        <w:lastRenderedPageBreak/>
        <w:t xml:space="preserve">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rsidP="00012362">
      <w:pPr>
        <w:numPr>
          <w:ilvl w:val="0"/>
          <w:numId w:val="9"/>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012362">
      <w:pPr>
        <w:pStyle w:val="Akapitzlist"/>
        <w:numPr>
          <w:ilvl w:val="2"/>
          <w:numId w:val="9"/>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w:t>
      </w:r>
      <w:r w:rsidRPr="007A4440">
        <w:rPr>
          <w:rFonts w:asciiTheme="minorHAnsi" w:hAnsiTheme="minorHAnsi" w:cstheme="minorHAnsi"/>
          <w:sz w:val="22"/>
        </w:rPr>
        <w:lastRenderedPageBreak/>
        <w:t xml:space="preserve">–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1071871B" w14:textId="77777777" w:rsidR="00DB3697" w:rsidRDefault="00DB3697">
      <w:pPr>
        <w:spacing w:after="12"/>
        <w:ind w:left="72" w:right="185"/>
        <w:rPr>
          <w:b/>
          <w:sz w:val="24"/>
        </w:rPr>
      </w:pPr>
    </w:p>
    <w:p w14:paraId="6986F9A2" w14:textId="77777777" w:rsidR="00DB3697" w:rsidRDefault="00DB3697">
      <w:pPr>
        <w:spacing w:after="12"/>
        <w:ind w:left="72" w:right="185"/>
        <w:rPr>
          <w:b/>
          <w:sz w:val="24"/>
        </w:rPr>
      </w:pPr>
    </w:p>
    <w:p w14:paraId="4645EA07" w14:textId="77777777" w:rsidR="00DB3697" w:rsidRDefault="00DB3697">
      <w:pPr>
        <w:spacing w:after="12"/>
        <w:ind w:left="72" w:right="185"/>
        <w:rPr>
          <w:b/>
          <w:sz w:val="24"/>
        </w:rPr>
      </w:pPr>
    </w:p>
    <w:p w14:paraId="263613A9" w14:textId="7A23B0E3" w:rsidR="00EC2759" w:rsidRDefault="00B208DA">
      <w:pPr>
        <w:spacing w:after="12"/>
        <w:ind w:left="72" w:right="185"/>
      </w:pPr>
      <w:r>
        <w:rPr>
          <w:b/>
          <w:sz w:val="24"/>
        </w:rPr>
        <w:lastRenderedPageBreak/>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xml:space="preserve">, potwierdzające brak podstaw wykluczenia tego podmiotu oraz </w:t>
      </w:r>
      <w:r>
        <w:rPr>
          <w:color w:val="000000"/>
        </w:rPr>
        <w:lastRenderedPageBreak/>
        <w:t>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404753DF"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2A5D11" w:rsidRPr="002A5D11">
        <w:rPr>
          <w:b/>
          <w:bCs/>
        </w:rPr>
        <w:t>5</w:t>
      </w:r>
      <w:r w:rsidRPr="002A5D11">
        <w:rPr>
          <w:b/>
          <w:bCs/>
        </w:rPr>
        <w:t>.000,00.</w:t>
      </w:r>
      <w:r w:rsidRPr="000E2B6A">
        <w:rPr>
          <w:b/>
          <w:bCs/>
        </w:rPr>
        <w:t xml:space="preserve"> zł</w:t>
      </w:r>
      <w:r w:rsidRPr="000E2B6A">
        <w:rPr>
          <w:b/>
        </w:rPr>
        <w:t xml:space="preserve"> </w:t>
      </w:r>
      <w:r w:rsidRPr="000E2B6A">
        <w:rPr>
          <w:b/>
          <w:bCs/>
        </w:rPr>
        <w:t xml:space="preserve">(słownie:  </w:t>
      </w:r>
      <w:r w:rsidR="002A5D11">
        <w:rPr>
          <w:b/>
          <w:bCs/>
        </w:rPr>
        <w:t>pięć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lastRenderedPageBreak/>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4E389A71" w:rsidR="000E2B6A" w:rsidRPr="009A7B83" w:rsidRDefault="000E2B6A" w:rsidP="009A7B83">
      <w:pPr>
        <w:spacing w:after="38" w:line="259" w:lineRule="auto"/>
        <w:ind w:left="77" w:right="0" w:firstLine="0"/>
        <w:jc w:val="left"/>
        <w:rPr>
          <w:b/>
          <w:i/>
        </w:rPr>
      </w:pPr>
      <w:r w:rsidRPr="000E2B6A">
        <w:rPr>
          <w:b/>
        </w:rPr>
        <w:t xml:space="preserve">4. </w:t>
      </w:r>
      <w:r w:rsidRPr="000E2B6A">
        <w:t xml:space="preserve">Wadium w formie pieniądza należy wnieść przelewem na konto 68 9029 0000 2001 0104 4933 0011 z dopiskiem </w:t>
      </w:r>
      <w:r w:rsidRPr="000E2B6A">
        <w:rPr>
          <w:b/>
        </w:rPr>
        <w:t>„</w:t>
      </w:r>
      <w:r w:rsidR="002A5D11" w:rsidRPr="002A5D11">
        <w:rPr>
          <w:b/>
        </w:rPr>
        <w:t>Budowa tężni solankowej w Łęczycy</w:t>
      </w:r>
      <w:r w:rsidR="009A7B83" w:rsidRPr="009A7B83">
        <w:rPr>
          <w:b/>
          <w:i/>
        </w:rPr>
        <w:t>”</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w:t>
      </w:r>
      <w:r>
        <w:lastRenderedPageBreak/>
        <w:t xml:space="preserve">określonych w ustawie </w:t>
      </w:r>
      <w:proofErr w:type="spellStart"/>
      <w:r>
        <w:t>Pzp</w:t>
      </w:r>
      <w:proofErr w:type="spellEnd"/>
      <w:r>
        <w:t xml:space="preserve">,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rsidP="00012362">
      <w:pPr>
        <w:numPr>
          <w:ilvl w:val="1"/>
          <w:numId w:val="12"/>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rsidP="00012362">
      <w:pPr>
        <w:numPr>
          <w:ilvl w:val="1"/>
          <w:numId w:val="12"/>
        </w:numPr>
        <w:ind w:right="187" w:hanging="360"/>
      </w:pPr>
      <w:r>
        <w:lastRenderedPageBreak/>
        <w:t xml:space="preserve">Szyfrowanie na platformazakupowa.pl odbywa się za pomocą protokołu TLS 1.3, </w:t>
      </w:r>
    </w:p>
    <w:p w14:paraId="6383C834" w14:textId="77777777" w:rsidR="00EC2759" w:rsidRDefault="00B208DA" w:rsidP="00012362">
      <w:pPr>
        <w:numPr>
          <w:ilvl w:val="1"/>
          <w:numId w:val="12"/>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4D06A7">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1C3A56AA"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DB3697">
        <w:t>9</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lastRenderedPageBreak/>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w:t>
      </w:r>
      <w:r>
        <w:lastRenderedPageBreak/>
        <w:t xml:space="preserve">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lastRenderedPageBreak/>
        <w:t xml:space="preserve">.7Z </w:t>
      </w:r>
    </w:p>
    <w:p w14:paraId="337B9538" w14:textId="77777777" w:rsidR="00EC2759" w:rsidRDefault="00B208DA" w:rsidP="00012362">
      <w:pPr>
        <w:numPr>
          <w:ilvl w:val="1"/>
          <w:numId w:val="13"/>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rsidP="00012362">
      <w:pPr>
        <w:numPr>
          <w:ilvl w:val="1"/>
          <w:numId w:val="13"/>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w:t>
      </w:r>
      <w:r w:rsidR="002C195A" w:rsidRPr="00C00AA7">
        <w:lastRenderedPageBreak/>
        <w:t xml:space="preserve">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7E96569A"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483594">
        <w:rPr>
          <w:b/>
          <w:bCs/>
          <w:color w:val="auto"/>
        </w:rPr>
        <w:t>2</w:t>
      </w:r>
      <w:r w:rsidR="00FC4426">
        <w:rPr>
          <w:b/>
          <w:bCs/>
          <w:color w:val="auto"/>
        </w:rPr>
        <w:t>2</w:t>
      </w:r>
      <w:r w:rsidR="00483594">
        <w:rPr>
          <w:b/>
          <w:bCs/>
          <w:color w:val="auto"/>
        </w:rPr>
        <w:t>.0</w:t>
      </w:r>
      <w:r w:rsidR="001672A5">
        <w:rPr>
          <w:b/>
          <w:bCs/>
          <w:color w:val="auto"/>
        </w:rPr>
        <w:t>8</w:t>
      </w:r>
      <w:r w:rsidR="00483594">
        <w:rPr>
          <w:b/>
          <w:bCs/>
          <w:color w:val="auto"/>
        </w:rPr>
        <w:t>.2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2EFA6BF3"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2A5D11">
        <w:rPr>
          <w:b/>
        </w:rPr>
        <w:t>4</w:t>
      </w:r>
      <w:r w:rsidRPr="00FF737A">
        <w:rPr>
          <w:b/>
        </w:rPr>
        <w:t>.</w:t>
      </w:r>
      <w:r w:rsidR="00172644">
        <w:rPr>
          <w:b/>
        </w:rPr>
        <w:t>0</w:t>
      </w:r>
      <w:r w:rsidR="001672A5">
        <w:rPr>
          <w:b/>
        </w:rPr>
        <w:t>7</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lastRenderedPageBreak/>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5FE37EA9" w:rsidR="00EC2759" w:rsidRDefault="00B208DA" w:rsidP="00012362">
      <w:pPr>
        <w:numPr>
          <w:ilvl w:val="1"/>
          <w:numId w:val="15"/>
        </w:numPr>
        <w:ind w:right="187" w:hanging="283"/>
      </w:pPr>
      <w:r>
        <w:t xml:space="preserve">Otwarcie ofert nastąpi w dniu </w:t>
      </w:r>
      <w:r w:rsidR="00955038">
        <w:rPr>
          <w:b/>
          <w:bCs/>
        </w:rPr>
        <w:t>2</w:t>
      </w:r>
      <w:r w:rsidR="002A5D11">
        <w:rPr>
          <w:b/>
          <w:bCs/>
        </w:rPr>
        <w:t>4</w:t>
      </w:r>
      <w:r w:rsidRPr="00172644">
        <w:rPr>
          <w:b/>
          <w:bCs/>
        </w:rPr>
        <w:t>.</w:t>
      </w:r>
      <w:r w:rsidR="00172644" w:rsidRPr="00172644">
        <w:rPr>
          <w:b/>
          <w:bCs/>
        </w:rPr>
        <w:t>0</w:t>
      </w:r>
      <w:r w:rsidR="001672A5">
        <w:rPr>
          <w:b/>
          <w:bCs/>
        </w:rPr>
        <w:t>7</w:t>
      </w:r>
      <w:r w:rsidRPr="00172644">
        <w:rPr>
          <w:b/>
          <w:bCs/>
        </w:rPr>
        <w:t>.202</w:t>
      </w:r>
      <w:r w:rsidR="00172644">
        <w:rPr>
          <w:b/>
          <w:bCs/>
        </w:rPr>
        <w:t>4</w:t>
      </w:r>
      <w:r>
        <w:rPr>
          <w:b/>
        </w:rPr>
        <w:t xml:space="preserve"> r. o godzinie 10:00.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lastRenderedPageBreak/>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lastRenderedPageBreak/>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lastRenderedPageBreak/>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6695E4CE"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2A5D11">
        <w:rPr>
          <w:rFonts w:asciiTheme="minorHAnsi" w:hAnsiTheme="minorHAnsi" w:cstheme="minorHAnsi"/>
          <w:b/>
        </w:rPr>
        <w:t>9</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lastRenderedPageBreak/>
        <w:t xml:space="preserve">Rozdział XXIII Informacja o postanowieniach umowy w sprawie zamówienia publicznego, które zostaną wprowadzone do treści tej umowy oraz możliwości jej zmiany </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012362">
      <w:pPr>
        <w:numPr>
          <w:ilvl w:val="0"/>
          <w:numId w:val="18"/>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0936"/>
    <w:multiLevelType w:val="hybridMultilevel"/>
    <w:tmpl w:val="27706C7E"/>
    <w:lvl w:ilvl="0" w:tplc="99ACE2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AB260">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EC080">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40C1E">
      <w:start w:val="1"/>
      <w:numFmt w:val="lowerLetter"/>
      <w:lvlRestart w:val="0"/>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8B4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C38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458F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4825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089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144F7"/>
    <w:multiLevelType w:val="hybridMultilevel"/>
    <w:tmpl w:val="57B89DE4"/>
    <w:lvl w:ilvl="0" w:tplc="06BCBB3A">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C1064">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C4C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074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CE9E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C0C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C77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6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CB1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10"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B4B9A"/>
    <w:multiLevelType w:val="hybridMultilevel"/>
    <w:tmpl w:val="1786DB22"/>
    <w:lvl w:ilvl="0" w:tplc="2B3282BE">
      <w:start w:val="1"/>
      <w:numFmt w:val="upperRoman"/>
      <w:lvlText w:val="%1."/>
      <w:lvlJc w:val="left"/>
      <w:pPr>
        <w:ind w:left="821" w:hanging="720"/>
      </w:pPr>
      <w:rPr>
        <w:rFonts w:ascii="Calibri" w:hAnsi="Calibri" w:cs="Calibri"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23"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4"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727267"/>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8"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84810"/>
    <w:multiLevelType w:val="hybridMultilevel"/>
    <w:tmpl w:val="C748AE62"/>
    <w:lvl w:ilvl="0" w:tplc="27ECDE8E">
      <w:start w:val="23"/>
      <w:numFmt w:val="decimal"/>
      <w:lvlText w:val="%1."/>
      <w:lvlJc w:val="left"/>
      <w:pPr>
        <w:ind w:left="379"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4165F49"/>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2630DBC"/>
    <w:multiLevelType w:val="hybridMultilevel"/>
    <w:tmpl w:val="203640A4"/>
    <w:lvl w:ilvl="0" w:tplc="5CB61A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A7E5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6F644">
      <w:start w:val="1"/>
      <w:numFmt w:val="decimal"/>
      <w:lvlRestart w:val="0"/>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64B4F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08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48526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8FE1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A1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07AD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2"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5"/>
  </w:num>
  <w:num w:numId="2" w16cid:durableId="248272693">
    <w:abstractNumId w:val="14"/>
  </w:num>
  <w:num w:numId="3" w16cid:durableId="1693265017">
    <w:abstractNumId w:val="31"/>
  </w:num>
  <w:num w:numId="4" w16cid:durableId="623729877">
    <w:abstractNumId w:val="13"/>
  </w:num>
  <w:num w:numId="5" w16cid:durableId="320622733">
    <w:abstractNumId w:val="4"/>
  </w:num>
  <w:num w:numId="6" w16cid:durableId="1495217345">
    <w:abstractNumId w:val="11"/>
  </w:num>
  <w:num w:numId="7" w16cid:durableId="331186017">
    <w:abstractNumId w:val="18"/>
  </w:num>
  <w:num w:numId="8" w16cid:durableId="701828148">
    <w:abstractNumId w:val="37"/>
  </w:num>
  <w:num w:numId="9" w16cid:durableId="673068596">
    <w:abstractNumId w:val="0"/>
  </w:num>
  <w:num w:numId="10" w16cid:durableId="1199048881">
    <w:abstractNumId w:val="28"/>
  </w:num>
  <w:num w:numId="11" w16cid:durableId="1560555566">
    <w:abstractNumId w:val="17"/>
  </w:num>
  <w:num w:numId="12" w16cid:durableId="1058944197">
    <w:abstractNumId w:val="34"/>
  </w:num>
  <w:num w:numId="13" w16cid:durableId="2022930456">
    <w:abstractNumId w:val="23"/>
  </w:num>
  <w:num w:numId="14" w16cid:durableId="2019578175">
    <w:abstractNumId w:val="36"/>
  </w:num>
  <w:num w:numId="15" w16cid:durableId="1027753263">
    <w:abstractNumId w:val="41"/>
  </w:num>
  <w:num w:numId="16" w16cid:durableId="2095468790">
    <w:abstractNumId w:val="33"/>
  </w:num>
  <w:num w:numId="17" w16cid:durableId="862667678">
    <w:abstractNumId w:val="19"/>
  </w:num>
  <w:num w:numId="18" w16cid:durableId="257179204">
    <w:abstractNumId w:val="25"/>
  </w:num>
  <w:num w:numId="19" w16cid:durableId="1275406160">
    <w:abstractNumId w:val="27"/>
  </w:num>
  <w:num w:numId="20" w16cid:durableId="1483304302">
    <w:abstractNumId w:val="20"/>
  </w:num>
  <w:num w:numId="21" w16cid:durableId="1895702025">
    <w:abstractNumId w:val="1"/>
  </w:num>
  <w:num w:numId="22" w16cid:durableId="532425428">
    <w:abstractNumId w:val="21"/>
  </w:num>
  <w:num w:numId="23" w16cid:durableId="1181969893">
    <w:abstractNumId w:val="9"/>
  </w:num>
  <w:num w:numId="24" w16cid:durableId="708914866">
    <w:abstractNumId w:val="43"/>
  </w:num>
  <w:num w:numId="25" w16cid:durableId="1119565782">
    <w:abstractNumId w:val="10"/>
  </w:num>
  <w:num w:numId="26" w16cid:durableId="593707019">
    <w:abstractNumId w:val="24"/>
  </w:num>
  <w:num w:numId="27" w16cid:durableId="197090905">
    <w:abstractNumId w:val="8"/>
  </w:num>
  <w:num w:numId="28" w16cid:durableId="12074059">
    <w:abstractNumId w:val="3"/>
  </w:num>
  <w:num w:numId="29" w16cid:durableId="801508914">
    <w:abstractNumId w:val="38"/>
  </w:num>
  <w:num w:numId="30" w16cid:durableId="1219899806">
    <w:abstractNumId w:val="16"/>
  </w:num>
  <w:num w:numId="31" w16cid:durableId="1516338671">
    <w:abstractNumId w:val="6"/>
  </w:num>
  <w:num w:numId="32" w16cid:durableId="640891966">
    <w:abstractNumId w:val="32"/>
  </w:num>
  <w:num w:numId="33" w16cid:durableId="343897580">
    <w:abstractNumId w:val="40"/>
  </w:num>
  <w:num w:numId="34" w16cid:durableId="1790784066">
    <w:abstractNumId w:val="42"/>
  </w:num>
  <w:num w:numId="35" w16cid:durableId="483815256">
    <w:abstractNumId w:val="7"/>
  </w:num>
  <w:num w:numId="36" w16cid:durableId="283003823">
    <w:abstractNumId w:val="29"/>
  </w:num>
  <w:num w:numId="37" w16cid:durableId="983506111">
    <w:abstractNumId w:val="12"/>
  </w:num>
  <w:num w:numId="38" w16cid:durableId="998732224">
    <w:abstractNumId w:val="22"/>
  </w:num>
  <w:num w:numId="39" w16cid:durableId="750542736">
    <w:abstractNumId w:val="5"/>
  </w:num>
  <w:num w:numId="40" w16cid:durableId="1739591160">
    <w:abstractNumId w:val="39"/>
  </w:num>
  <w:num w:numId="41" w16cid:durableId="1611548413">
    <w:abstractNumId w:val="2"/>
  </w:num>
  <w:num w:numId="42" w16cid:durableId="1327132402">
    <w:abstractNumId w:val="35"/>
  </w:num>
  <w:num w:numId="43" w16cid:durableId="824784802">
    <w:abstractNumId w:val="26"/>
  </w:num>
  <w:num w:numId="44" w16cid:durableId="140287398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21DE3"/>
    <w:rsid w:val="00022815"/>
    <w:rsid w:val="00042DB6"/>
    <w:rsid w:val="00044FAA"/>
    <w:rsid w:val="00046B6D"/>
    <w:rsid w:val="00055ED0"/>
    <w:rsid w:val="00061A8D"/>
    <w:rsid w:val="00075625"/>
    <w:rsid w:val="000A47D8"/>
    <w:rsid w:val="000C4A22"/>
    <w:rsid w:val="000D2787"/>
    <w:rsid w:val="000E2B6A"/>
    <w:rsid w:val="000E6A29"/>
    <w:rsid w:val="000E7A5A"/>
    <w:rsid w:val="000F5DC6"/>
    <w:rsid w:val="00103D42"/>
    <w:rsid w:val="00113E63"/>
    <w:rsid w:val="00137DB8"/>
    <w:rsid w:val="00146FDB"/>
    <w:rsid w:val="0015070E"/>
    <w:rsid w:val="001534D0"/>
    <w:rsid w:val="0015483B"/>
    <w:rsid w:val="00160A52"/>
    <w:rsid w:val="001628E6"/>
    <w:rsid w:val="00162D76"/>
    <w:rsid w:val="001672A5"/>
    <w:rsid w:val="00172644"/>
    <w:rsid w:val="001735D8"/>
    <w:rsid w:val="00194417"/>
    <w:rsid w:val="001B2DB6"/>
    <w:rsid w:val="001F71DE"/>
    <w:rsid w:val="002346C8"/>
    <w:rsid w:val="002353D9"/>
    <w:rsid w:val="0024232D"/>
    <w:rsid w:val="00271A77"/>
    <w:rsid w:val="002A5D11"/>
    <w:rsid w:val="002B09E4"/>
    <w:rsid w:val="002B15E9"/>
    <w:rsid w:val="002C0209"/>
    <w:rsid w:val="002C195A"/>
    <w:rsid w:val="00306928"/>
    <w:rsid w:val="00331FC1"/>
    <w:rsid w:val="003422C2"/>
    <w:rsid w:val="00352709"/>
    <w:rsid w:val="0039097F"/>
    <w:rsid w:val="003B7C8C"/>
    <w:rsid w:val="003F0BEA"/>
    <w:rsid w:val="00402710"/>
    <w:rsid w:val="00414F39"/>
    <w:rsid w:val="004279B2"/>
    <w:rsid w:val="00467BB0"/>
    <w:rsid w:val="00477B30"/>
    <w:rsid w:val="00483594"/>
    <w:rsid w:val="00490E57"/>
    <w:rsid w:val="004A6F1E"/>
    <w:rsid w:val="004D06A7"/>
    <w:rsid w:val="004E66E3"/>
    <w:rsid w:val="004F5E48"/>
    <w:rsid w:val="004F6223"/>
    <w:rsid w:val="005168FE"/>
    <w:rsid w:val="00517874"/>
    <w:rsid w:val="005241C7"/>
    <w:rsid w:val="005541A1"/>
    <w:rsid w:val="005755CB"/>
    <w:rsid w:val="005A0E7B"/>
    <w:rsid w:val="005A11FA"/>
    <w:rsid w:val="005D1579"/>
    <w:rsid w:val="005E6325"/>
    <w:rsid w:val="006040F1"/>
    <w:rsid w:val="00605438"/>
    <w:rsid w:val="0060547B"/>
    <w:rsid w:val="0060763E"/>
    <w:rsid w:val="006C0FC1"/>
    <w:rsid w:val="007155C5"/>
    <w:rsid w:val="00740ADC"/>
    <w:rsid w:val="007415A5"/>
    <w:rsid w:val="0074463C"/>
    <w:rsid w:val="007A4440"/>
    <w:rsid w:val="007E5220"/>
    <w:rsid w:val="007F0790"/>
    <w:rsid w:val="007F536D"/>
    <w:rsid w:val="00822A7F"/>
    <w:rsid w:val="00855A48"/>
    <w:rsid w:val="00891D31"/>
    <w:rsid w:val="008A793B"/>
    <w:rsid w:val="008E0E36"/>
    <w:rsid w:val="008E7CE8"/>
    <w:rsid w:val="008F5F04"/>
    <w:rsid w:val="00903B11"/>
    <w:rsid w:val="00904358"/>
    <w:rsid w:val="00945EDD"/>
    <w:rsid w:val="00955038"/>
    <w:rsid w:val="0098709D"/>
    <w:rsid w:val="009A7B83"/>
    <w:rsid w:val="009E03FA"/>
    <w:rsid w:val="00A11B1D"/>
    <w:rsid w:val="00A15E45"/>
    <w:rsid w:val="00A22917"/>
    <w:rsid w:val="00A30DFE"/>
    <w:rsid w:val="00A614FE"/>
    <w:rsid w:val="00A72E3A"/>
    <w:rsid w:val="00A77351"/>
    <w:rsid w:val="00A92E67"/>
    <w:rsid w:val="00AB5011"/>
    <w:rsid w:val="00AD48E1"/>
    <w:rsid w:val="00B14E2E"/>
    <w:rsid w:val="00B208DA"/>
    <w:rsid w:val="00B50C81"/>
    <w:rsid w:val="00B556AE"/>
    <w:rsid w:val="00BA0F78"/>
    <w:rsid w:val="00BF68EE"/>
    <w:rsid w:val="00C00AA7"/>
    <w:rsid w:val="00C510C4"/>
    <w:rsid w:val="00C75EE3"/>
    <w:rsid w:val="00C92589"/>
    <w:rsid w:val="00CB6D41"/>
    <w:rsid w:val="00CE768A"/>
    <w:rsid w:val="00CF3002"/>
    <w:rsid w:val="00CF7AB0"/>
    <w:rsid w:val="00D032E5"/>
    <w:rsid w:val="00D12062"/>
    <w:rsid w:val="00D13F38"/>
    <w:rsid w:val="00D269D9"/>
    <w:rsid w:val="00D326A2"/>
    <w:rsid w:val="00D96B05"/>
    <w:rsid w:val="00DA1417"/>
    <w:rsid w:val="00DA1E7F"/>
    <w:rsid w:val="00DA5E08"/>
    <w:rsid w:val="00DB3697"/>
    <w:rsid w:val="00DB5E99"/>
    <w:rsid w:val="00DE0F7A"/>
    <w:rsid w:val="00DE65A0"/>
    <w:rsid w:val="00E027EC"/>
    <w:rsid w:val="00E16B38"/>
    <w:rsid w:val="00E4076D"/>
    <w:rsid w:val="00E6233B"/>
    <w:rsid w:val="00E774B4"/>
    <w:rsid w:val="00EC2759"/>
    <w:rsid w:val="00EC7F76"/>
    <w:rsid w:val="00F043E2"/>
    <w:rsid w:val="00F12C51"/>
    <w:rsid w:val="00F55A93"/>
    <w:rsid w:val="00F70C77"/>
    <w:rsid w:val="00F87A12"/>
    <w:rsid w:val="00F9621C"/>
    <w:rsid w:val="00FA0D69"/>
    <w:rsid w:val="00FC4426"/>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 w:type="paragraph" w:styleId="Tekstprzypisudolnego">
    <w:name w:val="footnote text"/>
    <w:basedOn w:val="Normalny"/>
    <w:link w:val="TekstprzypisudolnegoZnak"/>
    <w:uiPriority w:val="99"/>
    <w:semiHidden/>
    <w:unhideWhenUsed/>
    <w:rsid w:val="00517874"/>
    <w:pPr>
      <w:spacing w:after="0" w:line="240" w:lineRule="auto"/>
      <w:ind w:right="8"/>
    </w:pPr>
    <w:rPr>
      <w:rFonts w:ascii="Times New Roman" w:eastAsia="Times New Roman" w:hAnsi="Times New Roman" w:cs="Times New Roman"/>
      <w:color w:val="000000"/>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517874"/>
    <w:rPr>
      <w:rFonts w:ascii="Times New Roman" w:eastAsia="Times New Roman" w:hAnsi="Times New Roman" w:cs="Times New Roman"/>
      <w:color w:val="000000"/>
      <w:kern w:val="0"/>
      <w:sz w:val="20"/>
      <w:szCs w:val="20"/>
      <w14:ligatures w14:val="none"/>
    </w:rPr>
  </w:style>
  <w:style w:type="character" w:styleId="Odwoanieprzypisudolnego">
    <w:name w:val="footnote reference"/>
    <w:basedOn w:val="Domylnaczcionkaakapitu"/>
    <w:uiPriority w:val="99"/>
    <w:semiHidden/>
    <w:unhideWhenUsed/>
    <w:rsid w:val="0051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30</Pages>
  <Words>13429</Words>
  <Characters>80576</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8</cp:revision>
  <cp:lastPrinted>2024-07-09T08:57:00Z</cp:lastPrinted>
  <dcterms:created xsi:type="dcterms:W3CDTF">2024-07-08T08:54:00Z</dcterms:created>
  <dcterms:modified xsi:type="dcterms:W3CDTF">2024-07-09T09:11:00Z</dcterms:modified>
</cp:coreProperties>
</file>