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64A3E" w14:textId="10F43145" w:rsidR="00670132" w:rsidRPr="004352A2" w:rsidRDefault="00670132" w:rsidP="00670132">
      <w:pPr>
        <w:pStyle w:val="Akapitzlist"/>
        <w:spacing w:after="120" w:line="264" w:lineRule="auto"/>
        <w:ind w:right="-567"/>
        <w:jc w:val="right"/>
        <w:rPr>
          <w:rFonts w:cs="Calibri"/>
          <w:color w:val="000000" w:themeColor="text1"/>
        </w:rPr>
      </w:pPr>
      <w:r w:rsidRPr="004352A2">
        <w:rPr>
          <w:rFonts w:cs="Calibri"/>
          <w:color w:val="000000" w:themeColor="text1"/>
        </w:rPr>
        <w:t xml:space="preserve">Załącznik nr </w:t>
      </w:r>
      <w:r w:rsidR="006A23A9">
        <w:rPr>
          <w:rFonts w:cs="Calibri"/>
          <w:color w:val="000000" w:themeColor="text1"/>
        </w:rPr>
        <w:t>8</w:t>
      </w:r>
    </w:p>
    <w:p w14:paraId="369AE8EB" w14:textId="7835B1E4" w:rsidR="00670132" w:rsidRPr="004352A2" w:rsidRDefault="00670132" w:rsidP="00670132">
      <w:pPr>
        <w:pStyle w:val="Akapitzlist"/>
        <w:spacing w:after="120" w:line="264" w:lineRule="auto"/>
        <w:ind w:right="-567"/>
        <w:jc w:val="right"/>
        <w:rPr>
          <w:rFonts w:cs="Calibri"/>
        </w:rPr>
      </w:pPr>
      <w:r w:rsidRPr="004352A2">
        <w:rPr>
          <w:rFonts w:cs="Calibri"/>
        </w:rPr>
        <w:t xml:space="preserve">do Umowy </w:t>
      </w:r>
      <w:r w:rsidR="001E130E">
        <w:rPr>
          <w:rFonts w:cs="Calibri"/>
        </w:rPr>
        <w:t>nr…………</w:t>
      </w:r>
      <w:r w:rsidRPr="004352A2">
        <w:rPr>
          <w:rFonts w:cs="Calibri"/>
        </w:rPr>
        <w:t xml:space="preserve">z dnia </w:t>
      </w:r>
      <w:r>
        <w:rPr>
          <w:rFonts w:cs="Calibri"/>
        </w:rPr>
        <w:t xml:space="preserve">……………… </w:t>
      </w:r>
      <w:r w:rsidRPr="004352A2">
        <w:rPr>
          <w:rFonts w:cs="Calibri"/>
        </w:rPr>
        <w:t>roku</w:t>
      </w:r>
    </w:p>
    <w:p w14:paraId="6FE64248" w14:textId="77777777" w:rsidR="00670132" w:rsidRPr="004352A2" w:rsidRDefault="00670132" w:rsidP="00670132">
      <w:pPr>
        <w:spacing w:after="237" w:line="255" w:lineRule="auto"/>
        <w:ind w:left="-5" w:right="-567" w:hanging="10"/>
        <w:jc w:val="center"/>
        <w:rPr>
          <w:rFonts w:eastAsia="Times New Roman" w:cs="Calibri"/>
          <w:sz w:val="28"/>
          <w:szCs w:val="28"/>
        </w:rPr>
      </w:pPr>
    </w:p>
    <w:p w14:paraId="6F89A5DC" w14:textId="7CD4FC91" w:rsidR="00670132" w:rsidRPr="004352A2" w:rsidRDefault="00670132" w:rsidP="00670132">
      <w:pPr>
        <w:spacing w:after="237" w:line="255" w:lineRule="auto"/>
        <w:ind w:left="-5" w:right="-567" w:hanging="10"/>
        <w:jc w:val="center"/>
        <w:rPr>
          <w:rFonts w:cs="Calibri"/>
          <w:sz w:val="28"/>
          <w:szCs w:val="28"/>
        </w:rPr>
      </w:pPr>
      <w:r w:rsidRPr="004352A2">
        <w:rPr>
          <w:rFonts w:eastAsia="Times New Roman" w:cs="Calibri"/>
          <w:sz w:val="28"/>
          <w:szCs w:val="28"/>
        </w:rPr>
        <w:t>Warunki obliczania rekompensaty z tytułu kosztów poniesionych w związku ze świadczeniem usługi</w:t>
      </w:r>
    </w:p>
    <w:p w14:paraId="43D40115" w14:textId="221B728F" w:rsidR="00670132" w:rsidRPr="004352A2" w:rsidRDefault="00670132" w:rsidP="00380917">
      <w:pPr>
        <w:numPr>
          <w:ilvl w:val="0"/>
          <w:numId w:val="1"/>
        </w:numPr>
        <w:spacing w:after="115" w:line="255" w:lineRule="auto"/>
        <w:ind w:left="426" w:right="-567" w:hanging="426"/>
        <w:jc w:val="both"/>
        <w:rPr>
          <w:rFonts w:cs="Calibri"/>
        </w:rPr>
      </w:pPr>
      <w:r>
        <w:rPr>
          <w:rFonts w:eastAsia="Times New Roman" w:cs="Calibri"/>
        </w:rPr>
        <w:t>Wartość</w:t>
      </w:r>
      <w:r w:rsidRPr="004352A2">
        <w:rPr>
          <w:rFonts w:eastAsia="Times New Roman" w:cs="Calibri"/>
        </w:rPr>
        <w:t xml:space="preserve"> rekompensaty </w:t>
      </w:r>
      <w:r>
        <w:rPr>
          <w:rFonts w:eastAsia="Times New Roman" w:cs="Calibri"/>
        </w:rPr>
        <w:t>ob</w:t>
      </w:r>
      <w:r w:rsidRPr="004352A2">
        <w:rPr>
          <w:rFonts w:eastAsia="Times New Roman" w:cs="Calibri"/>
        </w:rPr>
        <w:t>licza się w odniesieniu do przychodów i kosztów związanych bezpośrednio z</w:t>
      </w:r>
      <w:r w:rsidR="00C7443A">
        <w:rPr>
          <w:rFonts w:eastAsia="Times New Roman" w:cs="Calibri"/>
        </w:rPr>
        <w:t> </w:t>
      </w:r>
      <w:r w:rsidRPr="004352A2">
        <w:rPr>
          <w:rFonts w:eastAsia="Times New Roman" w:cs="Calibri"/>
        </w:rPr>
        <w:t xml:space="preserve">realizacją usługi lub naliczonych proporcjonalnie do zaangażowania zasobów w realizację usługi. </w:t>
      </w:r>
    </w:p>
    <w:p w14:paraId="373A4850" w14:textId="7614F035" w:rsidR="00670132" w:rsidRPr="004352A2" w:rsidRDefault="00670132" w:rsidP="00380917">
      <w:pPr>
        <w:numPr>
          <w:ilvl w:val="0"/>
          <w:numId w:val="1"/>
        </w:numPr>
        <w:spacing w:after="115" w:line="255" w:lineRule="auto"/>
        <w:ind w:left="426" w:right="-567" w:hanging="426"/>
        <w:jc w:val="both"/>
        <w:rPr>
          <w:rFonts w:cs="Calibri"/>
        </w:rPr>
      </w:pPr>
      <w:r w:rsidRPr="004352A2">
        <w:rPr>
          <w:rFonts w:eastAsia="Times New Roman" w:cs="Calibri"/>
        </w:rPr>
        <w:t xml:space="preserve">Poziom rekompensaty oraz poszczególnych jej elementów nie może przekroczyć wartości jednostkowej wskazanej w </w:t>
      </w:r>
      <w:r w:rsidRPr="00587160">
        <w:rPr>
          <w:rFonts w:cs="Calibri"/>
          <w:color w:val="0070C0"/>
        </w:rPr>
        <w:t>§</w:t>
      </w:r>
      <w:r w:rsidRPr="00587160">
        <w:rPr>
          <w:rFonts w:eastAsia="Times New Roman" w:cs="Calibri"/>
          <w:color w:val="0070C0"/>
        </w:rPr>
        <w:t xml:space="preserve"> </w:t>
      </w:r>
      <w:r w:rsidR="00112500">
        <w:rPr>
          <w:rFonts w:eastAsia="Times New Roman" w:cs="Calibri"/>
          <w:color w:val="0070C0"/>
        </w:rPr>
        <w:t>10</w:t>
      </w:r>
      <w:r w:rsidR="00112500" w:rsidRPr="00587160">
        <w:rPr>
          <w:rFonts w:eastAsia="Times New Roman" w:cs="Calibri"/>
          <w:color w:val="0070C0"/>
        </w:rPr>
        <w:t xml:space="preserve"> </w:t>
      </w:r>
      <w:r w:rsidRPr="00587160">
        <w:rPr>
          <w:rFonts w:eastAsia="Times New Roman" w:cs="Calibri"/>
          <w:color w:val="0070C0"/>
        </w:rPr>
        <w:t xml:space="preserve">ust. </w:t>
      </w:r>
      <w:r w:rsidR="00D50DDA">
        <w:rPr>
          <w:rFonts w:eastAsia="Times New Roman" w:cs="Calibri"/>
          <w:color w:val="0070C0"/>
        </w:rPr>
        <w:t>2</w:t>
      </w:r>
      <w:r w:rsidRPr="004352A2">
        <w:rPr>
          <w:rFonts w:eastAsia="Times New Roman" w:cs="Calibri"/>
        </w:rPr>
        <w:t xml:space="preserve"> </w:t>
      </w:r>
      <w:r w:rsidR="00313A2D">
        <w:rPr>
          <w:rFonts w:eastAsia="Times New Roman" w:cs="Calibri"/>
        </w:rPr>
        <w:t>U</w:t>
      </w:r>
      <w:r w:rsidR="00313A2D" w:rsidRPr="004352A2">
        <w:rPr>
          <w:rFonts w:eastAsia="Times New Roman" w:cs="Calibri"/>
        </w:rPr>
        <w:t>mowy</w:t>
      </w:r>
      <w:r>
        <w:rPr>
          <w:rFonts w:eastAsia="Times New Roman" w:cs="Calibri"/>
        </w:rPr>
        <w:t>.</w:t>
      </w:r>
    </w:p>
    <w:p w14:paraId="51F4FC0E" w14:textId="44EA67AC" w:rsidR="00670132" w:rsidRPr="004352A2" w:rsidRDefault="00670132" w:rsidP="00380917">
      <w:pPr>
        <w:numPr>
          <w:ilvl w:val="0"/>
          <w:numId w:val="1"/>
        </w:numPr>
        <w:spacing w:after="115" w:line="255" w:lineRule="auto"/>
        <w:ind w:left="426" w:right="-567" w:hanging="426"/>
        <w:jc w:val="both"/>
        <w:rPr>
          <w:rFonts w:cs="Calibri"/>
        </w:rPr>
      </w:pPr>
      <w:r w:rsidRPr="004352A2">
        <w:rPr>
          <w:rFonts w:eastAsia="Times New Roman" w:cs="Calibri"/>
        </w:rPr>
        <w:t xml:space="preserve">Koszty generowane przez środki transportu, których wysokość nie wynika bezpośrednio z realizacji przewozów objętych niniejszą umową (amortyzacja, koszty napraw, konserwacji, ubezpieczenia, przeglądów, podatków od środków transportowych, leasingi) oraz przychody niezwiązane bezpośrednio z realizacją przewozów objętych niniejszą umową (np. przychody z reklam umieszczonych w autobusie) skorygowane zostaną o współczynnik </w:t>
      </w:r>
      <w:r w:rsidR="00FD2BAC" w:rsidRPr="00FD2BAC">
        <w:rPr>
          <w:rFonts w:eastAsia="Times New Roman" w:cs="Calibri"/>
        </w:rPr>
        <w:t>udziału przy świadczeniu usługi stanowiącej przedmiot umowy (</w:t>
      </w:r>
      <w:r w:rsidR="00FD2BAC" w:rsidRPr="007D3854">
        <w:rPr>
          <w:rFonts w:eastAsia="Times New Roman" w:cs="Calibri"/>
          <w:b/>
          <w:bCs/>
        </w:rPr>
        <w:t>Wu</w:t>
      </w:r>
      <w:r w:rsidR="00FD2BAC" w:rsidRPr="00FD2BAC">
        <w:rPr>
          <w:rFonts w:eastAsia="Times New Roman" w:cs="Calibri"/>
        </w:rPr>
        <w:t>)</w:t>
      </w:r>
      <w:r w:rsidR="00081929">
        <w:rPr>
          <w:rFonts w:eastAsia="Times New Roman" w:cs="Calibri"/>
        </w:rPr>
        <w:t xml:space="preserve"> </w:t>
      </w:r>
      <w:r w:rsidR="00081929" w:rsidRPr="00081929">
        <w:rPr>
          <w:rFonts w:eastAsia="Times New Roman" w:cs="Calibri"/>
        </w:rPr>
        <w:t xml:space="preserve">określony zgodnie z </w:t>
      </w:r>
      <w:r w:rsidR="00081929" w:rsidRPr="000C33DA">
        <w:rPr>
          <w:rFonts w:eastAsia="Times New Roman" w:cs="Calibri"/>
          <w:color w:val="0070C0"/>
        </w:rPr>
        <w:t xml:space="preserve">Załącznikiem nr </w:t>
      </w:r>
      <w:r w:rsidR="007C090E">
        <w:rPr>
          <w:rFonts w:eastAsia="Times New Roman" w:cs="Calibri"/>
          <w:color w:val="0070C0"/>
        </w:rPr>
        <w:t>9</w:t>
      </w:r>
      <w:r w:rsidR="007C090E" w:rsidRPr="000C33DA">
        <w:rPr>
          <w:rFonts w:eastAsia="Times New Roman" w:cs="Calibri"/>
          <w:color w:val="0070C0"/>
        </w:rPr>
        <w:t xml:space="preserve"> </w:t>
      </w:r>
      <w:r w:rsidR="00A53235">
        <w:rPr>
          <w:rFonts w:eastAsia="Times New Roman" w:cs="Calibri"/>
        </w:rPr>
        <w:t xml:space="preserve">do niniejszej </w:t>
      </w:r>
      <w:r w:rsidR="000169AD">
        <w:rPr>
          <w:rFonts w:eastAsia="Times New Roman" w:cs="Calibri"/>
        </w:rPr>
        <w:t>Umowy</w:t>
      </w:r>
      <w:r w:rsidRPr="004352A2">
        <w:rPr>
          <w:rFonts w:eastAsia="Times New Roman" w:cs="Calibri"/>
        </w:rPr>
        <w:t>, zgodnie z faktycznym zaangażowaniem pojazdów w okresie rozliczeniowym, mierzonym liczbą wykonanych wozokilometrów.</w:t>
      </w:r>
    </w:p>
    <w:p w14:paraId="3E767A81" w14:textId="3886CED9" w:rsidR="00670132" w:rsidRPr="004352A2" w:rsidRDefault="00670132" w:rsidP="00380917">
      <w:pPr>
        <w:numPr>
          <w:ilvl w:val="0"/>
          <w:numId w:val="1"/>
        </w:numPr>
        <w:spacing w:after="115" w:line="255" w:lineRule="auto"/>
        <w:ind w:left="426" w:right="-567" w:hanging="426"/>
        <w:jc w:val="both"/>
        <w:rPr>
          <w:rFonts w:cs="Calibri"/>
        </w:rPr>
      </w:pPr>
      <w:r w:rsidRPr="004352A2">
        <w:rPr>
          <w:rFonts w:eastAsia="Times New Roman" w:cs="Calibri"/>
        </w:rPr>
        <w:t>Koszty generowane przez zasoby, które wykorzystywane są również w innej działalności Operatora</w:t>
      </w:r>
      <w:r w:rsidR="002E75AE">
        <w:rPr>
          <w:rFonts w:eastAsia="Times New Roman" w:cs="Calibri"/>
        </w:rPr>
        <w:t>,</w:t>
      </w:r>
      <w:r w:rsidRPr="004352A2">
        <w:rPr>
          <w:rFonts w:eastAsia="Times New Roman" w:cs="Calibri"/>
        </w:rPr>
        <w:t xml:space="preserve"> zostaną skorygowane o współczynnik </w:t>
      </w:r>
      <w:r w:rsidR="00655E50" w:rsidRPr="00655E50">
        <w:rPr>
          <w:rFonts w:eastAsia="Times New Roman" w:cs="Calibri"/>
        </w:rPr>
        <w:t>udziału przy świadczeniu usługi stanowiącej przedmiot umowy (</w:t>
      </w:r>
      <w:r w:rsidR="00655E50" w:rsidRPr="007D3854">
        <w:rPr>
          <w:rFonts w:eastAsia="Times New Roman" w:cs="Calibri"/>
          <w:b/>
          <w:bCs/>
        </w:rPr>
        <w:t>Wu</w:t>
      </w:r>
      <w:r w:rsidR="00655E50" w:rsidRPr="00655E50">
        <w:rPr>
          <w:rFonts w:eastAsia="Times New Roman" w:cs="Calibri"/>
        </w:rPr>
        <w:t xml:space="preserve">) określony zgodnie z </w:t>
      </w:r>
      <w:r w:rsidR="00655E50" w:rsidRPr="000C33DA">
        <w:rPr>
          <w:rFonts w:eastAsia="Times New Roman" w:cs="Calibri"/>
          <w:color w:val="0070C0"/>
        </w:rPr>
        <w:t xml:space="preserve">Załącznikiem nr </w:t>
      </w:r>
      <w:r w:rsidR="007C090E">
        <w:rPr>
          <w:rFonts w:eastAsia="Times New Roman" w:cs="Calibri"/>
          <w:color w:val="0070C0"/>
        </w:rPr>
        <w:t>9</w:t>
      </w:r>
      <w:r w:rsidR="007C090E" w:rsidRPr="000C33DA">
        <w:rPr>
          <w:rFonts w:eastAsia="Times New Roman" w:cs="Calibri"/>
          <w:color w:val="0070C0"/>
        </w:rPr>
        <w:t xml:space="preserve"> </w:t>
      </w:r>
      <w:r w:rsidR="00655E50" w:rsidRPr="00655E50">
        <w:rPr>
          <w:rFonts w:eastAsia="Times New Roman" w:cs="Calibri"/>
        </w:rPr>
        <w:t xml:space="preserve">do niniejszej </w:t>
      </w:r>
      <w:r w:rsidR="003F2B94">
        <w:rPr>
          <w:rFonts w:eastAsia="Times New Roman" w:cs="Calibri"/>
        </w:rPr>
        <w:t>U</w:t>
      </w:r>
      <w:r w:rsidR="003F2B94" w:rsidRPr="00655E50">
        <w:rPr>
          <w:rFonts w:eastAsia="Times New Roman" w:cs="Calibri"/>
        </w:rPr>
        <w:t>mowy</w:t>
      </w:r>
      <w:r w:rsidRPr="004352A2">
        <w:rPr>
          <w:rFonts w:eastAsia="Times New Roman" w:cs="Calibri"/>
        </w:rPr>
        <w:t>.</w:t>
      </w:r>
    </w:p>
    <w:p w14:paraId="62468366" w14:textId="77777777" w:rsidR="00670132" w:rsidRPr="004352A2" w:rsidRDefault="00670132" w:rsidP="00A07D9C">
      <w:pPr>
        <w:numPr>
          <w:ilvl w:val="0"/>
          <w:numId w:val="1"/>
        </w:numPr>
        <w:spacing w:after="115" w:line="254" w:lineRule="auto"/>
        <w:ind w:left="425" w:right="-567" w:hanging="425"/>
        <w:jc w:val="both"/>
        <w:rPr>
          <w:rFonts w:cs="Calibri"/>
        </w:rPr>
      </w:pPr>
      <w:r w:rsidRPr="004352A2">
        <w:rPr>
          <w:rFonts w:eastAsia="Times New Roman" w:cs="Calibri"/>
        </w:rPr>
        <w:t>W przypadku kosztów ponoszonych w walutach obcych, wartość kosztu w złotych oblicza się według średniego kursu ogłoszonego przez Narodowy Bank Polski, obowiązującego w dniu wystawienia dokumentu potwierdzającego poniesiony koszt lub w najbliższym dniu roboczym, następującym po wystawieniu tego dokumentu.</w:t>
      </w:r>
    </w:p>
    <w:p w14:paraId="462BC668" w14:textId="62EB55F8" w:rsidR="00670132" w:rsidRPr="004352A2" w:rsidRDefault="00670132" w:rsidP="00A07D9C">
      <w:pPr>
        <w:numPr>
          <w:ilvl w:val="0"/>
          <w:numId w:val="1"/>
        </w:numPr>
        <w:spacing w:after="115" w:line="254" w:lineRule="auto"/>
        <w:ind w:left="425" w:right="-567" w:hanging="425"/>
        <w:jc w:val="both"/>
        <w:rPr>
          <w:rFonts w:cs="Calibri"/>
        </w:rPr>
      </w:pPr>
      <w:r>
        <w:rPr>
          <w:rFonts w:eastAsia="Times New Roman" w:cs="Calibri"/>
        </w:rPr>
        <w:t>Wartość</w:t>
      </w:r>
      <w:r w:rsidRPr="004352A2">
        <w:rPr>
          <w:rFonts w:eastAsia="Times New Roman" w:cs="Calibri"/>
        </w:rPr>
        <w:t xml:space="preserve"> rekompensaty oblicza się według następującego wzoru: </w:t>
      </w:r>
    </w:p>
    <w:p w14:paraId="3DEF8401" w14:textId="104183FB" w:rsidR="00670132" w:rsidRPr="00670132" w:rsidRDefault="00670132" w:rsidP="00380917">
      <w:pPr>
        <w:pStyle w:val="Akapitzlist"/>
        <w:ind w:left="0" w:right="-567"/>
        <w:jc w:val="center"/>
        <w:rPr>
          <w:rFonts w:cs="Calibri"/>
          <w:b/>
          <w:bCs/>
        </w:rPr>
      </w:pPr>
      <w:r w:rsidRPr="00670132">
        <w:rPr>
          <w:rFonts w:cs="Calibri"/>
          <w:b/>
          <w:bCs/>
        </w:rPr>
        <w:t xml:space="preserve">RK = (Ko + </w:t>
      </w:r>
      <w:proofErr w:type="spellStart"/>
      <w:r w:rsidRPr="00670132">
        <w:rPr>
          <w:rFonts w:cs="Calibri"/>
          <w:b/>
          <w:bCs/>
        </w:rPr>
        <w:t>PKo</w:t>
      </w:r>
      <w:proofErr w:type="spellEnd"/>
      <w:r w:rsidRPr="00670132">
        <w:rPr>
          <w:rFonts w:cs="Calibri"/>
          <w:b/>
          <w:bCs/>
        </w:rPr>
        <w:t xml:space="preserve"> – Po – </w:t>
      </w:r>
      <w:proofErr w:type="spellStart"/>
      <w:r w:rsidRPr="00670132">
        <w:rPr>
          <w:rFonts w:cs="Calibri"/>
          <w:b/>
          <w:bCs/>
        </w:rPr>
        <w:t>PPo</w:t>
      </w:r>
      <w:proofErr w:type="spellEnd"/>
      <w:r w:rsidRPr="00670132">
        <w:rPr>
          <w:rFonts w:cs="Calibri"/>
          <w:b/>
          <w:bCs/>
        </w:rPr>
        <w:t xml:space="preserve"> – U) + (Ko + </w:t>
      </w:r>
      <w:proofErr w:type="spellStart"/>
      <w:r w:rsidRPr="00670132">
        <w:rPr>
          <w:rFonts w:cs="Calibri"/>
          <w:b/>
          <w:bCs/>
        </w:rPr>
        <w:t>PKo</w:t>
      </w:r>
      <w:proofErr w:type="spellEnd"/>
      <w:r w:rsidRPr="00670132">
        <w:rPr>
          <w:rFonts w:cs="Calibri"/>
          <w:b/>
          <w:bCs/>
        </w:rPr>
        <w:t xml:space="preserve">) </w:t>
      </w:r>
      <w:r>
        <w:rPr>
          <w:rFonts w:cs="Calibri"/>
          <w:b/>
          <w:bCs/>
        </w:rPr>
        <w:t>x</w:t>
      </w:r>
      <w:r w:rsidRPr="00670132">
        <w:rPr>
          <w:rFonts w:cs="Calibri"/>
          <w:b/>
          <w:bCs/>
        </w:rPr>
        <w:t xml:space="preserve"> RZ</w:t>
      </w:r>
    </w:p>
    <w:p w14:paraId="3C396DD5" w14:textId="69EB027C" w:rsidR="00380917" w:rsidRDefault="00380917" w:rsidP="00380917">
      <w:pPr>
        <w:spacing w:after="117" w:line="255" w:lineRule="auto"/>
        <w:ind w:left="426" w:right="-567" w:hanging="10"/>
        <w:rPr>
          <w:rFonts w:asciiTheme="minorHAnsi" w:eastAsia="Times New Roman" w:hAnsiTheme="minorHAnsi" w:cstheme="minorHAnsi"/>
        </w:rPr>
      </w:pPr>
      <w:r w:rsidRPr="00A90804">
        <w:rPr>
          <w:rFonts w:asciiTheme="minorHAnsi" w:eastAsia="Times New Roman" w:hAnsiTheme="minorHAnsi" w:cstheme="minorHAnsi"/>
        </w:rPr>
        <w:t xml:space="preserve">przy czym </w:t>
      </w:r>
      <m:oMath>
        <m:func>
          <m:funcPr>
            <m:ctrlPr>
              <w:rPr>
                <w:rFonts w:ascii="Cambria Math" w:eastAsia="Times New Roman" w:hAnsi="Cambria Math" w:cstheme="minorHAnsi"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theme="minorHAnsi"/>
                <w:sz w:val="24"/>
                <w:szCs w:val="24"/>
              </w:rPr>
              <m:t>max</m:t>
            </m:r>
          </m:fName>
          <m:e>
            <m:r>
              <m:rPr>
                <m:sty m:val="p"/>
              </m:rPr>
              <w:rPr>
                <w:rFonts w:ascii="Cambria Math" w:eastAsia="Times New Roman" w:hAnsi="Cambria Math" w:cstheme="minorHAnsi"/>
                <w:sz w:val="24"/>
                <w:szCs w:val="24"/>
              </w:rPr>
              <m:t xml:space="preserve"> </m:t>
            </m:r>
            <m:f>
              <m:fPr>
                <m:ctrlPr>
                  <w:rPr>
                    <w:rFonts w:ascii="Cambria Math" w:eastAsia="Times New Roman" w:hAnsi="Cambria Math" w:cstheme="minorHAnsi"/>
                    <w:b/>
                    <w:bCs/>
                    <w:iCs/>
                    <w:sz w:val="24"/>
                    <w:szCs w:val="24"/>
                  </w:rPr>
                </m:ctrlPr>
              </m:fPr>
              <m:num>
                <m:r>
                  <m:rPr>
                    <m:sty m:val="b"/>
                  </m:rPr>
                  <w:rPr>
                    <w:rFonts w:ascii="Cambria Math" w:eastAsia="Times New Roman" w:hAnsi="Cambria Math" w:cstheme="minorHAnsi"/>
                    <w:sz w:val="24"/>
                    <w:szCs w:val="24"/>
                  </w:rPr>
                  <m:t>RK</m:t>
                </m:r>
              </m:num>
              <m:den>
                <m:r>
                  <m:rPr>
                    <m:sty m:val="b"/>
                  </m:rPr>
                  <w:rPr>
                    <w:rFonts w:ascii="Cambria Math" w:eastAsia="Times New Roman" w:hAnsi="Cambria Math" w:cstheme="minorHAnsi"/>
                    <w:sz w:val="24"/>
                    <w:szCs w:val="24"/>
                  </w:rPr>
                  <m:t>Wi</m:t>
                </m:r>
              </m:den>
            </m:f>
            <m:r>
              <m:rPr>
                <m:sty m:val="p"/>
              </m:rPr>
              <w:rPr>
                <w:rFonts w:ascii="Cambria Math" w:eastAsia="Times New Roman" w:hAnsi="Cambria Math" w:cstheme="minorHAnsi"/>
                <w:sz w:val="24"/>
                <w:szCs w:val="24"/>
              </w:rPr>
              <m:t>=</m:t>
            </m:r>
            <m:r>
              <w:rPr>
                <w:rFonts w:ascii="Cambria Math" w:eastAsia="Times New Roman" w:hAnsi="Cambria Math" w:cstheme="minorHAnsi"/>
                <w:sz w:val="24"/>
                <w:szCs w:val="24"/>
              </w:rPr>
              <m:t>... zł</m:t>
            </m:r>
          </m:e>
        </m:func>
        <m:r>
          <w:rPr>
            <w:rFonts w:ascii="Cambria Math" w:eastAsia="Times New Roman" w:hAnsi="Cambria Math" w:cstheme="minorHAnsi"/>
            <w:sz w:val="24"/>
            <w:szCs w:val="24"/>
          </w:rPr>
          <m:t>/</m:t>
        </m:r>
        <m:r>
          <m:rPr>
            <m:sty m:val="p"/>
          </m:rPr>
          <w:rPr>
            <w:rFonts w:ascii="Cambria Math" w:eastAsia="Times New Roman" w:hAnsi="Cambria Math" w:cstheme="minorHAnsi"/>
            <w:sz w:val="24"/>
            <w:szCs w:val="24"/>
          </w:rPr>
          <m:t>wzkm</m:t>
        </m:r>
      </m:oMath>
      <w:r w:rsidRPr="00A90804">
        <w:rPr>
          <w:rFonts w:asciiTheme="minorHAnsi" w:eastAsia="Times New Roman" w:hAnsiTheme="minorHAnsi" w:cstheme="minorHAnsi"/>
        </w:rPr>
        <w:t>,</w:t>
      </w:r>
    </w:p>
    <w:p w14:paraId="434C6CF7" w14:textId="77777777" w:rsidR="00380917" w:rsidRPr="004352A2" w:rsidRDefault="00380917" w:rsidP="00380917">
      <w:pPr>
        <w:spacing w:after="117" w:line="255" w:lineRule="auto"/>
        <w:ind w:left="426" w:right="-567" w:hanging="10"/>
        <w:rPr>
          <w:rFonts w:eastAsia="Times New Roman" w:cs="Calibri"/>
        </w:rPr>
      </w:pPr>
      <w:r w:rsidRPr="004352A2">
        <w:rPr>
          <w:rFonts w:eastAsia="Times New Roman" w:cs="Calibri"/>
        </w:rPr>
        <w:t>gdzie:</w:t>
      </w:r>
    </w:p>
    <w:p w14:paraId="65FD1EE3" w14:textId="77777777" w:rsidR="00380917" w:rsidRPr="004352A2" w:rsidRDefault="00380917" w:rsidP="00380917">
      <w:pPr>
        <w:spacing w:after="120" w:line="254" w:lineRule="auto"/>
        <w:ind w:left="426" w:right="-567"/>
        <w:jc w:val="both"/>
        <w:rPr>
          <w:rFonts w:eastAsia="Times New Roman" w:cs="Calibri"/>
        </w:rPr>
      </w:pPr>
      <w:r w:rsidRPr="004352A2">
        <w:rPr>
          <w:rFonts w:eastAsia="Times New Roman" w:cs="Calibri"/>
        </w:rPr>
        <w:t xml:space="preserve">RK - wysokość rekompensaty </w:t>
      </w:r>
      <w:r>
        <w:rPr>
          <w:rFonts w:eastAsia="Times New Roman" w:cs="Calibri"/>
        </w:rPr>
        <w:t xml:space="preserve">kosztowej z tytułu </w:t>
      </w:r>
      <w:r w:rsidRPr="004352A2">
        <w:rPr>
          <w:rFonts w:eastAsia="Times New Roman" w:cs="Calibri"/>
        </w:rPr>
        <w:t>koszt</w:t>
      </w:r>
      <w:r>
        <w:rPr>
          <w:rFonts w:eastAsia="Times New Roman" w:cs="Calibri"/>
        </w:rPr>
        <w:t>ów</w:t>
      </w:r>
      <w:r w:rsidRPr="004352A2">
        <w:rPr>
          <w:rFonts w:eastAsia="Times New Roman" w:cs="Calibri"/>
        </w:rPr>
        <w:t xml:space="preserve"> </w:t>
      </w:r>
      <w:r>
        <w:rPr>
          <w:rFonts w:eastAsia="Times New Roman" w:cs="Calibri"/>
        </w:rPr>
        <w:t>poniesionych</w:t>
      </w:r>
      <w:r w:rsidRPr="004352A2">
        <w:rPr>
          <w:rFonts w:eastAsia="Times New Roman" w:cs="Calibri"/>
        </w:rPr>
        <w:t xml:space="preserve"> </w:t>
      </w:r>
      <w:r>
        <w:rPr>
          <w:rFonts w:eastAsia="Times New Roman" w:cs="Calibri"/>
        </w:rPr>
        <w:t>w związku</w:t>
      </w:r>
      <w:r w:rsidRPr="004352A2">
        <w:rPr>
          <w:rFonts w:eastAsia="Times New Roman" w:cs="Calibri"/>
        </w:rPr>
        <w:t xml:space="preserve"> z realizacją umowy</w:t>
      </w:r>
      <w:r>
        <w:rPr>
          <w:rFonts w:eastAsia="Times New Roman" w:cs="Calibri"/>
        </w:rPr>
        <w:t>,</w:t>
      </w:r>
    </w:p>
    <w:p w14:paraId="3A96DE88" w14:textId="77777777" w:rsidR="00380917" w:rsidRPr="004352A2" w:rsidRDefault="00380917" w:rsidP="00380917">
      <w:pPr>
        <w:spacing w:after="109" w:line="252" w:lineRule="auto"/>
        <w:ind w:left="426" w:right="-567"/>
        <w:rPr>
          <w:rFonts w:cs="Calibri"/>
        </w:rPr>
      </w:pPr>
      <w:r w:rsidRPr="004352A2">
        <w:rPr>
          <w:rFonts w:eastAsia="Times New Roman" w:cs="Calibri"/>
        </w:rPr>
        <w:t xml:space="preserve">Ko - koszty działalności operacyjnej, w tym: </w:t>
      </w:r>
    </w:p>
    <w:p w14:paraId="48E3C8BE" w14:textId="1A0E553D" w:rsidR="00380917" w:rsidRPr="00380917" w:rsidRDefault="00380917" w:rsidP="00380917">
      <w:pPr>
        <w:pStyle w:val="Akapitzlist"/>
        <w:numPr>
          <w:ilvl w:val="0"/>
          <w:numId w:val="2"/>
        </w:numPr>
        <w:spacing w:after="120" w:line="264" w:lineRule="auto"/>
        <w:ind w:left="1276" w:right="-567" w:hanging="425"/>
        <w:jc w:val="both"/>
        <w:rPr>
          <w:rFonts w:eastAsia="Times New Roman" w:cs="Calibri"/>
        </w:rPr>
      </w:pPr>
      <w:r w:rsidRPr="00380917">
        <w:rPr>
          <w:rFonts w:eastAsia="Times New Roman" w:cs="Calibri"/>
        </w:rPr>
        <w:t>koszty amortyzacji pojazdów i ich wyposażenia,</w:t>
      </w:r>
    </w:p>
    <w:p w14:paraId="659909D9" w14:textId="6C2BCE5B" w:rsidR="00380917" w:rsidRPr="00380917" w:rsidRDefault="00380917" w:rsidP="00380917">
      <w:pPr>
        <w:pStyle w:val="Akapitzlist"/>
        <w:numPr>
          <w:ilvl w:val="0"/>
          <w:numId w:val="2"/>
        </w:numPr>
        <w:spacing w:after="120" w:line="264" w:lineRule="auto"/>
        <w:ind w:left="1276" w:right="-567" w:hanging="425"/>
        <w:jc w:val="both"/>
        <w:rPr>
          <w:rFonts w:eastAsia="Times New Roman" w:cs="Calibri"/>
        </w:rPr>
      </w:pPr>
      <w:r w:rsidRPr="00380917">
        <w:rPr>
          <w:rFonts w:eastAsia="Times New Roman" w:cs="Calibri"/>
        </w:rPr>
        <w:t>koszty amortyzacji budynków i ich wyposażenia,</w:t>
      </w:r>
    </w:p>
    <w:p w14:paraId="3B1BA818" w14:textId="6118BCC9" w:rsidR="00380917" w:rsidRPr="00380917" w:rsidRDefault="00380917" w:rsidP="00380917">
      <w:pPr>
        <w:pStyle w:val="Akapitzlist"/>
        <w:numPr>
          <w:ilvl w:val="0"/>
          <w:numId w:val="2"/>
        </w:numPr>
        <w:spacing w:after="120" w:line="264" w:lineRule="auto"/>
        <w:ind w:left="1276" w:right="-567" w:hanging="425"/>
        <w:jc w:val="both"/>
        <w:rPr>
          <w:rFonts w:cs="Calibri"/>
        </w:rPr>
      </w:pPr>
      <w:r w:rsidRPr="00380917">
        <w:rPr>
          <w:rFonts w:eastAsia="Times New Roman" w:cs="Calibri"/>
        </w:rPr>
        <w:t>koszty wynagrodzeń,</w:t>
      </w:r>
    </w:p>
    <w:p w14:paraId="2F0C6787" w14:textId="7CABF184" w:rsidR="00380917" w:rsidRPr="00380917" w:rsidRDefault="00380917" w:rsidP="00380917">
      <w:pPr>
        <w:pStyle w:val="Akapitzlist"/>
        <w:numPr>
          <w:ilvl w:val="0"/>
          <w:numId w:val="2"/>
        </w:numPr>
        <w:spacing w:after="120" w:line="264" w:lineRule="auto"/>
        <w:ind w:left="1276" w:right="-567" w:hanging="425"/>
        <w:jc w:val="both"/>
        <w:rPr>
          <w:rFonts w:eastAsia="Times New Roman" w:cs="Calibri"/>
        </w:rPr>
      </w:pPr>
      <w:r w:rsidRPr="00380917">
        <w:rPr>
          <w:rFonts w:eastAsia="Times New Roman" w:cs="Calibri"/>
        </w:rPr>
        <w:t>koszty ubezpieczeń społecznych i innych świadczeń na rzecz pracowników,</w:t>
      </w:r>
    </w:p>
    <w:p w14:paraId="09EC7279" w14:textId="36CD4D31" w:rsidR="00380917" w:rsidRPr="00380917" w:rsidRDefault="00380917" w:rsidP="00380917">
      <w:pPr>
        <w:pStyle w:val="Akapitzlist"/>
        <w:numPr>
          <w:ilvl w:val="0"/>
          <w:numId w:val="2"/>
        </w:numPr>
        <w:spacing w:after="120" w:line="264" w:lineRule="auto"/>
        <w:ind w:left="1276" w:right="-567" w:hanging="425"/>
        <w:jc w:val="both"/>
        <w:rPr>
          <w:rFonts w:eastAsia="Times New Roman" w:cs="Calibri"/>
        </w:rPr>
      </w:pPr>
      <w:r w:rsidRPr="00380917">
        <w:rPr>
          <w:rFonts w:eastAsia="Times New Roman" w:cs="Calibri"/>
        </w:rPr>
        <w:t>koszty zużycia energii (elektrycznej, paliwa, innej),</w:t>
      </w:r>
    </w:p>
    <w:p w14:paraId="4EF049EC" w14:textId="4D617AD5" w:rsidR="00380917" w:rsidRPr="00380917" w:rsidRDefault="00380917" w:rsidP="00380917">
      <w:pPr>
        <w:pStyle w:val="Akapitzlist"/>
        <w:numPr>
          <w:ilvl w:val="0"/>
          <w:numId w:val="2"/>
        </w:numPr>
        <w:spacing w:after="120" w:line="264" w:lineRule="auto"/>
        <w:ind w:left="1276" w:right="-567" w:hanging="425"/>
        <w:jc w:val="both"/>
        <w:rPr>
          <w:rFonts w:eastAsia="Times New Roman" w:cs="Calibri"/>
        </w:rPr>
      </w:pPr>
      <w:r w:rsidRPr="00380917">
        <w:rPr>
          <w:rFonts w:eastAsia="Times New Roman" w:cs="Calibri"/>
        </w:rPr>
        <w:t>koszty zużycia materiałów (technicznych, administracyjnych, gospodarczych),</w:t>
      </w:r>
    </w:p>
    <w:p w14:paraId="7350C4E3" w14:textId="53931283" w:rsidR="00380917" w:rsidRPr="00380917" w:rsidRDefault="00380917" w:rsidP="00380917">
      <w:pPr>
        <w:pStyle w:val="Akapitzlist"/>
        <w:numPr>
          <w:ilvl w:val="0"/>
          <w:numId w:val="2"/>
        </w:numPr>
        <w:spacing w:after="120" w:line="264" w:lineRule="auto"/>
        <w:ind w:left="1276" w:right="-567" w:hanging="425"/>
        <w:jc w:val="both"/>
        <w:rPr>
          <w:rFonts w:cs="Calibri"/>
        </w:rPr>
      </w:pPr>
      <w:r w:rsidRPr="00380917">
        <w:rPr>
          <w:rFonts w:eastAsia="Times New Roman" w:cs="Calibri"/>
        </w:rPr>
        <w:t>koszty dostępu do infrastruktury (koszty opłat za korzystanie z przystanków i dworców, koszty publikacji rozkładów jazdy),</w:t>
      </w:r>
    </w:p>
    <w:p w14:paraId="7C9E36B7" w14:textId="3DBB7500" w:rsidR="00380917" w:rsidRPr="00380917" w:rsidRDefault="00380917" w:rsidP="00380917">
      <w:pPr>
        <w:pStyle w:val="Akapitzlist"/>
        <w:numPr>
          <w:ilvl w:val="0"/>
          <w:numId w:val="2"/>
        </w:numPr>
        <w:spacing w:after="120" w:line="264" w:lineRule="auto"/>
        <w:ind w:left="1276" w:right="-567" w:hanging="425"/>
        <w:jc w:val="both"/>
        <w:rPr>
          <w:rFonts w:cs="Calibri"/>
        </w:rPr>
      </w:pPr>
      <w:r w:rsidRPr="00380917">
        <w:rPr>
          <w:rFonts w:eastAsia="Times New Roman" w:cs="Calibri"/>
        </w:rPr>
        <w:t>koszty usług obcych,</w:t>
      </w:r>
    </w:p>
    <w:p w14:paraId="7BCFAEF0" w14:textId="018005D3" w:rsidR="00380917" w:rsidRPr="00380917" w:rsidRDefault="00380917" w:rsidP="00A07D9C">
      <w:pPr>
        <w:pStyle w:val="Akapitzlist"/>
        <w:numPr>
          <w:ilvl w:val="0"/>
          <w:numId w:val="2"/>
        </w:numPr>
        <w:spacing w:after="120" w:line="264" w:lineRule="auto"/>
        <w:ind w:left="1276" w:right="-567" w:hanging="425"/>
        <w:jc w:val="both"/>
        <w:rPr>
          <w:rFonts w:eastAsia="Times New Roman" w:cs="Calibri"/>
        </w:rPr>
      </w:pPr>
      <w:r w:rsidRPr="00380917">
        <w:rPr>
          <w:rFonts w:eastAsia="Times New Roman" w:cs="Calibri"/>
        </w:rPr>
        <w:t>podatki i opłaty (np. opłaty urzędowe, administracyjne, skarbowe, podatek od nieruchomości, podatek od środków transportu, podatek VAT zaliczony w koszty),</w:t>
      </w:r>
    </w:p>
    <w:p w14:paraId="69773927" w14:textId="3D7A1CE0" w:rsidR="00380917" w:rsidRPr="00380917" w:rsidRDefault="00380917" w:rsidP="00A07D9C">
      <w:pPr>
        <w:pStyle w:val="Akapitzlist"/>
        <w:numPr>
          <w:ilvl w:val="0"/>
          <w:numId w:val="2"/>
        </w:numPr>
        <w:spacing w:after="120" w:line="264" w:lineRule="auto"/>
        <w:ind w:left="1276" w:right="-567" w:hanging="425"/>
        <w:contextualSpacing w:val="0"/>
        <w:jc w:val="both"/>
        <w:rPr>
          <w:rFonts w:eastAsia="Times New Roman" w:cs="Calibri"/>
        </w:rPr>
      </w:pPr>
      <w:r w:rsidRPr="00380917">
        <w:rPr>
          <w:rFonts w:eastAsia="Times New Roman" w:cs="Calibri"/>
        </w:rPr>
        <w:lastRenderedPageBreak/>
        <w:t>koszty ubezpieczeń rzeczowych i majątkowych (np. obowiązkowe ubezpieczenia OC pojazdów, ubezpieczenie OC prowadzonej działalności)</w:t>
      </w:r>
      <w:r>
        <w:rPr>
          <w:rFonts w:eastAsia="Times New Roman" w:cs="Calibri"/>
        </w:rPr>
        <w:t>,</w:t>
      </w:r>
    </w:p>
    <w:p w14:paraId="2F9240D8" w14:textId="77777777" w:rsidR="00380917" w:rsidRPr="004352A2" w:rsidRDefault="00380917" w:rsidP="00A07D9C">
      <w:pPr>
        <w:spacing w:after="120" w:line="264" w:lineRule="auto"/>
        <w:ind w:left="284" w:right="-567"/>
        <w:jc w:val="both"/>
        <w:rPr>
          <w:rFonts w:cs="Calibri"/>
        </w:rPr>
      </w:pPr>
      <w:proofErr w:type="spellStart"/>
      <w:r w:rsidRPr="004352A2">
        <w:rPr>
          <w:rFonts w:eastAsia="Times New Roman" w:cs="Calibri"/>
        </w:rPr>
        <w:t>PKo</w:t>
      </w:r>
      <w:proofErr w:type="spellEnd"/>
      <w:r w:rsidRPr="004352A2">
        <w:rPr>
          <w:rFonts w:eastAsia="Times New Roman" w:cs="Calibri"/>
        </w:rPr>
        <w:t xml:space="preserve"> - pozostałe koszty operacyjne</w:t>
      </w:r>
      <w:r>
        <w:rPr>
          <w:rFonts w:eastAsia="Times New Roman" w:cs="Calibri"/>
        </w:rPr>
        <w:t>,</w:t>
      </w:r>
    </w:p>
    <w:p w14:paraId="18CE698D" w14:textId="77777777" w:rsidR="00380917" w:rsidRPr="004352A2" w:rsidRDefault="00380917" w:rsidP="00A07D9C">
      <w:pPr>
        <w:spacing w:after="120" w:line="264" w:lineRule="auto"/>
        <w:ind w:left="283" w:right="-567" w:hanging="11"/>
        <w:rPr>
          <w:rFonts w:cs="Calibri"/>
        </w:rPr>
      </w:pPr>
      <w:r w:rsidRPr="004352A2">
        <w:rPr>
          <w:rFonts w:eastAsia="Times New Roman" w:cs="Calibri"/>
        </w:rPr>
        <w:t>Po - przychody operacyjne i zrównane z nimi, w tym:</w:t>
      </w:r>
    </w:p>
    <w:p w14:paraId="41B3F9D9" w14:textId="26B5A363" w:rsidR="00380917" w:rsidRPr="00A07D9C" w:rsidRDefault="00380917" w:rsidP="00A07D9C">
      <w:pPr>
        <w:pStyle w:val="Akapitzlist"/>
        <w:numPr>
          <w:ilvl w:val="0"/>
          <w:numId w:val="3"/>
        </w:numPr>
        <w:spacing w:after="120" w:line="264" w:lineRule="auto"/>
        <w:ind w:left="1281" w:right="-567" w:hanging="430"/>
        <w:rPr>
          <w:rFonts w:eastAsia="Times New Roman" w:cs="Calibri"/>
        </w:rPr>
      </w:pPr>
      <w:r w:rsidRPr="00A07D9C">
        <w:rPr>
          <w:rFonts w:eastAsia="Times New Roman" w:cs="Calibri"/>
        </w:rPr>
        <w:t>przychody ze sprzedaży biletów,</w:t>
      </w:r>
    </w:p>
    <w:p w14:paraId="3084D971" w14:textId="280A46B6" w:rsidR="00380917" w:rsidRPr="00A07D9C" w:rsidRDefault="00380917" w:rsidP="00A07D9C">
      <w:pPr>
        <w:pStyle w:val="Akapitzlist"/>
        <w:numPr>
          <w:ilvl w:val="0"/>
          <w:numId w:val="3"/>
        </w:numPr>
        <w:spacing w:after="120" w:line="264" w:lineRule="auto"/>
        <w:ind w:left="1281" w:right="-567" w:hanging="430"/>
        <w:contextualSpacing w:val="0"/>
        <w:rPr>
          <w:rFonts w:eastAsia="Times New Roman" w:cs="Calibri"/>
        </w:rPr>
      </w:pPr>
      <w:r w:rsidRPr="00A07D9C">
        <w:rPr>
          <w:rFonts w:eastAsia="Times New Roman" w:cs="Calibri"/>
        </w:rPr>
        <w:t>przychody z pozostałej działalności,</w:t>
      </w:r>
    </w:p>
    <w:p w14:paraId="73969532" w14:textId="77777777" w:rsidR="00380917" w:rsidRPr="004352A2" w:rsidRDefault="00380917" w:rsidP="00A07D9C">
      <w:pPr>
        <w:spacing w:after="120" w:line="264" w:lineRule="auto"/>
        <w:ind w:left="284" w:right="-567"/>
        <w:jc w:val="both"/>
        <w:rPr>
          <w:rFonts w:eastAsia="Times New Roman" w:cs="Calibri"/>
        </w:rPr>
      </w:pPr>
      <w:proofErr w:type="spellStart"/>
      <w:r w:rsidRPr="004352A2">
        <w:rPr>
          <w:rFonts w:eastAsia="Times New Roman" w:cs="Calibri"/>
        </w:rPr>
        <w:t>PPo</w:t>
      </w:r>
      <w:proofErr w:type="spellEnd"/>
      <w:r w:rsidRPr="004352A2">
        <w:rPr>
          <w:rFonts w:eastAsia="Times New Roman" w:cs="Calibri"/>
        </w:rPr>
        <w:t xml:space="preserve"> - pozostałe przychody operacyjne:</w:t>
      </w:r>
    </w:p>
    <w:p w14:paraId="72E69480" w14:textId="55834BF4" w:rsidR="00380917" w:rsidRPr="00A07D9C" w:rsidRDefault="00380917" w:rsidP="00A07D9C">
      <w:pPr>
        <w:pStyle w:val="Akapitzlist"/>
        <w:numPr>
          <w:ilvl w:val="0"/>
          <w:numId w:val="4"/>
        </w:numPr>
        <w:spacing w:after="120" w:line="264" w:lineRule="auto"/>
        <w:ind w:left="1281" w:right="-567" w:hanging="430"/>
        <w:jc w:val="both"/>
        <w:rPr>
          <w:rFonts w:eastAsia="Times New Roman" w:cs="Calibri"/>
        </w:rPr>
      </w:pPr>
      <w:r w:rsidRPr="00A07D9C">
        <w:rPr>
          <w:rFonts w:eastAsia="Times New Roman" w:cs="Calibri"/>
        </w:rPr>
        <w:t>przychody z tytułu otrzymanych odszkodowań z polis autocasco,</w:t>
      </w:r>
    </w:p>
    <w:p w14:paraId="12DBDDBA" w14:textId="30C3D956" w:rsidR="00380917" w:rsidRPr="00A07D9C" w:rsidRDefault="00380917" w:rsidP="00A07D9C">
      <w:pPr>
        <w:pStyle w:val="Akapitzlist"/>
        <w:numPr>
          <w:ilvl w:val="0"/>
          <w:numId w:val="4"/>
        </w:numPr>
        <w:spacing w:after="120" w:line="264" w:lineRule="auto"/>
        <w:ind w:left="1282" w:right="-567" w:hanging="431"/>
        <w:contextualSpacing w:val="0"/>
        <w:jc w:val="both"/>
        <w:rPr>
          <w:rFonts w:cs="Calibri"/>
        </w:rPr>
      </w:pPr>
      <w:r w:rsidRPr="00A07D9C">
        <w:rPr>
          <w:rFonts w:eastAsia="Times New Roman" w:cs="Calibri"/>
        </w:rPr>
        <w:t>inne przychody,</w:t>
      </w:r>
    </w:p>
    <w:p w14:paraId="17D5D95A" w14:textId="77777777" w:rsidR="00380917" w:rsidRPr="004352A2" w:rsidRDefault="00380917" w:rsidP="00A07D9C">
      <w:pPr>
        <w:spacing w:after="115" w:line="255" w:lineRule="auto"/>
        <w:ind w:left="709" w:right="-567" w:hanging="425"/>
        <w:jc w:val="both"/>
        <w:rPr>
          <w:rFonts w:cs="Calibri"/>
        </w:rPr>
      </w:pPr>
      <w:r w:rsidRPr="004352A2">
        <w:rPr>
          <w:rFonts w:eastAsia="Times New Roman" w:cs="Calibri"/>
        </w:rPr>
        <w:t>U - wysokość straty (wartość bezwzględna) z tytułu utraconych przychodów w związku ze stosowaniem ustawowych lub komunalnych uprawnień do ulgowych przejazdów w publicznym transporcie zbiorowym</w:t>
      </w:r>
      <w:r>
        <w:rPr>
          <w:rFonts w:eastAsia="Times New Roman" w:cs="Calibri"/>
        </w:rPr>
        <w:t>,</w:t>
      </w:r>
    </w:p>
    <w:p w14:paraId="02000EB1" w14:textId="37A25433" w:rsidR="00380917" w:rsidRPr="004352A2" w:rsidRDefault="00380917" w:rsidP="00A07D9C">
      <w:pPr>
        <w:spacing w:after="117" w:line="255" w:lineRule="auto"/>
        <w:ind w:left="284" w:right="-567"/>
        <w:jc w:val="both"/>
        <w:rPr>
          <w:rFonts w:cs="Calibri"/>
        </w:rPr>
      </w:pPr>
      <w:r w:rsidRPr="004352A2">
        <w:rPr>
          <w:rFonts w:eastAsia="Times New Roman" w:cs="Calibri"/>
        </w:rPr>
        <w:t xml:space="preserve">RZ </w:t>
      </w:r>
      <w:r>
        <w:rPr>
          <w:rFonts w:eastAsia="Times New Roman" w:cs="Calibri"/>
        </w:rPr>
        <w:t>–</w:t>
      </w:r>
      <w:r w:rsidRPr="004352A2">
        <w:rPr>
          <w:rFonts w:eastAsia="Times New Roman" w:cs="Calibri"/>
        </w:rPr>
        <w:t xml:space="preserve"> </w:t>
      </w:r>
      <w:r>
        <w:rPr>
          <w:rFonts w:eastAsia="Times New Roman" w:cs="Calibri"/>
        </w:rPr>
        <w:t xml:space="preserve">poziom </w:t>
      </w:r>
      <w:r w:rsidRPr="004352A2">
        <w:rPr>
          <w:rFonts w:eastAsia="Times New Roman" w:cs="Calibri"/>
        </w:rPr>
        <w:t>„rozsądn</w:t>
      </w:r>
      <w:r>
        <w:rPr>
          <w:rFonts w:eastAsia="Times New Roman" w:cs="Calibri"/>
        </w:rPr>
        <w:t>ego</w:t>
      </w:r>
      <w:r w:rsidRPr="004352A2">
        <w:rPr>
          <w:rFonts w:eastAsia="Times New Roman" w:cs="Calibri"/>
        </w:rPr>
        <w:t xml:space="preserve"> zysk</w:t>
      </w:r>
      <w:r>
        <w:rPr>
          <w:rFonts w:eastAsia="Times New Roman" w:cs="Calibri"/>
        </w:rPr>
        <w:t>u</w:t>
      </w:r>
      <w:r w:rsidRPr="004352A2">
        <w:rPr>
          <w:rFonts w:eastAsia="Times New Roman" w:cs="Calibri"/>
        </w:rPr>
        <w:t>”</w:t>
      </w:r>
      <w:r w:rsidR="00606D7A">
        <w:rPr>
          <w:rFonts w:eastAsia="Times New Roman" w:cs="Calibri"/>
        </w:rPr>
        <w:t xml:space="preserve">; maksymalny poziom </w:t>
      </w:r>
      <w:r w:rsidR="00606D7A" w:rsidRPr="004352A2">
        <w:rPr>
          <w:rFonts w:eastAsia="Times New Roman" w:cs="Calibri"/>
        </w:rPr>
        <w:t>„rozsądn</w:t>
      </w:r>
      <w:r w:rsidR="00606D7A">
        <w:rPr>
          <w:rFonts w:eastAsia="Times New Roman" w:cs="Calibri"/>
        </w:rPr>
        <w:t>ego</w:t>
      </w:r>
      <w:r w:rsidR="00606D7A" w:rsidRPr="004352A2">
        <w:rPr>
          <w:rFonts w:eastAsia="Times New Roman" w:cs="Calibri"/>
        </w:rPr>
        <w:t xml:space="preserve"> zysk</w:t>
      </w:r>
      <w:r w:rsidR="00606D7A">
        <w:rPr>
          <w:rFonts w:eastAsia="Times New Roman" w:cs="Calibri"/>
        </w:rPr>
        <w:t>u”</w:t>
      </w:r>
      <w:r w:rsidR="004068B0">
        <w:rPr>
          <w:rFonts w:eastAsia="Times New Roman" w:cs="Calibri"/>
        </w:rPr>
        <w:t xml:space="preserve"> wynosi 0,02,</w:t>
      </w:r>
    </w:p>
    <w:p w14:paraId="57404A3B" w14:textId="39A70731" w:rsidR="00380917" w:rsidRDefault="00380917" w:rsidP="00A33D2A">
      <w:pPr>
        <w:spacing w:after="120" w:line="264" w:lineRule="auto"/>
        <w:ind w:left="284" w:right="-567"/>
        <w:jc w:val="both"/>
        <w:rPr>
          <w:rFonts w:eastAsia="Times New Roman" w:cs="Calibri"/>
        </w:rPr>
      </w:pPr>
      <w:proofErr w:type="spellStart"/>
      <w:r w:rsidRPr="004352A2">
        <w:rPr>
          <w:rFonts w:eastAsia="Times New Roman" w:cs="Calibri"/>
        </w:rPr>
        <w:t>Wi</w:t>
      </w:r>
      <w:proofErr w:type="spellEnd"/>
      <w:r w:rsidRPr="004352A2">
        <w:rPr>
          <w:rFonts w:eastAsia="Times New Roman" w:cs="Calibri"/>
        </w:rPr>
        <w:t xml:space="preserve"> – liczba wozokilometrów zrealizowanych w miesiącu rozliczeniowym.</w:t>
      </w:r>
    </w:p>
    <w:p w14:paraId="6A6AE2A4" w14:textId="231E9574" w:rsidR="003C73E6" w:rsidRPr="003C73E6" w:rsidRDefault="003A6EB1" w:rsidP="003C73E6">
      <w:pPr>
        <w:numPr>
          <w:ilvl w:val="0"/>
          <w:numId w:val="1"/>
        </w:numPr>
        <w:spacing w:after="115" w:line="254" w:lineRule="auto"/>
        <w:ind w:left="425" w:right="-567" w:hanging="425"/>
        <w:jc w:val="both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W przypadku, gdy </w:t>
      </w:r>
      <w:r w:rsidR="008A7E2C">
        <w:rPr>
          <w:rFonts w:asciiTheme="minorHAnsi" w:eastAsia="Times New Roman" w:hAnsiTheme="minorHAnsi" w:cstheme="minorHAnsi"/>
        </w:rPr>
        <w:t xml:space="preserve">obliczona </w:t>
      </w:r>
      <w:r w:rsidR="002D7832">
        <w:rPr>
          <w:rFonts w:asciiTheme="minorHAnsi" w:eastAsia="Times New Roman" w:hAnsiTheme="minorHAnsi" w:cstheme="minorHAnsi"/>
        </w:rPr>
        <w:t xml:space="preserve">zgodnie z pkt. 6 rekompensata </w:t>
      </w:r>
      <w:r w:rsidR="00656368">
        <w:rPr>
          <w:rFonts w:asciiTheme="minorHAnsi" w:eastAsia="Times New Roman" w:hAnsiTheme="minorHAnsi" w:cstheme="minorHAnsi"/>
        </w:rPr>
        <w:t xml:space="preserve">kosztowa </w:t>
      </w:r>
      <w:r w:rsidRPr="00670132">
        <w:rPr>
          <w:rFonts w:cs="Calibri"/>
          <w:b/>
          <w:bCs/>
        </w:rPr>
        <w:t>RK</w:t>
      </w:r>
      <w:r w:rsidR="004C49D1">
        <w:rPr>
          <w:rFonts w:cs="Calibri"/>
          <w:b/>
          <w:bCs/>
        </w:rPr>
        <w:t xml:space="preserve"> </w:t>
      </w:r>
      <w:r w:rsidR="004C49D1" w:rsidRPr="004C49D1">
        <w:rPr>
          <w:rFonts w:cs="Calibri"/>
        </w:rPr>
        <w:t>jest</w:t>
      </w:r>
      <w:r w:rsidR="004C49D1">
        <w:rPr>
          <w:rFonts w:cs="Calibri"/>
          <w:b/>
          <w:bCs/>
        </w:rPr>
        <w:t xml:space="preserve"> </w:t>
      </w:r>
      <w:r w:rsidR="004C49D1" w:rsidRPr="004C49D1">
        <w:rPr>
          <w:rFonts w:cs="Calibri"/>
        </w:rPr>
        <w:t>ujemna</w:t>
      </w:r>
      <w:r w:rsidR="006B7866">
        <w:rPr>
          <w:rFonts w:cs="Calibri"/>
        </w:rPr>
        <w:t>, należy przyjąć jej wartość, jako równą 0 (zero).</w:t>
      </w:r>
    </w:p>
    <w:sectPr w:rsidR="003C73E6" w:rsidRPr="003C7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916550"/>
    <w:multiLevelType w:val="hybridMultilevel"/>
    <w:tmpl w:val="1338B54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26C50415"/>
    <w:multiLevelType w:val="hybridMultilevel"/>
    <w:tmpl w:val="F1D62886"/>
    <w:lvl w:ilvl="0" w:tplc="06A405E8">
      <w:start w:val="1"/>
      <w:numFmt w:val="decimal"/>
      <w:lvlText w:val="%1."/>
      <w:lvlJc w:val="left"/>
      <w:pPr>
        <w:ind w:left="36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34B8B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43EC72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4A2AC8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A0565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356C29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A2068B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ABADE9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3E47CA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F2B120E"/>
    <w:multiLevelType w:val="hybridMultilevel"/>
    <w:tmpl w:val="CE040A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E66091"/>
    <w:multiLevelType w:val="hybridMultilevel"/>
    <w:tmpl w:val="C862F35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132"/>
    <w:rsid w:val="000169AD"/>
    <w:rsid w:val="00061E08"/>
    <w:rsid w:val="00081929"/>
    <w:rsid w:val="000C33DA"/>
    <w:rsid w:val="00112500"/>
    <w:rsid w:val="001E130E"/>
    <w:rsid w:val="002D7832"/>
    <w:rsid w:val="002E75AE"/>
    <w:rsid w:val="00313A2D"/>
    <w:rsid w:val="00373592"/>
    <w:rsid w:val="00380917"/>
    <w:rsid w:val="003A1C9E"/>
    <w:rsid w:val="003A40B9"/>
    <w:rsid w:val="003A6EB1"/>
    <w:rsid w:val="003C73E6"/>
    <w:rsid w:val="003F2B94"/>
    <w:rsid w:val="00400245"/>
    <w:rsid w:val="004068B0"/>
    <w:rsid w:val="004179FB"/>
    <w:rsid w:val="004C49D1"/>
    <w:rsid w:val="005551B1"/>
    <w:rsid w:val="005D38E9"/>
    <w:rsid w:val="00606D7A"/>
    <w:rsid w:val="00655E50"/>
    <w:rsid w:val="00656368"/>
    <w:rsid w:val="00670132"/>
    <w:rsid w:val="006A23A9"/>
    <w:rsid w:val="006A4308"/>
    <w:rsid w:val="006B3B33"/>
    <w:rsid w:val="006B7866"/>
    <w:rsid w:val="007414DF"/>
    <w:rsid w:val="00753AEE"/>
    <w:rsid w:val="007C090E"/>
    <w:rsid w:val="007D3854"/>
    <w:rsid w:val="0080598F"/>
    <w:rsid w:val="008A7E2C"/>
    <w:rsid w:val="008B21C8"/>
    <w:rsid w:val="008C0B87"/>
    <w:rsid w:val="00913098"/>
    <w:rsid w:val="0092292D"/>
    <w:rsid w:val="00957B3A"/>
    <w:rsid w:val="00A07D9C"/>
    <w:rsid w:val="00A1138D"/>
    <w:rsid w:val="00A33D2A"/>
    <w:rsid w:val="00A42BE1"/>
    <w:rsid w:val="00A53235"/>
    <w:rsid w:val="00AF33E1"/>
    <w:rsid w:val="00B37841"/>
    <w:rsid w:val="00B4363E"/>
    <w:rsid w:val="00C7443A"/>
    <w:rsid w:val="00C90835"/>
    <w:rsid w:val="00D30B8D"/>
    <w:rsid w:val="00D50DDA"/>
    <w:rsid w:val="00E65CF0"/>
    <w:rsid w:val="00EE3457"/>
    <w:rsid w:val="00F759E9"/>
    <w:rsid w:val="00FB4102"/>
    <w:rsid w:val="00FD2BAC"/>
    <w:rsid w:val="00FF2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6C585"/>
  <w15:chartTrackingRefBased/>
  <w15:docId w15:val="{9A2CAD0A-F2CB-46B1-805D-E0C5939C5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0132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670132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670132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29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29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292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29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292D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15C7D178CDB05448B75EF91566D0400" ma:contentTypeVersion="10" ma:contentTypeDescription="Utwórz nowy dokument." ma:contentTypeScope="" ma:versionID="3e9c0f7c0c4c7f3c0d3823965eb39dce">
  <xsd:schema xmlns:xsd="http://www.w3.org/2001/XMLSchema" xmlns:xs="http://www.w3.org/2001/XMLSchema" xmlns:p="http://schemas.microsoft.com/office/2006/metadata/properties" xmlns:ns2="f07ccd1e-455a-42f2-a254-6474d44ea213" targetNamespace="http://schemas.microsoft.com/office/2006/metadata/properties" ma:root="true" ma:fieldsID="453c2be0b4758f6293f5af566f3adc8b" ns2:_="">
    <xsd:import namespace="f07ccd1e-455a-42f2-a254-6474d44ea2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ccd1e-455a-42f2-a254-6474d44ea2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453E462-9176-47AE-8D85-4AA3AED81F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7ccd1e-455a-42f2-a254-6474d44ea2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35CA798-F6DD-4866-A180-47F6D6AC980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83A9EE-3ECB-4A18-93F5-DF8086B490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498</Words>
  <Characters>2990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TRAKO PROJEKTY TRANSPORTOWE www.trako.com.pl</dc:creator>
  <cp:keywords/>
  <dc:description/>
  <cp:lastModifiedBy>Anna Jurek</cp:lastModifiedBy>
  <cp:revision>21</cp:revision>
  <cp:lastPrinted>2021-08-02T14:27:00Z</cp:lastPrinted>
  <dcterms:created xsi:type="dcterms:W3CDTF">2021-04-26T15:04:00Z</dcterms:created>
  <dcterms:modified xsi:type="dcterms:W3CDTF">2021-08-02T14:32:00Z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0x010100A15C7D178CDB05448B75EF91566D0400</vt:lpwstr>
  </property>
</Properties>
</file>