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Pr="001249E3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PB.2021.01.D</w:t>
      </w:r>
      <w:bookmarkStart w:id="0" w:name="_GoBack"/>
      <w:bookmarkEnd w:id="0"/>
      <w:r w:rsidRPr="001249E3">
        <w:rPr>
          <w:rFonts w:ascii="Tahoma" w:eastAsia="Calibri" w:hAnsi="Tahoma" w:cs="Tahoma"/>
          <w:b/>
          <w:bCs/>
          <w:iCs/>
          <w:sz w:val="18"/>
          <w:szCs w:val="18"/>
        </w:rPr>
        <w:t>EB</w:t>
      </w:r>
      <w:r w:rsidRPr="001249E3">
        <w:rPr>
          <w:rFonts w:ascii="Tahoma" w:hAnsi="Tahoma" w:cs="Tahoma"/>
          <w:sz w:val="18"/>
          <w:szCs w:val="18"/>
        </w:rPr>
        <w:t>)</w:t>
      </w:r>
    </w:p>
    <w:p w:rsidR="00F518E9" w:rsidRPr="00186CAA" w:rsidRDefault="00F518E9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D16DD6" w:rsidRDefault="00570C3C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>GMINY DĘBNO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>
        <w:rPr>
          <w:rFonts w:ascii="Tahoma" w:hAnsi="Tahoma" w:cs="Tahoma"/>
          <w:b/>
        </w:rPr>
        <w:t>01</w:t>
      </w:r>
      <w:r w:rsidR="00570C3C">
        <w:rPr>
          <w:rFonts w:ascii="Tahoma" w:hAnsi="Tahoma" w:cs="Tahoma"/>
          <w:b/>
        </w:rPr>
        <w:t>.07</w:t>
      </w:r>
      <w:r w:rsidR="00CC79D2">
        <w:rPr>
          <w:rFonts w:ascii="Tahoma" w:hAnsi="Tahoma" w:cs="Tahoma"/>
          <w:b/>
        </w:rPr>
        <w:t>.2021</w:t>
      </w:r>
      <w:r w:rsidRPr="009846DF">
        <w:rPr>
          <w:rFonts w:ascii="Tahoma" w:hAnsi="Tahoma" w:cs="Tahoma"/>
          <w:b/>
        </w:rPr>
        <w:t xml:space="preserve"> – </w:t>
      </w:r>
      <w:r w:rsidR="00570C3C">
        <w:rPr>
          <w:rFonts w:ascii="Tahoma" w:hAnsi="Tahoma" w:cs="Tahoma"/>
          <w:b/>
        </w:rPr>
        <w:t>30.06.2023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E70295" w:rsidRPr="00E70295">
        <w:rPr>
          <w:b/>
          <w:sz w:val="24"/>
        </w:rPr>
        <w:t xml:space="preserve"> </w:t>
      </w:r>
      <w:r w:rsidR="00E70295">
        <w:rPr>
          <w:b/>
          <w:sz w:val="24"/>
        </w:rPr>
        <w:t>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70710E" w:rsidRPr="00E70295">
        <w:rPr>
          <w:b/>
          <w:sz w:val="24"/>
        </w:rPr>
        <w:t xml:space="preserve"> </w:t>
      </w:r>
      <w:r w:rsidR="0070710E">
        <w:rPr>
          <w:b/>
          <w:sz w:val="24"/>
        </w:rPr>
        <w:t>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 xml:space="preserve">wszystkich </w:t>
      </w:r>
      <w:proofErr w:type="spellStart"/>
      <w:r w:rsidR="00BB1288">
        <w:rPr>
          <w:rFonts w:ascii="Tahoma" w:hAnsi="Tahoma" w:cs="Tahoma"/>
          <w:i/>
        </w:rPr>
        <w:t>ryzyk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:rsidTr="00C31106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:rsidTr="00C31106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Default="008B676E" w:rsidP="00F30F5A">
      <w:pPr>
        <w:rPr>
          <w:sz w:val="16"/>
          <w:szCs w:val="16"/>
        </w:rPr>
      </w:pPr>
    </w:p>
    <w:p w:rsidR="008B676E" w:rsidRPr="009C52B0" w:rsidRDefault="008B676E" w:rsidP="00F30F5A">
      <w:pPr>
        <w:rPr>
          <w:sz w:val="16"/>
          <w:szCs w:val="16"/>
        </w:rPr>
      </w:pPr>
    </w:p>
    <w:p w:rsidR="008540C9" w:rsidRDefault="008540C9" w:rsidP="008540C9">
      <w:pPr>
        <w:rPr>
          <w:sz w:val="16"/>
          <w:szCs w:val="16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</w:t>
            </w:r>
            <w:proofErr w:type="spellStart"/>
            <w:r w:rsidRPr="00F3245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F32456">
              <w:rPr>
                <w:rFonts w:ascii="Tahoma" w:hAnsi="Tahoma" w:cs="Tahoma"/>
                <w:sz w:val="18"/>
                <w:szCs w:val="18"/>
              </w:rPr>
              <w:t xml:space="preserve">, ubezpieczenia sprzętu elektronicznego oraz ubezpieczenia odpowiedzialności cywilnej);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="00720BE7"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D0B1D" w:rsidRDefault="00CD0B1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D0B1D" w:rsidRPr="00F32456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6E1C53">
              <w:rPr>
                <w:rFonts w:ascii="Tahoma" w:hAnsi="Tahoma" w:cs="Tahoma"/>
                <w:sz w:val="18"/>
                <w:szCs w:val="18"/>
              </w:rPr>
              <w:t>4.8.2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CD0B1D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CD0B1D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zwiększenie limitów odpowiedzialności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711F7" w:rsidRDefault="00752F6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711F7" w:rsidRPr="00F02892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324F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="004C7B70"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="004C7B70"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4C7B70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620D0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620D0" w:rsidRPr="00F02892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4.8.5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FF2E84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2410A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.1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11B71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.2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>Klauzula pomocy przy zagospodarowaniu pozostałości po szkodzie całkowitej, dot.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B91385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.3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EC06C0" w:rsidRDefault="00EC06C0" w:rsidP="00EC06C0">
      <w:pPr>
        <w:rPr>
          <w:rFonts w:ascii="Tahoma" w:hAnsi="Tahoma" w:cs="Tahoma"/>
          <w:sz w:val="14"/>
          <w:szCs w:val="14"/>
        </w:rPr>
      </w:pPr>
    </w:p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1C2959">
        <w:rPr>
          <w:rFonts w:ascii="Tahoma" w:hAnsi="Tahoma" w:cs="Tahoma"/>
          <w:sz w:val="18"/>
          <w:szCs w:val="18"/>
        </w:rPr>
        <w:t xml:space="preserve">2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>
        <w:rPr>
          <w:rFonts w:ascii="Tahoma" w:hAnsi="Tahoma" w:cs="Tahoma"/>
          <w:sz w:val="18"/>
          <w:szCs w:val="18"/>
        </w:rPr>
        <w:t xml:space="preserve"> 3</w:t>
      </w:r>
      <w:r w:rsidR="001C295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>
        <w:rPr>
          <w:rFonts w:ascii="Tahoma" w:hAnsi="Tahoma" w:cs="Tahoma"/>
          <w:sz w:val="18"/>
          <w:szCs w:val="18"/>
        </w:rPr>
        <w:t xml:space="preserve">(0) brak akceptacji ryzyka lub (1,2) </w:t>
      </w:r>
      <w:r>
        <w:rPr>
          <w:rFonts w:ascii="Tahoma" w:hAnsi="Tahoma" w:cs="Tahoma"/>
          <w:sz w:val="18"/>
          <w:szCs w:val="18"/>
        </w:rPr>
        <w:t>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B418FC">
        <w:rPr>
          <w:rFonts w:ascii="Tahoma" w:hAnsi="Tahoma" w:cs="Tahoma"/>
          <w:sz w:val="18"/>
          <w:szCs w:val="18"/>
        </w:rPr>
        <w:t>5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(1, 2</w:t>
      </w:r>
      <w:r w:rsidR="00315C08">
        <w:rPr>
          <w:rFonts w:ascii="Tahoma" w:hAnsi="Tahoma" w:cs="Tahoma"/>
          <w:sz w:val="18"/>
          <w:szCs w:val="18"/>
        </w:rPr>
        <w:t xml:space="preserve"> lub 3</w:t>
      </w:r>
      <w:r>
        <w:rPr>
          <w:rFonts w:ascii="Tahoma" w:hAnsi="Tahoma" w:cs="Tahoma"/>
          <w:sz w:val="18"/>
          <w:szCs w:val="18"/>
        </w:rPr>
        <w:t>) oznaczającej 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7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F2123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 lub 2) oznaczającej wybrany przez Wykona</w:t>
      </w:r>
      <w:r w:rsidR="007634B2">
        <w:rPr>
          <w:rFonts w:ascii="Tahoma" w:hAnsi="Tahoma" w:cs="Tahoma"/>
          <w:sz w:val="18"/>
          <w:szCs w:val="18"/>
        </w:rPr>
        <w:t xml:space="preserve">wcę poziom </w:t>
      </w:r>
      <w:r>
        <w:rPr>
          <w:rFonts w:ascii="Tahoma" w:hAnsi="Tahoma" w:cs="Tahoma"/>
          <w:sz w:val="18"/>
          <w:szCs w:val="18"/>
        </w:rPr>
        <w:t>ochrony;</w:t>
      </w:r>
    </w:p>
    <w:p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9A49E1" w:rsidRDefault="009A49E1" w:rsidP="00EC06C0">
      <w:pPr>
        <w:rPr>
          <w:rFonts w:ascii="Tahoma" w:hAnsi="Tahoma" w:cs="Tahoma"/>
          <w:sz w:val="16"/>
          <w:szCs w:val="16"/>
        </w:rPr>
      </w:pP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>
        <w:rPr>
          <w:rFonts w:ascii="Tahoma" w:hAnsi="Tahoma" w:cs="Tahoma"/>
          <w:sz w:val="18"/>
          <w:szCs w:val="18"/>
        </w:rPr>
        <w:t>późn</w:t>
      </w:r>
      <w:proofErr w:type="spellEnd"/>
      <w:r w:rsidR="001B040C">
        <w:rPr>
          <w:rFonts w:ascii="Tahoma" w:hAnsi="Tahoma" w:cs="Tahoma"/>
          <w:sz w:val="18"/>
          <w:szCs w:val="18"/>
        </w:rPr>
        <w:t>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BD0006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BD000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382DAF" w:rsidRDefault="00382DAF" w:rsidP="00382DAF"/>
    <w:p w:rsidR="001E2107" w:rsidRDefault="001E2107" w:rsidP="00382DAF"/>
    <w:p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3E" w:rsidRDefault="00B56A3E">
      <w:r>
        <w:separator/>
      </w:r>
    </w:p>
  </w:endnote>
  <w:endnote w:type="continuationSeparator" w:id="0">
    <w:p w:rsidR="00B56A3E" w:rsidRDefault="00B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1249E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1249E3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3E" w:rsidRDefault="00B56A3E">
      <w:r>
        <w:separator/>
      </w:r>
    </w:p>
  </w:footnote>
  <w:footnote w:type="continuationSeparator" w:id="0">
    <w:p w:rsidR="00B56A3E" w:rsidRDefault="00B56A3E">
      <w:r>
        <w:continuationSeparator/>
      </w:r>
    </w:p>
  </w:footnote>
  <w:footnote w:id="1">
    <w:p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6376-8743-430B-AA89-CFFD4987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1978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183</cp:revision>
  <cp:lastPrinted>2012-12-10T11:59:00Z</cp:lastPrinted>
  <dcterms:created xsi:type="dcterms:W3CDTF">2018-06-01T12:59:00Z</dcterms:created>
  <dcterms:modified xsi:type="dcterms:W3CDTF">2021-06-10T13:19:00Z</dcterms:modified>
</cp:coreProperties>
</file>