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49C74" w14:textId="77777777" w:rsidR="00553B71" w:rsidRPr="00CF7881" w:rsidRDefault="00553B71" w:rsidP="00881AC0">
      <w:pPr>
        <w:numPr>
          <w:ilvl w:val="0"/>
          <w:numId w:val="1"/>
        </w:numPr>
        <w:spacing w:before="120" w:after="120" w:line="240" w:lineRule="auto"/>
        <w:ind w:left="567" w:hanging="567"/>
        <w:jc w:val="both"/>
        <w:rPr>
          <w:rFonts w:ascii="Verdana" w:hAnsi="Verdana" w:cs="Verdana"/>
          <w:sz w:val="20"/>
          <w:szCs w:val="20"/>
        </w:rPr>
      </w:pPr>
      <w:r w:rsidRPr="00CF7881">
        <w:rPr>
          <w:rFonts w:ascii="Verdana" w:hAnsi="Verdana" w:cs="Verdana"/>
          <w:b/>
          <w:bCs/>
          <w:sz w:val="20"/>
          <w:szCs w:val="20"/>
        </w:rPr>
        <w:t>OPIS PRZEDMIOTU ZAMÓWIENIA</w:t>
      </w:r>
    </w:p>
    <w:p w14:paraId="0CF2EBA8" w14:textId="29C3AD53" w:rsidR="00553B71" w:rsidRPr="00436F21" w:rsidRDefault="00553B71" w:rsidP="00881AC0">
      <w:pPr>
        <w:pStyle w:val="Tekstpodstawowy3"/>
        <w:numPr>
          <w:ilvl w:val="0"/>
          <w:numId w:val="2"/>
        </w:numPr>
        <w:spacing w:after="120"/>
        <w:ind w:left="567" w:hanging="283"/>
        <w:rPr>
          <w:rFonts w:ascii="Verdana" w:hAnsi="Verdana" w:cs="Verdana"/>
          <w:i w:val="0"/>
          <w:iCs w:val="0"/>
          <w:sz w:val="20"/>
          <w:szCs w:val="20"/>
        </w:rPr>
      </w:pPr>
      <w:r w:rsidRPr="00436F21">
        <w:rPr>
          <w:rFonts w:ascii="Verdana" w:hAnsi="Verdana"/>
          <w:i w:val="0"/>
          <w:iCs w:val="0"/>
          <w:sz w:val="20"/>
          <w:szCs w:val="20"/>
          <w:lang w:val="pl-PL"/>
        </w:rPr>
        <w:t xml:space="preserve">Przedmiotem zamówienia jest </w:t>
      </w:r>
      <w:r w:rsidR="001161E6">
        <w:rPr>
          <w:rFonts w:ascii="Verdana" w:hAnsi="Verdana"/>
          <w:i w:val="0"/>
          <w:iCs w:val="0"/>
          <w:sz w:val="20"/>
          <w:szCs w:val="20"/>
          <w:lang w:val="pl-PL"/>
        </w:rPr>
        <w:t>zorganizowanie i koordynacja poszczególnych obszarów działań związanych z</w:t>
      </w:r>
      <w:r w:rsidRPr="00436F21">
        <w:rPr>
          <w:rFonts w:ascii="Verdana" w:hAnsi="Verdana"/>
          <w:i w:val="0"/>
          <w:iCs w:val="0"/>
          <w:sz w:val="20"/>
          <w:szCs w:val="20"/>
        </w:rPr>
        <w:t xml:space="preserve"> obsłu</w:t>
      </w:r>
      <w:r w:rsidR="001161E6">
        <w:rPr>
          <w:rFonts w:ascii="Verdana" w:hAnsi="Verdana"/>
          <w:i w:val="0"/>
          <w:iCs w:val="0"/>
          <w:sz w:val="20"/>
          <w:szCs w:val="20"/>
          <w:lang w:val="pl-PL"/>
        </w:rPr>
        <w:t>gą</w:t>
      </w:r>
      <w:r w:rsidRPr="00436F21">
        <w:rPr>
          <w:rFonts w:ascii="Verdana" w:hAnsi="Verdana"/>
          <w:i w:val="0"/>
          <w:iCs w:val="0"/>
          <w:sz w:val="20"/>
          <w:szCs w:val="20"/>
        </w:rPr>
        <w:t xml:space="preserve">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wydarzenia </w:t>
      </w:r>
      <w:r w:rsidRPr="00436F21">
        <w:rPr>
          <w:rFonts w:ascii="Verdana" w:hAnsi="Verdana"/>
          <w:i w:val="0"/>
          <w:iCs w:val="0"/>
          <w:sz w:val="20"/>
          <w:szCs w:val="20"/>
        </w:rPr>
        <w:t>„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>KARATE</w:t>
      </w:r>
      <w:r w:rsidRPr="00436F21">
        <w:rPr>
          <w:rFonts w:ascii="Verdana" w:hAnsi="Verdana"/>
          <w:i w:val="0"/>
          <w:iCs w:val="0"/>
          <w:sz w:val="20"/>
          <w:szCs w:val="20"/>
        </w:rPr>
        <w:t xml:space="preserve">” w ramach Igrzysk Europejskich </w:t>
      </w:r>
      <w:r>
        <w:rPr>
          <w:rFonts w:ascii="Verdana" w:hAnsi="Verdana"/>
          <w:i w:val="0"/>
          <w:iCs w:val="0"/>
          <w:sz w:val="20"/>
          <w:szCs w:val="20"/>
          <w:lang w:val="pl-PL"/>
        </w:rPr>
        <w:t xml:space="preserve">2023. </w:t>
      </w:r>
      <w:r w:rsidRPr="00436F21">
        <w:rPr>
          <w:rFonts w:ascii="Verdana" w:hAnsi="Verdana" w:cs="Verdana"/>
          <w:i w:val="0"/>
          <w:iCs w:val="0"/>
          <w:sz w:val="20"/>
          <w:szCs w:val="20"/>
          <w:lang w:val="pl-PL"/>
        </w:rPr>
        <w:t xml:space="preserve">Zamawiający wymaga, aby obsługa była świadczona </w:t>
      </w:r>
      <w:r w:rsidRPr="00436F21">
        <w:rPr>
          <w:rFonts w:ascii="Verdana" w:hAnsi="Verdana" w:cs="Verdana"/>
          <w:i w:val="0"/>
          <w:iCs w:val="0"/>
          <w:sz w:val="20"/>
          <w:szCs w:val="20"/>
        </w:rPr>
        <w:t>na</w:t>
      </w:r>
      <w:r w:rsidRPr="00436F21">
        <w:rPr>
          <w:rFonts w:ascii="Verdana" w:hAnsi="Verdana" w:cs="Verdana"/>
          <w:i w:val="0"/>
          <w:iCs w:val="0"/>
          <w:sz w:val="20"/>
          <w:szCs w:val="20"/>
          <w:lang w:val="pl-PL"/>
        </w:rPr>
        <w:t> </w:t>
      </w:r>
      <w:r w:rsidRPr="00436F21">
        <w:rPr>
          <w:rFonts w:ascii="Verdana" w:hAnsi="Verdana" w:cs="Verdana"/>
          <w:i w:val="0"/>
          <w:iCs w:val="0"/>
          <w:sz w:val="20"/>
          <w:szCs w:val="20"/>
        </w:rPr>
        <w:t>poziomie europejskim</w:t>
      </w:r>
      <w:r w:rsidRPr="00436F21">
        <w:rPr>
          <w:rFonts w:ascii="Verdana" w:hAnsi="Verdana" w:cs="Verdana"/>
          <w:i w:val="0"/>
          <w:iCs w:val="0"/>
          <w:sz w:val="20"/>
          <w:szCs w:val="20"/>
          <w:lang w:val="pl-PL"/>
        </w:rPr>
        <w:t>,</w:t>
      </w:r>
      <w:r w:rsidRPr="00436F21">
        <w:rPr>
          <w:rFonts w:ascii="Verdana" w:hAnsi="Verdana" w:cs="Verdana"/>
          <w:i w:val="0"/>
          <w:iCs w:val="0"/>
          <w:sz w:val="20"/>
          <w:szCs w:val="20"/>
        </w:rPr>
        <w:t xml:space="preserve"> uwzględniając regulaminy i wytyczne </w:t>
      </w:r>
      <w:proofErr w:type="spellStart"/>
      <w:r>
        <w:rPr>
          <w:rFonts w:ascii="Verdana" w:hAnsi="Verdana" w:cs="Verdana"/>
          <w:i w:val="0"/>
          <w:iCs w:val="0"/>
          <w:sz w:val="20"/>
          <w:szCs w:val="20"/>
          <w:lang w:val="pl-PL"/>
        </w:rPr>
        <w:t>European</w:t>
      </w:r>
      <w:proofErr w:type="spellEnd"/>
      <w:r>
        <w:rPr>
          <w:rFonts w:ascii="Verdana" w:hAnsi="Verdana" w:cs="Verdana"/>
          <w:i w:val="0"/>
          <w:iCs w:val="0"/>
          <w:sz w:val="20"/>
          <w:szCs w:val="20"/>
          <w:lang w:val="pl-PL"/>
        </w:rPr>
        <w:t xml:space="preserve"> Karate </w:t>
      </w:r>
      <w:proofErr w:type="spellStart"/>
      <w:r>
        <w:rPr>
          <w:rFonts w:ascii="Verdana" w:hAnsi="Verdana" w:cs="Verdana"/>
          <w:i w:val="0"/>
          <w:iCs w:val="0"/>
          <w:sz w:val="20"/>
          <w:szCs w:val="20"/>
          <w:lang w:val="pl-PL"/>
        </w:rPr>
        <w:t>Federation</w:t>
      </w:r>
      <w:proofErr w:type="spellEnd"/>
      <w:r w:rsidR="001161E6">
        <w:rPr>
          <w:rFonts w:ascii="Verdana" w:hAnsi="Verdana" w:cs="Verdana"/>
          <w:i w:val="0"/>
          <w:iCs w:val="0"/>
          <w:sz w:val="20"/>
          <w:szCs w:val="20"/>
          <w:lang w:val="pl-PL"/>
        </w:rPr>
        <w:t xml:space="preserve"> oraz wytyczne Zamawiającego (Komitetu organizacyjnego Igrzyska Europejskie 2023).</w:t>
      </w:r>
    </w:p>
    <w:p w14:paraId="6C904497" w14:textId="684AF3EF" w:rsidR="00553B71" w:rsidRDefault="00553B71" w:rsidP="00881AC0">
      <w:pPr>
        <w:numPr>
          <w:ilvl w:val="0"/>
          <w:numId w:val="2"/>
        </w:numPr>
        <w:spacing w:before="120" w:after="120" w:line="240" w:lineRule="auto"/>
        <w:ind w:left="567" w:hanging="283"/>
        <w:jc w:val="both"/>
        <w:rPr>
          <w:rFonts w:ascii="Verdana" w:hAnsi="Verdana" w:cs="Verdana"/>
          <w:sz w:val="20"/>
          <w:szCs w:val="20"/>
        </w:rPr>
      </w:pPr>
      <w:r w:rsidRPr="007B3512">
        <w:rPr>
          <w:rFonts w:ascii="Verdana" w:hAnsi="Verdana" w:cs="Verdana"/>
          <w:sz w:val="20"/>
          <w:szCs w:val="20"/>
        </w:rPr>
        <w:t xml:space="preserve">Wszystkie sprzęty i wyposażenie </w:t>
      </w:r>
      <w:r w:rsidR="001161E6">
        <w:rPr>
          <w:rFonts w:ascii="Verdana" w:hAnsi="Verdana" w:cs="Verdana"/>
          <w:sz w:val="20"/>
          <w:szCs w:val="20"/>
        </w:rPr>
        <w:t xml:space="preserve">sportowe </w:t>
      </w:r>
      <w:r w:rsidRPr="007B3512">
        <w:rPr>
          <w:rFonts w:ascii="Verdana" w:hAnsi="Verdana" w:cs="Verdana"/>
          <w:sz w:val="20"/>
          <w:szCs w:val="20"/>
        </w:rPr>
        <w:t>mus</w:t>
      </w:r>
      <w:r w:rsidR="001161E6">
        <w:rPr>
          <w:rFonts w:ascii="Verdana" w:hAnsi="Verdana" w:cs="Verdana"/>
          <w:sz w:val="20"/>
          <w:szCs w:val="20"/>
        </w:rPr>
        <w:t>i</w:t>
      </w:r>
      <w:r w:rsidRPr="007B3512">
        <w:rPr>
          <w:rFonts w:ascii="Verdana" w:hAnsi="Verdana" w:cs="Verdana"/>
          <w:sz w:val="20"/>
          <w:szCs w:val="20"/>
        </w:rPr>
        <w:t xml:space="preserve"> spełniać wymagania stawiane sprzętowi sportowemu przeznaczonemu do rozegrania zawodów sportowych </w:t>
      </w:r>
      <w:r w:rsidR="001161E6">
        <w:rPr>
          <w:rFonts w:ascii="Verdana" w:hAnsi="Verdana" w:cs="Verdana"/>
          <w:sz w:val="20"/>
          <w:szCs w:val="20"/>
        </w:rPr>
        <w:br/>
      </w:r>
      <w:r w:rsidRPr="007B3512">
        <w:rPr>
          <w:rFonts w:ascii="Verdana" w:hAnsi="Verdana" w:cs="Verdana"/>
          <w:sz w:val="20"/>
          <w:szCs w:val="20"/>
        </w:rPr>
        <w:t>w „</w:t>
      </w:r>
      <w:r>
        <w:rPr>
          <w:rFonts w:ascii="Verdana" w:hAnsi="Verdana" w:cs="Verdana"/>
          <w:sz w:val="20"/>
          <w:szCs w:val="20"/>
        </w:rPr>
        <w:t>KARATE</w:t>
      </w:r>
      <w:r w:rsidRPr="007B3512">
        <w:rPr>
          <w:rFonts w:ascii="Verdana" w:hAnsi="Verdana" w:cs="Verdana"/>
          <w:sz w:val="20"/>
          <w:szCs w:val="20"/>
        </w:rPr>
        <w:t>”. Wymaga się, aby parametry zaoferowanego sprzętu nie były podstawą do zakwestionowania wyników sportowych – zaoferowany sprzęt musi spełniać wymagan</w:t>
      </w:r>
      <w:r w:rsidR="001161E6">
        <w:rPr>
          <w:rFonts w:ascii="Verdana" w:hAnsi="Verdana" w:cs="Verdana"/>
          <w:sz w:val="20"/>
          <w:szCs w:val="20"/>
        </w:rPr>
        <w:t>ia</w:t>
      </w:r>
      <w:r w:rsidRPr="007B3512">
        <w:rPr>
          <w:rFonts w:ascii="Verdana" w:hAnsi="Verdana" w:cs="Verdana"/>
          <w:sz w:val="20"/>
          <w:szCs w:val="20"/>
        </w:rPr>
        <w:t xml:space="preserve"> dla sportów uprawianych na poziomie zawodowym, zgodnych </w:t>
      </w:r>
      <w:r>
        <w:rPr>
          <w:rFonts w:ascii="Verdana" w:hAnsi="Verdana" w:cs="Verdana"/>
          <w:sz w:val="20"/>
          <w:szCs w:val="20"/>
        </w:rPr>
        <w:br/>
      </w:r>
      <w:r w:rsidRPr="007B3512">
        <w:rPr>
          <w:rFonts w:ascii="Verdana" w:hAnsi="Verdana" w:cs="Verdana"/>
          <w:sz w:val="20"/>
          <w:szCs w:val="20"/>
        </w:rPr>
        <w:t xml:space="preserve">z rekomendacjami </w:t>
      </w:r>
      <w:r w:rsidR="00A80D79">
        <w:rPr>
          <w:rFonts w:ascii="Verdana" w:hAnsi="Verdana" w:cs="Verdana"/>
          <w:sz w:val="20"/>
          <w:szCs w:val="20"/>
        </w:rPr>
        <w:t>właściwej</w:t>
      </w:r>
      <w:r w:rsidRPr="007B3512">
        <w:rPr>
          <w:rFonts w:ascii="Verdana" w:hAnsi="Verdana" w:cs="Verdana"/>
          <w:sz w:val="20"/>
          <w:szCs w:val="20"/>
        </w:rPr>
        <w:t xml:space="preserve"> federacji </w:t>
      </w:r>
      <w:r w:rsidR="00A80D79">
        <w:rPr>
          <w:rFonts w:ascii="Verdana" w:hAnsi="Verdana" w:cs="Verdana"/>
          <w:sz w:val="20"/>
          <w:szCs w:val="20"/>
        </w:rPr>
        <w:t>międzynarodowej.</w:t>
      </w:r>
      <w:r w:rsidRPr="007B3512">
        <w:rPr>
          <w:rFonts w:ascii="Verdana" w:hAnsi="Verdana" w:cs="Verdana"/>
          <w:sz w:val="20"/>
          <w:szCs w:val="20"/>
        </w:rPr>
        <w:t xml:space="preserve">   </w:t>
      </w:r>
    </w:p>
    <w:p w14:paraId="02872C6F" w14:textId="13153C64" w:rsidR="00A80D79" w:rsidRPr="005E64EE" w:rsidRDefault="00553B71" w:rsidP="00881AC0">
      <w:pPr>
        <w:numPr>
          <w:ilvl w:val="0"/>
          <w:numId w:val="2"/>
        </w:numPr>
        <w:spacing w:before="120" w:after="120" w:line="240" w:lineRule="auto"/>
        <w:ind w:left="567" w:hanging="283"/>
        <w:jc w:val="both"/>
        <w:rPr>
          <w:rFonts w:ascii="Verdana" w:hAnsi="Verdana" w:cs="Verdana"/>
          <w:color w:val="000000"/>
          <w:sz w:val="20"/>
          <w:szCs w:val="20"/>
        </w:rPr>
      </w:pPr>
      <w:r w:rsidRPr="005E64EE">
        <w:rPr>
          <w:rFonts w:ascii="Verdana" w:hAnsi="Verdana" w:cs="Verdana"/>
          <w:sz w:val="20"/>
          <w:szCs w:val="20"/>
        </w:rPr>
        <w:t>Zamawiający informuje, że zawody w KARATE będą odbywać się w Bielsko-Biał</w:t>
      </w:r>
      <w:r w:rsidR="00A80D79" w:rsidRPr="005E64EE">
        <w:rPr>
          <w:rFonts w:ascii="Verdana" w:hAnsi="Verdana" w:cs="Verdana"/>
          <w:sz w:val="20"/>
          <w:szCs w:val="20"/>
        </w:rPr>
        <w:t>ej</w:t>
      </w:r>
      <w:r w:rsidRPr="005E64EE">
        <w:rPr>
          <w:rFonts w:ascii="Verdana" w:hAnsi="Verdana" w:cs="Verdana"/>
          <w:sz w:val="20"/>
          <w:szCs w:val="20"/>
        </w:rPr>
        <w:t xml:space="preserve"> </w:t>
      </w:r>
      <w:r w:rsidR="00A80D79" w:rsidRPr="005E64EE">
        <w:rPr>
          <w:rFonts w:ascii="Verdana" w:hAnsi="Verdana" w:cs="Verdana"/>
          <w:sz w:val="20"/>
          <w:szCs w:val="20"/>
        </w:rPr>
        <w:br/>
      </w:r>
      <w:r w:rsidRPr="005E64EE">
        <w:rPr>
          <w:rFonts w:ascii="Verdana" w:hAnsi="Verdana" w:cs="Verdana"/>
          <w:sz w:val="20"/>
          <w:szCs w:val="20"/>
        </w:rPr>
        <w:t>w dniach 22-23 czerwca (2 dni rywalizacji)</w:t>
      </w:r>
      <w:r w:rsidR="00A80D79" w:rsidRPr="005E64EE">
        <w:rPr>
          <w:rFonts w:ascii="Verdana" w:hAnsi="Verdana" w:cs="Verdana"/>
          <w:sz w:val="20"/>
          <w:szCs w:val="20"/>
        </w:rPr>
        <w:t xml:space="preserve">, </w:t>
      </w:r>
      <w:r w:rsidR="00A80D79" w:rsidRPr="005E64EE">
        <w:rPr>
          <w:rFonts w:ascii="Verdana" w:hAnsi="Verdana" w:cs="Verdana"/>
          <w:color w:val="000000"/>
          <w:sz w:val="20"/>
          <w:szCs w:val="20"/>
        </w:rPr>
        <w:t>w hali widowisko-sportowej „Pod Dębowcem”.</w:t>
      </w:r>
    </w:p>
    <w:p w14:paraId="7E92AFD0" w14:textId="78EFA051" w:rsidR="009877B1" w:rsidRDefault="00553B71" w:rsidP="00E14687">
      <w:pPr>
        <w:pStyle w:val="Tekstpodstawowy3"/>
        <w:numPr>
          <w:ilvl w:val="0"/>
          <w:numId w:val="2"/>
        </w:numPr>
        <w:spacing w:after="120"/>
        <w:ind w:left="567" w:hanging="283"/>
      </w:pPr>
      <w:r w:rsidRPr="005E64EE">
        <w:rPr>
          <w:rFonts w:ascii="Verdana" w:hAnsi="Verdana" w:cs="Verdana"/>
          <w:i w:val="0"/>
          <w:sz w:val="20"/>
          <w:szCs w:val="20"/>
        </w:rPr>
        <w:t xml:space="preserve">Zamawiający </w:t>
      </w:r>
      <w:r w:rsidRPr="005E64EE">
        <w:rPr>
          <w:rFonts w:ascii="Verdana" w:hAnsi="Verdana" w:cs="Verdana"/>
          <w:b/>
          <w:i w:val="0"/>
          <w:sz w:val="20"/>
          <w:szCs w:val="20"/>
        </w:rPr>
        <w:t>nie zastrzega</w:t>
      </w:r>
      <w:r w:rsidRPr="005E64EE">
        <w:rPr>
          <w:rFonts w:ascii="Verdana" w:hAnsi="Verdana" w:cs="Verdana"/>
          <w:i w:val="0"/>
          <w:sz w:val="20"/>
          <w:szCs w:val="20"/>
        </w:rPr>
        <w:t xml:space="preserve"> obowiązku osobistego wykonania przez </w:t>
      </w:r>
      <w:r w:rsidRPr="005E64EE">
        <w:rPr>
          <w:rFonts w:ascii="Verdana" w:hAnsi="Verdana" w:cs="Verdana"/>
          <w:i w:val="0"/>
          <w:sz w:val="20"/>
          <w:szCs w:val="20"/>
          <w:lang w:val="pl-PL"/>
        </w:rPr>
        <w:t>w</w:t>
      </w:r>
      <w:r w:rsidR="00A80D79" w:rsidRPr="005E64EE">
        <w:rPr>
          <w:rFonts w:ascii="Verdana" w:hAnsi="Verdana" w:cs="Verdana"/>
          <w:i w:val="0"/>
          <w:sz w:val="20"/>
          <w:szCs w:val="20"/>
        </w:rPr>
        <w:t>wykonawcę</w:t>
      </w:r>
      <w:r w:rsidRPr="005E64EE">
        <w:rPr>
          <w:rFonts w:ascii="Verdana" w:hAnsi="Verdana" w:cs="Verdana"/>
          <w:i w:val="0"/>
          <w:sz w:val="20"/>
          <w:szCs w:val="20"/>
        </w:rPr>
        <w:t xml:space="preserve"> kluczowych zadań</w:t>
      </w:r>
      <w:r w:rsidRPr="005E64EE">
        <w:rPr>
          <w:rFonts w:ascii="Verdana" w:hAnsi="Verdana" w:cs="Verdana"/>
          <w:sz w:val="20"/>
          <w:szCs w:val="20"/>
        </w:rPr>
        <w:t>.</w:t>
      </w:r>
    </w:p>
    <w:p w14:paraId="618F699B" w14:textId="395FBEE0" w:rsidR="009877B1" w:rsidRPr="00A80D79" w:rsidRDefault="009877B1" w:rsidP="001C6965">
      <w:pPr>
        <w:spacing w:line="240" w:lineRule="auto"/>
        <w:jc w:val="both"/>
        <w:rPr>
          <w:rFonts w:ascii="Verdana" w:hAnsi="Verdana"/>
          <w:b/>
          <w:bCs/>
          <w:i/>
          <w:iCs/>
          <w:sz w:val="20"/>
          <w:szCs w:val="20"/>
        </w:rPr>
      </w:pPr>
      <w:r w:rsidRPr="00A80D79">
        <w:rPr>
          <w:rFonts w:ascii="Verdana" w:hAnsi="Verdana"/>
          <w:b/>
          <w:bCs/>
          <w:i/>
          <w:iCs/>
          <w:sz w:val="20"/>
          <w:szCs w:val="20"/>
        </w:rPr>
        <w:t>1. Przygotowanie i obsługa sportow</w:t>
      </w:r>
      <w:r w:rsidR="00881AC0">
        <w:rPr>
          <w:rFonts w:ascii="Verdana" w:hAnsi="Verdana"/>
          <w:b/>
          <w:bCs/>
          <w:i/>
          <w:iCs/>
          <w:sz w:val="20"/>
          <w:szCs w:val="20"/>
        </w:rPr>
        <w:t xml:space="preserve">o-techniczna </w:t>
      </w:r>
      <w:r w:rsidRPr="00A80D79">
        <w:rPr>
          <w:rFonts w:ascii="Verdana" w:hAnsi="Verdana"/>
          <w:b/>
          <w:bCs/>
          <w:i/>
          <w:iCs/>
          <w:sz w:val="20"/>
          <w:szCs w:val="20"/>
        </w:rPr>
        <w:t>rywalizacji KARATE</w:t>
      </w:r>
    </w:p>
    <w:p w14:paraId="0B25F453" w14:textId="353089E8" w:rsidR="00A80D79" w:rsidRDefault="00A80D79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A80D79">
        <w:rPr>
          <w:rFonts w:ascii="Verdana" w:hAnsi="Verdana"/>
          <w:sz w:val="20"/>
          <w:szCs w:val="20"/>
        </w:rPr>
        <w:t xml:space="preserve">Zamawiający zleca przygotowanie </w:t>
      </w:r>
      <w:r w:rsidR="001C6965">
        <w:rPr>
          <w:rFonts w:ascii="Verdana" w:hAnsi="Verdana"/>
          <w:sz w:val="20"/>
          <w:szCs w:val="20"/>
        </w:rPr>
        <w:t xml:space="preserve">całej </w:t>
      </w:r>
      <w:r w:rsidR="00881AC0">
        <w:rPr>
          <w:rFonts w:ascii="Verdana" w:hAnsi="Verdana"/>
          <w:sz w:val="20"/>
          <w:szCs w:val="20"/>
        </w:rPr>
        <w:t>strefy</w:t>
      </w:r>
      <w:r w:rsidRPr="00A80D79">
        <w:rPr>
          <w:rFonts w:ascii="Verdana" w:hAnsi="Verdana"/>
          <w:sz w:val="20"/>
          <w:szCs w:val="20"/>
        </w:rPr>
        <w:t xml:space="preserve"> rywalizacji</w:t>
      </w:r>
      <w:r w:rsidR="00881AC0">
        <w:rPr>
          <w:rFonts w:ascii="Verdana" w:hAnsi="Verdana"/>
          <w:sz w:val="20"/>
          <w:szCs w:val="20"/>
        </w:rPr>
        <w:t xml:space="preserve"> (Field of Play)</w:t>
      </w:r>
      <w:r w:rsidRPr="00A80D79">
        <w:rPr>
          <w:rFonts w:ascii="Verdana" w:hAnsi="Verdana"/>
          <w:sz w:val="20"/>
          <w:szCs w:val="20"/>
        </w:rPr>
        <w:t xml:space="preserve"> i strefy rozgrzewkowej </w:t>
      </w:r>
      <w:r w:rsidR="00881AC0">
        <w:rPr>
          <w:rFonts w:ascii="Verdana" w:hAnsi="Verdana"/>
          <w:sz w:val="20"/>
          <w:szCs w:val="20"/>
        </w:rPr>
        <w:t>(</w:t>
      </w:r>
      <w:proofErr w:type="spellStart"/>
      <w:r w:rsidR="00881AC0">
        <w:rPr>
          <w:rFonts w:ascii="Verdana" w:hAnsi="Verdana"/>
          <w:sz w:val="20"/>
          <w:szCs w:val="20"/>
        </w:rPr>
        <w:t>Warm-Up</w:t>
      </w:r>
      <w:proofErr w:type="spellEnd"/>
      <w:r w:rsidR="00881AC0">
        <w:rPr>
          <w:rFonts w:ascii="Verdana" w:hAnsi="Verdana"/>
          <w:sz w:val="20"/>
          <w:szCs w:val="20"/>
        </w:rPr>
        <w:t xml:space="preserve">) </w:t>
      </w:r>
      <w:r>
        <w:rPr>
          <w:rFonts w:ascii="Verdana" w:hAnsi="Verdana"/>
          <w:sz w:val="20"/>
          <w:szCs w:val="20"/>
        </w:rPr>
        <w:t xml:space="preserve">dla przebiegu zawodów </w:t>
      </w:r>
      <w:r w:rsidRPr="00A80D79">
        <w:rPr>
          <w:rFonts w:ascii="Verdana" w:hAnsi="Verdana"/>
          <w:sz w:val="20"/>
          <w:szCs w:val="20"/>
        </w:rPr>
        <w:t>zgodnie z wytycznymi</w:t>
      </w:r>
      <w:r>
        <w:rPr>
          <w:rFonts w:ascii="Verdana" w:hAnsi="Verdana"/>
          <w:sz w:val="20"/>
          <w:szCs w:val="20"/>
        </w:rPr>
        <w:t xml:space="preserve"> Europejskiej Federacji Karate. Pole rywalizacji </w:t>
      </w:r>
      <w:r w:rsidR="00881AC0">
        <w:rPr>
          <w:rFonts w:ascii="Verdana" w:hAnsi="Verdana"/>
          <w:sz w:val="20"/>
          <w:szCs w:val="20"/>
        </w:rPr>
        <w:t xml:space="preserve">i jego bezpośrednie otoczenie </w:t>
      </w:r>
      <w:r>
        <w:rPr>
          <w:rFonts w:ascii="Verdana" w:hAnsi="Verdana"/>
          <w:sz w:val="20"/>
          <w:szCs w:val="20"/>
        </w:rPr>
        <w:t>powinno zawierać wszelkie niezbędne wyposażenie sportowe i okołosportowe (</w:t>
      </w:r>
      <w:r w:rsidR="00881AC0">
        <w:rPr>
          <w:rFonts w:ascii="Verdana" w:hAnsi="Verdana"/>
          <w:sz w:val="20"/>
          <w:szCs w:val="20"/>
        </w:rPr>
        <w:t xml:space="preserve">m.in. </w:t>
      </w:r>
      <w:r>
        <w:rPr>
          <w:rFonts w:ascii="Verdana" w:hAnsi="Verdana"/>
          <w:sz w:val="20"/>
          <w:szCs w:val="20"/>
        </w:rPr>
        <w:t>dla sędziów</w:t>
      </w:r>
      <w:r w:rsidR="00881AC0">
        <w:rPr>
          <w:rFonts w:ascii="Verdana" w:hAnsi="Verdana"/>
          <w:sz w:val="20"/>
          <w:szCs w:val="20"/>
        </w:rPr>
        <w:t>, obsługi techniczne</w:t>
      </w:r>
      <w:r w:rsidR="001C6965">
        <w:rPr>
          <w:rFonts w:ascii="Verdana" w:hAnsi="Verdana"/>
          <w:sz w:val="20"/>
          <w:szCs w:val="20"/>
        </w:rPr>
        <w:t>j</w:t>
      </w:r>
      <w:r>
        <w:rPr>
          <w:rFonts w:ascii="Verdana" w:hAnsi="Verdana"/>
          <w:sz w:val="20"/>
          <w:szCs w:val="20"/>
        </w:rPr>
        <w:t xml:space="preserve">) </w:t>
      </w:r>
      <w:r w:rsidR="00881AC0">
        <w:rPr>
          <w:rFonts w:ascii="Verdana" w:hAnsi="Verdana"/>
          <w:sz w:val="20"/>
          <w:szCs w:val="20"/>
        </w:rPr>
        <w:t>dla</w:t>
      </w:r>
      <w:r>
        <w:rPr>
          <w:rFonts w:ascii="Verdana" w:hAnsi="Verdana"/>
          <w:sz w:val="20"/>
          <w:szCs w:val="20"/>
        </w:rPr>
        <w:t xml:space="preserve"> </w:t>
      </w:r>
      <w:r w:rsidR="00881AC0">
        <w:rPr>
          <w:rFonts w:ascii="Verdana" w:hAnsi="Verdana"/>
          <w:sz w:val="20"/>
          <w:szCs w:val="20"/>
        </w:rPr>
        <w:t xml:space="preserve">sprawnego </w:t>
      </w:r>
      <w:r>
        <w:rPr>
          <w:rFonts w:ascii="Verdana" w:hAnsi="Verdana"/>
          <w:sz w:val="20"/>
          <w:szCs w:val="20"/>
        </w:rPr>
        <w:t xml:space="preserve">przeprowadzenia zawodów. Dopuszcza się </w:t>
      </w:r>
      <w:r w:rsidR="00881AC0">
        <w:rPr>
          <w:rFonts w:ascii="Verdana" w:hAnsi="Verdana"/>
          <w:sz w:val="20"/>
          <w:szCs w:val="20"/>
        </w:rPr>
        <w:t xml:space="preserve">połączenie strefy rozgrzewkowej ze strefą treningową. Nie ma konieczności, aby główne pole rywalizacji (tatami) było zainstalowane na podwyższeniu (tzw. podeście), a rekomenduje się jego instalację bezpośrednio na </w:t>
      </w:r>
      <w:r w:rsidR="001161E6">
        <w:rPr>
          <w:rFonts w:ascii="Verdana" w:hAnsi="Verdana"/>
          <w:sz w:val="20"/>
          <w:szCs w:val="20"/>
        </w:rPr>
        <w:t xml:space="preserve">istniejącym poziomie </w:t>
      </w:r>
      <w:r w:rsidR="00881AC0">
        <w:rPr>
          <w:rFonts w:ascii="Verdana" w:hAnsi="Verdana"/>
          <w:sz w:val="20"/>
          <w:szCs w:val="20"/>
        </w:rPr>
        <w:t>pły</w:t>
      </w:r>
      <w:r w:rsidR="001161E6">
        <w:rPr>
          <w:rFonts w:ascii="Verdana" w:hAnsi="Verdana"/>
          <w:sz w:val="20"/>
          <w:szCs w:val="20"/>
        </w:rPr>
        <w:t>ty</w:t>
      </w:r>
      <w:r w:rsidR="00881AC0">
        <w:rPr>
          <w:rFonts w:ascii="Verdana" w:hAnsi="Verdana"/>
          <w:sz w:val="20"/>
          <w:szCs w:val="20"/>
        </w:rPr>
        <w:t xml:space="preserve"> hali.</w:t>
      </w:r>
    </w:p>
    <w:p w14:paraId="0320F678" w14:textId="6DB8F772" w:rsidR="0035626E" w:rsidRPr="001161E6" w:rsidRDefault="0035626E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1161E6">
        <w:rPr>
          <w:rFonts w:ascii="Verdana" w:hAnsi="Verdana"/>
          <w:sz w:val="20"/>
          <w:szCs w:val="20"/>
        </w:rPr>
        <w:t xml:space="preserve">Wykonawca zobowiązany jest do przygotowania całej niezbędnej infrastruktury tymczasowej potrzebnej do organizacji zawodów w standardach IE2023 w postaci kontenerów, wszelkich ścianek odgradzających przestrzenie tak, aby poszczególne grupy docelowe nie krzyżowały się. Szczegółowy wykaz znajduje się w </w:t>
      </w:r>
      <w:r w:rsidRPr="001161E6">
        <w:rPr>
          <w:rFonts w:ascii="Verdana" w:hAnsi="Verdana"/>
          <w:b/>
          <w:bCs/>
          <w:i/>
          <w:iCs/>
          <w:sz w:val="20"/>
          <w:szCs w:val="20"/>
        </w:rPr>
        <w:t>Załączniku nr 1</w:t>
      </w:r>
      <w:r w:rsidRPr="001161E6">
        <w:rPr>
          <w:rFonts w:ascii="Verdana" w:hAnsi="Verdana"/>
          <w:sz w:val="20"/>
          <w:szCs w:val="20"/>
        </w:rPr>
        <w:t xml:space="preserve">. </w:t>
      </w:r>
    </w:p>
    <w:p w14:paraId="6791A87E" w14:textId="77777777" w:rsidR="002C65BA" w:rsidRPr="001161E6" w:rsidRDefault="002C65BA" w:rsidP="002C65BA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1161E6">
        <w:rPr>
          <w:rFonts w:ascii="Verdana" w:hAnsi="Verdana"/>
          <w:sz w:val="20"/>
          <w:szCs w:val="20"/>
        </w:rPr>
        <w:t xml:space="preserve">Wykonawca zobowiązany jest do posiadania odpowiedniego sprzętu logistycznego (wózek widłowy, wózki jezdne, paletowe) umożliwiającego załadunek / rozładunek transportów realizowanych na potrzeby organizacji wydarzenia wraz z operatorem tegoż sprzętu, dostępnego w terminach wspólnie ustalonych z komitetem organizacyjnym IE2023. </w:t>
      </w:r>
    </w:p>
    <w:p w14:paraId="6BF9C1EE" w14:textId="0ACCD832" w:rsidR="002C65BA" w:rsidRPr="001161E6" w:rsidRDefault="002C65BA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1161E6">
        <w:rPr>
          <w:rFonts w:ascii="Verdana" w:hAnsi="Verdana"/>
          <w:sz w:val="20"/>
          <w:szCs w:val="20"/>
        </w:rPr>
        <w:t xml:space="preserve">Wykonawca odpowiada za powierzone mu w ramach organizacji wydarzenia towary w tym za ich odpowiednie zabezpieczenie, przetrzymywanie, wydawanie osobom uprawnionym oraz transportowanie a po zakończeniu zawodów jeśli są to towary przeznaczone do transportu powrotnego za ich odpowiednie zabezpieczenie i wydanie w ustalonym terminie. </w:t>
      </w:r>
    </w:p>
    <w:p w14:paraId="782361E0" w14:textId="6F8EBD7E" w:rsidR="00881AC0" w:rsidRDefault="00BC0AFC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poza przygotowaniem obiektu zobowiązuje się do p</w:t>
      </w:r>
      <w:r w:rsidRPr="00BC0AFC">
        <w:rPr>
          <w:rFonts w:ascii="Verdana" w:hAnsi="Verdana"/>
          <w:sz w:val="20"/>
          <w:szCs w:val="20"/>
        </w:rPr>
        <w:t>rzeprowadzeni</w:t>
      </w:r>
      <w:r>
        <w:rPr>
          <w:rFonts w:ascii="Verdana" w:hAnsi="Verdana"/>
          <w:sz w:val="20"/>
          <w:szCs w:val="20"/>
        </w:rPr>
        <w:t>a</w:t>
      </w:r>
      <w:r w:rsidRPr="00BC0AFC">
        <w:rPr>
          <w:rFonts w:ascii="Verdana" w:hAnsi="Verdana"/>
          <w:sz w:val="20"/>
          <w:szCs w:val="20"/>
        </w:rPr>
        <w:t xml:space="preserve"> zawodów od strony organizacyjnej</w:t>
      </w:r>
      <w:r>
        <w:rPr>
          <w:rFonts w:ascii="Verdana" w:hAnsi="Verdana"/>
          <w:sz w:val="20"/>
          <w:szCs w:val="20"/>
        </w:rPr>
        <w:t xml:space="preserve">, </w:t>
      </w:r>
      <w:r w:rsidRPr="00BC0AFC">
        <w:rPr>
          <w:rFonts w:ascii="Verdana" w:hAnsi="Verdana"/>
          <w:sz w:val="20"/>
          <w:szCs w:val="20"/>
        </w:rPr>
        <w:t xml:space="preserve">wliczając w to </w:t>
      </w:r>
      <w:r>
        <w:rPr>
          <w:rFonts w:ascii="Verdana" w:hAnsi="Verdana"/>
          <w:sz w:val="20"/>
          <w:szCs w:val="20"/>
        </w:rPr>
        <w:t xml:space="preserve">stałą współpracę </w:t>
      </w:r>
      <w:r w:rsidRPr="00BC0AFC">
        <w:rPr>
          <w:rFonts w:ascii="Verdana" w:hAnsi="Verdana"/>
          <w:sz w:val="20"/>
          <w:szCs w:val="20"/>
        </w:rPr>
        <w:t>m.in.</w:t>
      </w:r>
      <w:r>
        <w:rPr>
          <w:rFonts w:ascii="Verdana" w:hAnsi="Verdana"/>
          <w:sz w:val="20"/>
          <w:szCs w:val="20"/>
        </w:rPr>
        <w:t xml:space="preserve"> z: </w:t>
      </w:r>
      <w:proofErr w:type="spellStart"/>
      <w:r>
        <w:rPr>
          <w:rFonts w:ascii="Verdana" w:hAnsi="Verdana"/>
          <w:sz w:val="20"/>
          <w:szCs w:val="20"/>
        </w:rPr>
        <w:t>Competition</w:t>
      </w:r>
      <w:proofErr w:type="spell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Mangerem</w:t>
      </w:r>
      <w:proofErr w:type="spellEnd"/>
      <w:r>
        <w:rPr>
          <w:rFonts w:ascii="Verdana" w:hAnsi="Verdana"/>
          <w:sz w:val="20"/>
          <w:szCs w:val="20"/>
        </w:rPr>
        <w:t xml:space="preserve"> zawodów, </w:t>
      </w:r>
      <w:proofErr w:type="spellStart"/>
      <w:r>
        <w:rPr>
          <w:rFonts w:ascii="Verdana" w:hAnsi="Verdana"/>
          <w:sz w:val="20"/>
          <w:szCs w:val="20"/>
        </w:rPr>
        <w:t>Venue</w:t>
      </w:r>
      <w:proofErr w:type="spellEnd"/>
      <w:r>
        <w:rPr>
          <w:rFonts w:ascii="Verdana" w:hAnsi="Verdana"/>
          <w:sz w:val="20"/>
          <w:szCs w:val="20"/>
        </w:rPr>
        <w:t xml:space="preserve"> Managerem obiektu, Delegatem Technicznym zawodów oraz nominowanymi sędziami odpowiedzialnymi na przeprowadzenie rywalizacji zgodnie </w:t>
      </w:r>
      <w:r w:rsidR="00835524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 xml:space="preserve">z przepisami sportowymi. </w:t>
      </w:r>
    </w:p>
    <w:p w14:paraId="536DF5D9" w14:textId="3BD20E2F" w:rsidR="00BC0AFC" w:rsidRDefault="00BC0AFC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jest odpowiedzialny za przeszkolenie niezbędnej liczby wolontariuszy do obsługi sportowej wydarzenia. Wolontariusze zostaną zrekrutowani i wyposażeni przez Zamawiającego w oficjalną odzież Igrzysk Europejskich.</w:t>
      </w:r>
    </w:p>
    <w:p w14:paraId="4E6A4F85" w14:textId="56C07BCC" w:rsidR="001C6965" w:rsidRDefault="00BC0AFC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Wykonawca jest zobowiązany do stałej współpracy z firmą ATOS odpowiedzialną za dostarczenie elektronicznego systemu </w:t>
      </w:r>
      <w:r w:rsidR="001C6965">
        <w:rPr>
          <w:rFonts w:ascii="Verdana" w:hAnsi="Verdana"/>
          <w:sz w:val="20"/>
          <w:szCs w:val="20"/>
        </w:rPr>
        <w:t>pomiar</w:t>
      </w:r>
      <w:r w:rsidR="001161E6">
        <w:rPr>
          <w:rFonts w:ascii="Verdana" w:hAnsi="Verdana"/>
          <w:sz w:val="20"/>
          <w:szCs w:val="20"/>
        </w:rPr>
        <w:t>u</w:t>
      </w:r>
      <w:r w:rsidR="001C6965">
        <w:rPr>
          <w:rFonts w:ascii="Verdana" w:hAnsi="Verdana"/>
          <w:sz w:val="20"/>
          <w:szCs w:val="20"/>
        </w:rPr>
        <w:t xml:space="preserve"> wyników z zawodów oraz ich implementacji na </w:t>
      </w:r>
      <w:r w:rsidR="001161E6">
        <w:rPr>
          <w:rFonts w:ascii="Verdana" w:hAnsi="Verdana"/>
          <w:sz w:val="20"/>
          <w:szCs w:val="20"/>
        </w:rPr>
        <w:t xml:space="preserve">oficjalną </w:t>
      </w:r>
      <w:r w:rsidR="001C6965">
        <w:rPr>
          <w:rFonts w:ascii="Verdana" w:hAnsi="Verdana"/>
          <w:sz w:val="20"/>
          <w:szCs w:val="20"/>
        </w:rPr>
        <w:t xml:space="preserve">stronę </w:t>
      </w:r>
      <w:hyperlink r:id="rId8" w:history="1">
        <w:r w:rsidR="001C6965" w:rsidRPr="00072D0E">
          <w:rPr>
            <w:rStyle w:val="Hipercze"/>
            <w:rFonts w:ascii="Verdana" w:hAnsi="Verdana"/>
            <w:sz w:val="20"/>
            <w:szCs w:val="20"/>
          </w:rPr>
          <w:t>www.european-games.org</w:t>
        </w:r>
      </w:hyperlink>
      <w:r w:rsidR="001C6965">
        <w:rPr>
          <w:rFonts w:ascii="Verdana" w:hAnsi="Verdana"/>
          <w:sz w:val="20"/>
          <w:szCs w:val="20"/>
        </w:rPr>
        <w:t>.</w:t>
      </w:r>
    </w:p>
    <w:p w14:paraId="1622C7EC" w14:textId="13AEC07B" w:rsidR="001C6965" w:rsidRDefault="00DC26E6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1C6965">
        <w:rPr>
          <w:rFonts w:ascii="Verdana" w:hAnsi="Verdana"/>
          <w:sz w:val="20"/>
          <w:szCs w:val="20"/>
        </w:rPr>
        <w:t xml:space="preserve">przęt sportowy </w:t>
      </w:r>
      <w:r w:rsidR="009F3E9F">
        <w:rPr>
          <w:rFonts w:ascii="Verdana" w:hAnsi="Verdana"/>
          <w:sz w:val="20"/>
          <w:szCs w:val="20"/>
        </w:rPr>
        <w:t xml:space="preserve">oraz inne niezbędne doposażenie i usługi wynikające ze specyfiki dyscypliny </w:t>
      </w:r>
      <w:r w:rsidR="001C6965">
        <w:rPr>
          <w:rFonts w:ascii="Verdana" w:hAnsi="Verdana"/>
          <w:sz w:val="20"/>
          <w:szCs w:val="20"/>
        </w:rPr>
        <w:t xml:space="preserve">do przeprowadzenia zawodów powinien być dostarczony i zamontowany przez Wykonawcę </w:t>
      </w:r>
      <w:r w:rsidR="009F3E9F">
        <w:rPr>
          <w:rFonts w:ascii="Verdana" w:hAnsi="Verdana"/>
          <w:sz w:val="20"/>
          <w:szCs w:val="20"/>
        </w:rPr>
        <w:t>zgodnie z zawartością</w:t>
      </w:r>
      <w:r w:rsidR="001C6965">
        <w:rPr>
          <w:rFonts w:ascii="Verdana" w:hAnsi="Verdana"/>
          <w:sz w:val="20"/>
          <w:szCs w:val="20"/>
        </w:rPr>
        <w:t xml:space="preserve"> </w:t>
      </w:r>
      <w:r w:rsidR="001C6965" w:rsidRPr="001C6965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="0035626E">
        <w:rPr>
          <w:rFonts w:ascii="Verdana" w:hAnsi="Verdana"/>
          <w:b/>
          <w:bCs/>
          <w:i/>
          <w:iCs/>
          <w:sz w:val="20"/>
          <w:szCs w:val="20"/>
        </w:rPr>
        <w:t>Z</w:t>
      </w:r>
      <w:r w:rsidR="001C6965" w:rsidRPr="001C6965">
        <w:rPr>
          <w:rFonts w:ascii="Verdana" w:hAnsi="Verdana"/>
          <w:b/>
          <w:bCs/>
          <w:i/>
          <w:iCs/>
          <w:sz w:val="20"/>
          <w:szCs w:val="20"/>
        </w:rPr>
        <w:t>ałącznik</w:t>
      </w:r>
      <w:r w:rsidR="009F3E9F">
        <w:rPr>
          <w:rFonts w:ascii="Verdana" w:hAnsi="Verdana"/>
          <w:b/>
          <w:bCs/>
          <w:i/>
          <w:iCs/>
          <w:sz w:val="20"/>
          <w:szCs w:val="20"/>
        </w:rPr>
        <w:t>a</w:t>
      </w:r>
      <w:r w:rsidR="00E14687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="001C6965" w:rsidRPr="001C6965">
        <w:rPr>
          <w:rFonts w:ascii="Verdana" w:hAnsi="Verdana"/>
          <w:b/>
          <w:bCs/>
          <w:i/>
          <w:iCs/>
          <w:sz w:val="20"/>
          <w:szCs w:val="20"/>
        </w:rPr>
        <w:t xml:space="preserve">nr </w:t>
      </w:r>
      <w:r w:rsidR="0035626E">
        <w:rPr>
          <w:rFonts w:ascii="Verdana" w:hAnsi="Verdana"/>
          <w:b/>
          <w:bCs/>
          <w:i/>
          <w:iCs/>
          <w:sz w:val="20"/>
          <w:szCs w:val="20"/>
        </w:rPr>
        <w:t>2</w:t>
      </w:r>
      <w:r w:rsidR="001C6965" w:rsidRPr="001C6965">
        <w:rPr>
          <w:rFonts w:ascii="Verdana" w:hAnsi="Verdana"/>
          <w:b/>
          <w:bCs/>
          <w:i/>
          <w:iCs/>
          <w:sz w:val="20"/>
          <w:szCs w:val="20"/>
        </w:rPr>
        <w:t>.</w:t>
      </w:r>
      <w:r w:rsidR="001C6965">
        <w:rPr>
          <w:rFonts w:ascii="Verdana" w:hAnsi="Verdana"/>
          <w:b/>
          <w:bCs/>
          <w:i/>
          <w:iCs/>
          <w:sz w:val="20"/>
          <w:szCs w:val="20"/>
        </w:rPr>
        <w:t xml:space="preserve"> </w:t>
      </w:r>
      <w:r w:rsidR="00A25A4E">
        <w:rPr>
          <w:rFonts w:ascii="Verdana" w:hAnsi="Verdana"/>
          <w:sz w:val="20"/>
          <w:szCs w:val="20"/>
        </w:rPr>
        <w:t xml:space="preserve">W miarę możliwości technicznych </w:t>
      </w:r>
      <w:r w:rsidR="001161E6">
        <w:rPr>
          <w:rFonts w:ascii="Verdana" w:hAnsi="Verdana"/>
          <w:sz w:val="20"/>
          <w:szCs w:val="20"/>
        </w:rPr>
        <w:t xml:space="preserve">(do ustalenia z Zamawiającym) </w:t>
      </w:r>
      <w:r w:rsidR="00A25A4E">
        <w:rPr>
          <w:rFonts w:ascii="Verdana" w:hAnsi="Verdana"/>
          <w:sz w:val="20"/>
          <w:szCs w:val="20"/>
        </w:rPr>
        <w:t>s</w:t>
      </w:r>
      <w:r w:rsidR="001C6965">
        <w:rPr>
          <w:rFonts w:ascii="Verdana" w:hAnsi="Verdana"/>
          <w:sz w:val="20"/>
          <w:szCs w:val="20"/>
        </w:rPr>
        <w:t xml:space="preserve">przęt powinien być wyposażony w </w:t>
      </w:r>
      <w:r w:rsidR="00A25A4E">
        <w:rPr>
          <w:rFonts w:ascii="Verdana" w:hAnsi="Verdana"/>
          <w:sz w:val="20"/>
          <w:szCs w:val="20"/>
        </w:rPr>
        <w:t xml:space="preserve">tymczasowe znakowanie logotypem EG2023 dostarczone w wersji elektronicznej przez Zamawiającego. Ostateczne umieszczenie znaków powinno odbyć się za akceptacją </w:t>
      </w:r>
      <w:proofErr w:type="spellStart"/>
      <w:r w:rsidR="00A25A4E">
        <w:rPr>
          <w:rFonts w:ascii="Verdana" w:hAnsi="Verdana"/>
          <w:sz w:val="20"/>
          <w:szCs w:val="20"/>
        </w:rPr>
        <w:t>Competition</w:t>
      </w:r>
      <w:proofErr w:type="spellEnd"/>
      <w:r w:rsidR="00A25A4E">
        <w:rPr>
          <w:rFonts w:ascii="Verdana" w:hAnsi="Verdana"/>
          <w:sz w:val="20"/>
          <w:szCs w:val="20"/>
        </w:rPr>
        <w:t xml:space="preserve"> Managera i Delegata Technicznego zawodów.</w:t>
      </w:r>
    </w:p>
    <w:p w14:paraId="2313C384" w14:textId="0E97982D" w:rsidR="004C6DDE" w:rsidRDefault="00A25A4E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zobowiązuje się do odpowiedniego przygotowania tzw. zaplecza sportowego (</w:t>
      </w:r>
      <w:proofErr w:type="spellStart"/>
      <w:r>
        <w:rPr>
          <w:rFonts w:ascii="Verdana" w:hAnsi="Verdana"/>
          <w:sz w:val="20"/>
          <w:szCs w:val="20"/>
        </w:rPr>
        <w:t>Back</w:t>
      </w:r>
      <w:proofErr w:type="spellEnd"/>
      <w:r>
        <w:rPr>
          <w:rFonts w:ascii="Verdana" w:hAnsi="Verdana"/>
          <w:sz w:val="20"/>
          <w:szCs w:val="20"/>
        </w:rPr>
        <w:t xml:space="preserve"> of House) </w:t>
      </w:r>
      <w:r w:rsidR="006B7858">
        <w:rPr>
          <w:rFonts w:ascii="Verdana" w:hAnsi="Verdana"/>
          <w:sz w:val="20"/>
          <w:szCs w:val="20"/>
        </w:rPr>
        <w:t xml:space="preserve">służącego </w:t>
      </w:r>
      <w:r>
        <w:rPr>
          <w:rFonts w:ascii="Verdana" w:hAnsi="Verdana"/>
          <w:sz w:val="20"/>
          <w:szCs w:val="20"/>
        </w:rPr>
        <w:t>dla celów sportowej rywalizacji i sprawnego przeprowadzenia zawodów</w:t>
      </w:r>
      <w:r w:rsidR="006B7858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Wszystkie pomieszczenia dla zawodników, sędziów i poszczególnych grup niezbędnych do </w:t>
      </w:r>
      <w:r w:rsidR="002645F3">
        <w:rPr>
          <w:rFonts w:ascii="Verdana" w:hAnsi="Verdana"/>
          <w:sz w:val="20"/>
          <w:szCs w:val="20"/>
        </w:rPr>
        <w:t xml:space="preserve">sprawnego </w:t>
      </w:r>
      <w:r>
        <w:rPr>
          <w:rFonts w:ascii="Verdana" w:hAnsi="Verdana"/>
          <w:sz w:val="20"/>
          <w:szCs w:val="20"/>
        </w:rPr>
        <w:t xml:space="preserve">rozegrania zawodów rangi mistrzowskiej powinny być zgodne z przepisami sportowymi europejskiej federacji </w:t>
      </w:r>
      <w:r w:rsidR="001161E6">
        <w:rPr>
          <w:rFonts w:ascii="Verdana" w:hAnsi="Verdana"/>
          <w:sz w:val="20"/>
          <w:szCs w:val="20"/>
        </w:rPr>
        <w:t>i/</w:t>
      </w:r>
      <w:r>
        <w:rPr>
          <w:rFonts w:ascii="Verdana" w:hAnsi="Verdana"/>
          <w:sz w:val="20"/>
          <w:szCs w:val="20"/>
        </w:rPr>
        <w:t>lub uzyskać akceptację Delegata Technicznego</w:t>
      </w:r>
      <w:r w:rsidR="002645F3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w przypadku ewentualnych </w:t>
      </w:r>
      <w:r w:rsidR="001161E6">
        <w:rPr>
          <w:rFonts w:ascii="Verdana" w:hAnsi="Verdana"/>
          <w:sz w:val="20"/>
          <w:szCs w:val="20"/>
        </w:rPr>
        <w:t>od</w:t>
      </w:r>
      <w:r>
        <w:rPr>
          <w:rFonts w:ascii="Verdana" w:hAnsi="Verdana"/>
          <w:sz w:val="20"/>
          <w:szCs w:val="20"/>
        </w:rPr>
        <w:t>stępstw</w:t>
      </w:r>
      <w:r w:rsidR="001161E6">
        <w:rPr>
          <w:rFonts w:ascii="Verdana" w:hAnsi="Verdana"/>
          <w:sz w:val="20"/>
          <w:szCs w:val="20"/>
        </w:rPr>
        <w:t xml:space="preserve"> od przyjętych norm.</w:t>
      </w:r>
    </w:p>
    <w:p w14:paraId="3FD87937" w14:textId="495CB2E7" w:rsidR="004C6DDE" w:rsidRDefault="004C6DDE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Wymagane jest przygotowanie przez Wykonawcę w porozumieniu z </w:t>
      </w:r>
      <w:proofErr w:type="spellStart"/>
      <w:r>
        <w:rPr>
          <w:rFonts w:ascii="Verdana" w:hAnsi="Verdana"/>
          <w:sz w:val="20"/>
          <w:szCs w:val="20"/>
        </w:rPr>
        <w:t>Competition</w:t>
      </w:r>
      <w:proofErr w:type="spellEnd"/>
      <w:r>
        <w:rPr>
          <w:rFonts w:ascii="Verdana" w:hAnsi="Verdana"/>
          <w:sz w:val="20"/>
          <w:szCs w:val="20"/>
        </w:rPr>
        <w:t xml:space="preserve"> Managerem niezbędnych stref na obiekcie (</w:t>
      </w:r>
      <w:r w:rsidR="002645F3">
        <w:rPr>
          <w:rFonts w:ascii="Verdana" w:hAnsi="Verdana"/>
          <w:sz w:val="20"/>
          <w:szCs w:val="20"/>
        </w:rPr>
        <w:t xml:space="preserve">m.in. </w:t>
      </w:r>
      <w:r>
        <w:rPr>
          <w:rFonts w:ascii="Verdana" w:hAnsi="Verdana"/>
          <w:sz w:val="20"/>
          <w:szCs w:val="20"/>
        </w:rPr>
        <w:t xml:space="preserve">strefa </w:t>
      </w:r>
      <w:proofErr w:type="spellStart"/>
      <w:r>
        <w:rPr>
          <w:rFonts w:ascii="Verdana" w:hAnsi="Verdana"/>
          <w:sz w:val="20"/>
          <w:szCs w:val="20"/>
        </w:rPr>
        <w:t>mediowa</w:t>
      </w:r>
      <w:proofErr w:type="spellEnd"/>
      <w:r>
        <w:rPr>
          <w:rFonts w:ascii="Verdana" w:hAnsi="Verdana"/>
          <w:sz w:val="20"/>
          <w:szCs w:val="20"/>
        </w:rPr>
        <w:t xml:space="preserve">, mix </w:t>
      </w:r>
      <w:proofErr w:type="spellStart"/>
      <w:r>
        <w:rPr>
          <w:rFonts w:ascii="Verdana" w:hAnsi="Verdana"/>
          <w:sz w:val="20"/>
          <w:szCs w:val="20"/>
        </w:rPr>
        <w:t>zone</w:t>
      </w:r>
      <w:proofErr w:type="spellEnd"/>
      <w:r w:rsidR="005E64EE">
        <w:rPr>
          <w:rFonts w:ascii="Verdana" w:hAnsi="Verdana"/>
          <w:sz w:val="20"/>
          <w:szCs w:val="20"/>
        </w:rPr>
        <w:t xml:space="preserve"> zgodnie z informacją z Załącznika nr 1</w:t>
      </w:r>
      <w:r w:rsidR="00D42F24">
        <w:rPr>
          <w:rFonts w:ascii="Verdana" w:hAnsi="Verdana"/>
          <w:sz w:val="20"/>
          <w:szCs w:val="20"/>
        </w:rPr>
        <w:t>).</w:t>
      </w:r>
    </w:p>
    <w:p w14:paraId="7D8A17CA" w14:textId="4B5C2399" w:rsidR="00835524" w:rsidRDefault="00835524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Integralną częścią obsługi sportowej wydarzenia jest przygotowanie stanowiska Sport Information </w:t>
      </w:r>
      <w:proofErr w:type="spellStart"/>
      <w:r>
        <w:rPr>
          <w:rFonts w:ascii="Verdana" w:hAnsi="Verdana"/>
          <w:sz w:val="20"/>
          <w:szCs w:val="20"/>
        </w:rPr>
        <w:t>Desk</w:t>
      </w:r>
      <w:proofErr w:type="spellEnd"/>
      <w:r>
        <w:rPr>
          <w:rFonts w:ascii="Verdana" w:hAnsi="Verdana"/>
          <w:sz w:val="20"/>
          <w:szCs w:val="20"/>
        </w:rPr>
        <w:t xml:space="preserve"> (SID) na obiekcie oraz Sport Information Centre (w </w:t>
      </w:r>
      <w:r w:rsidR="002645F3">
        <w:rPr>
          <w:rFonts w:ascii="Verdana" w:hAnsi="Verdana"/>
          <w:sz w:val="20"/>
          <w:szCs w:val="20"/>
        </w:rPr>
        <w:t xml:space="preserve">każdym z </w:t>
      </w:r>
      <w:r>
        <w:rPr>
          <w:rFonts w:ascii="Verdana" w:hAnsi="Verdana"/>
          <w:sz w:val="20"/>
          <w:szCs w:val="20"/>
        </w:rPr>
        <w:t>oficjalny</w:t>
      </w:r>
      <w:r w:rsidR="002645F3">
        <w:rPr>
          <w:rFonts w:ascii="Verdana" w:hAnsi="Verdana"/>
          <w:sz w:val="20"/>
          <w:szCs w:val="20"/>
        </w:rPr>
        <w:t>ch</w:t>
      </w:r>
      <w:r>
        <w:rPr>
          <w:rFonts w:ascii="Verdana" w:hAnsi="Verdana"/>
          <w:sz w:val="20"/>
          <w:szCs w:val="20"/>
        </w:rPr>
        <w:t xml:space="preserve"> hotel</w:t>
      </w:r>
      <w:r w:rsidR="002645F3">
        <w:rPr>
          <w:rFonts w:ascii="Verdana" w:hAnsi="Verdana"/>
          <w:sz w:val="20"/>
          <w:szCs w:val="20"/>
        </w:rPr>
        <w:t>i</w:t>
      </w:r>
      <w:r>
        <w:rPr>
          <w:rFonts w:ascii="Verdana" w:hAnsi="Verdana"/>
          <w:sz w:val="20"/>
          <w:szCs w:val="20"/>
        </w:rPr>
        <w:t xml:space="preserve"> dla zawodników), gdzie będą dystrybuowane najważniejsze informacje o wydarzeniu m.in. takie jak: listy startowe, wyniki zawodów, zapisy na treningi. Szczegółowy zakres działań i czas obsługi stanowisk SID i SIC przez przeszkolonych wolontariuszy będzie ustalony w porozumieniu z </w:t>
      </w:r>
      <w:proofErr w:type="spellStart"/>
      <w:r>
        <w:rPr>
          <w:rFonts w:ascii="Verdana" w:hAnsi="Verdana"/>
          <w:sz w:val="20"/>
          <w:szCs w:val="20"/>
        </w:rPr>
        <w:t>Competition</w:t>
      </w:r>
      <w:proofErr w:type="spellEnd"/>
      <w:r>
        <w:rPr>
          <w:rFonts w:ascii="Verdana" w:hAnsi="Verdana"/>
          <w:sz w:val="20"/>
          <w:szCs w:val="20"/>
        </w:rPr>
        <w:t xml:space="preserve"> Managerem zawodów.</w:t>
      </w:r>
      <w:r w:rsidR="006B7858">
        <w:rPr>
          <w:rFonts w:ascii="Verdana" w:hAnsi="Verdana"/>
          <w:sz w:val="20"/>
          <w:szCs w:val="20"/>
        </w:rPr>
        <w:t xml:space="preserve"> Niezbędnym wyposażeniem stanowisk jest </w:t>
      </w:r>
      <w:r w:rsidR="009A50C6">
        <w:rPr>
          <w:rFonts w:ascii="Verdana" w:hAnsi="Verdana"/>
          <w:sz w:val="20"/>
          <w:szCs w:val="20"/>
        </w:rPr>
        <w:t xml:space="preserve">komputer z dostępem do </w:t>
      </w:r>
      <w:proofErr w:type="spellStart"/>
      <w:r w:rsidR="009A50C6">
        <w:rPr>
          <w:rFonts w:ascii="Verdana" w:hAnsi="Verdana"/>
          <w:sz w:val="20"/>
          <w:szCs w:val="20"/>
        </w:rPr>
        <w:t>internetu</w:t>
      </w:r>
      <w:proofErr w:type="spellEnd"/>
      <w:r w:rsidR="002645F3">
        <w:rPr>
          <w:rFonts w:ascii="Verdana" w:hAnsi="Verdana"/>
          <w:sz w:val="20"/>
          <w:szCs w:val="20"/>
        </w:rPr>
        <w:t xml:space="preserve"> (WIFI, LAN)</w:t>
      </w:r>
      <w:r w:rsidR="009A50C6">
        <w:rPr>
          <w:rFonts w:ascii="Verdana" w:hAnsi="Verdana"/>
          <w:sz w:val="20"/>
          <w:szCs w:val="20"/>
        </w:rPr>
        <w:t xml:space="preserve"> i korzystania z drukarki.</w:t>
      </w:r>
    </w:p>
    <w:p w14:paraId="427A57FB" w14:textId="5F9E29A9" w:rsidR="00743CBA" w:rsidRDefault="005F748E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Wymagana o</w:t>
      </w:r>
      <w:r w:rsidR="00482445">
        <w:rPr>
          <w:rFonts w:ascii="Verdana" w:hAnsi="Verdana"/>
          <w:sz w:val="20"/>
          <w:szCs w:val="20"/>
        </w:rPr>
        <w:t xml:space="preserve">pieka medyczna dla zawodników </w:t>
      </w:r>
      <w:r>
        <w:rPr>
          <w:rFonts w:ascii="Verdana" w:hAnsi="Verdana"/>
          <w:sz w:val="20"/>
          <w:szCs w:val="20"/>
        </w:rPr>
        <w:t xml:space="preserve">podczas treningów i przebiegu zawodów wynikająca z </w:t>
      </w:r>
      <w:r w:rsidR="00482445">
        <w:rPr>
          <w:rFonts w:ascii="Verdana" w:hAnsi="Verdana"/>
          <w:sz w:val="20"/>
          <w:szCs w:val="20"/>
        </w:rPr>
        <w:t>przepis</w:t>
      </w:r>
      <w:r>
        <w:rPr>
          <w:rFonts w:ascii="Verdana" w:hAnsi="Verdana"/>
          <w:sz w:val="20"/>
          <w:szCs w:val="20"/>
        </w:rPr>
        <w:t>ów sportowych powinna być zapewniona przez Wykonawcę.</w:t>
      </w:r>
      <w:r w:rsidR="00743CBA">
        <w:rPr>
          <w:rFonts w:ascii="Verdana" w:hAnsi="Verdana"/>
          <w:sz w:val="20"/>
          <w:szCs w:val="20"/>
        </w:rPr>
        <w:t xml:space="preserve"> </w:t>
      </w:r>
      <w:r w:rsidR="009A50C6">
        <w:rPr>
          <w:rFonts w:ascii="Verdana" w:hAnsi="Verdana"/>
          <w:sz w:val="20"/>
          <w:szCs w:val="20"/>
        </w:rPr>
        <w:t>Obligatoryjny</w:t>
      </w:r>
      <w:r w:rsidR="00743CBA">
        <w:rPr>
          <w:rFonts w:ascii="Verdana" w:hAnsi="Verdana"/>
          <w:sz w:val="20"/>
          <w:szCs w:val="20"/>
        </w:rPr>
        <w:t xml:space="preserve"> jest </w:t>
      </w:r>
      <w:r w:rsidR="002645F3">
        <w:rPr>
          <w:rFonts w:ascii="Verdana" w:hAnsi="Verdana"/>
          <w:sz w:val="20"/>
          <w:szCs w:val="20"/>
        </w:rPr>
        <w:t xml:space="preserve">swobodny </w:t>
      </w:r>
      <w:r w:rsidR="00743CBA">
        <w:rPr>
          <w:rFonts w:ascii="Verdana" w:hAnsi="Verdana"/>
          <w:sz w:val="20"/>
          <w:szCs w:val="20"/>
        </w:rPr>
        <w:t>dostęp</w:t>
      </w:r>
      <w:r w:rsidR="009A50C6">
        <w:rPr>
          <w:rFonts w:ascii="Verdana" w:hAnsi="Verdana"/>
          <w:sz w:val="20"/>
          <w:szCs w:val="20"/>
        </w:rPr>
        <w:t xml:space="preserve"> do lodu</w:t>
      </w:r>
      <w:r w:rsidR="00743CBA">
        <w:rPr>
          <w:rFonts w:ascii="Verdana" w:hAnsi="Verdana"/>
          <w:sz w:val="20"/>
          <w:szCs w:val="20"/>
        </w:rPr>
        <w:t xml:space="preserve"> przez </w:t>
      </w:r>
      <w:r w:rsidR="009A50C6">
        <w:rPr>
          <w:rFonts w:ascii="Verdana" w:hAnsi="Verdana"/>
          <w:sz w:val="20"/>
          <w:szCs w:val="20"/>
        </w:rPr>
        <w:t>zawodników</w:t>
      </w:r>
      <w:r w:rsidR="00743CBA">
        <w:rPr>
          <w:rFonts w:ascii="Verdana" w:hAnsi="Verdana"/>
          <w:sz w:val="20"/>
          <w:szCs w:val="20"/>
        </w:rPr>
        <w:t xml:space="preserve"> podczas </w:t>
      </w:r>
      <w:r w:rsidR="009A50C6">
        <w:rPr>
          <w:rFonts w:ascii="Verdana" w:hAnsi="Verdana"/>
          <w:sz w:val="20"/>
          <w:szCs w:val="20"/>
        </w:rPr>
        <w:t xml:space="preserve">trwania </w:t>
      </w:r>
      <w:r w:rsidR="00743CBA">
        <w:rPr>
          <w:rFonts w:ascii="Verdana" w:hAnsi="Verdana"/>
          <w:sz w:val="20"/>
          <w:szCs w:val="20"/>
        </w:rPr>
        <w:t>zawodów i treningów.</w:t>
      </w:r>
    </w:p>
    <w:p w14:paraId="37860AB8" w14:textId="4A4D5EAA" w:rsidR="00D42F24" w:rsidRDefault="00D42F24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proofErr w:type="spellStart"/>
      <w:r>
        <w:rPr>
          <w:rFonts w:ascii="Verdana" w:hAnsi="Verdana"/>
          <w:sz w:val="20"/>
          <w:szCs w:val="20"/>
        </w:rPr>
        <w:t>Branding</w:t>
      </w:r>
      <w:proofErr w:type="spellEnd"/>
      <w:r>
        <w:rPr>
          <w:rFonts w:ascii="Verdana" w:hAnsi="Verdana"/>
          <w:sz w:val="20"/>
          <w:szCs w:val="20"/>
        </w:rPr>
        <w:t xml:space="preserve"> zewnętrzny i wewnętrzny obiektu zostanie wyprodukowany przez Zamawiającego w oparciu o przedstawione wymiary infrastruktury stałej i tymczasowej</w:t>
      </w:r>
      <w:r w:rsidR="005E64EE">
        <w:rPr>
          <w:rFonts w:ascii="Verdana" w:hAnsi="Verdana"/>
          <w:sz w:val="20"/>
          <w:szCs w:val="20"/>
        </w:rPr>
        <w:t xml:space="preserve">. </w:t>
      </w:r>
      <w:r w:rsidR="005E64EE" w:rsidRPr="005E64EE">
        <w:rPr>
          <w:rFonts w:ascii="Verdana" w:hAnsi="Verdana"/>
          <w:sz w:val="20"/>
          <w:szCs w:val="20"/>
        </w:rPr>
        <w:t xml:space="preserve">Wykonawca </w:t>
      </w:r>
      <w:r w:rsidR="005E64EE">
        <w:rPr>
          <w:rFonts w:ascii="Verdana" w:hAnsi="Verdana"/>
          <w:sz w:val="20"/>
          <w:szCs w:val="20"/>
        </w:rPr>
        <w:t xml:space="preserve">jest zobowiązany </w:t>
      </w:r>
      <w:r w:rsidR="005E64EE" w:rsidRPr="005E64EE">
        <w:rPr>
          <w:rFonts w:ascii="Verdana" w:hAnsi="Verdana"/>
          <w:sz w:val="20"/>
          <w:szCs w:val="20"/>
        </w:rPr>
        <w:t xml:space="preserve">wskazać </w:t>
      </w:r>
      <w:r w:rsidR="005E64EE">
        <w:rPr>
          <w:rFonts w:ascii="Verdana" w:hAnsi="Verdana"/>
          <w:sz w:val="20"/>
          <w:szCs w:val="20"/>
        </w:rPr>
        <w:t>swojego przedstawiciela,</w:t>
      </w:r>
      <w:r w:rsidR="005E64EE" w:rsidRPr="005E64EE">
        <w:rPr>
          <w:rFonts w:ascii="Verdana" w:hAnsi="Verdana"/>
          <w:sz w:val="20"/>
          <w:szCs w:val="20"/>
        </w:rPr>
        <w:t xml:space="preserve"> któr</w:t>
      </w:r>
      <w:r w:rsidR="005E64EE">
        <w:rPr>
          <w:rFonts w:ascii="Verdana" w:hAnsi="Verdana"/>
          <w:sz w:val="20"/>
          <w:szCs w:val="20"/>
        </w:rPr>
        <w:t>y</w:t>
      </w:r>
      <w:r w:rsidR="005E64EE" w:rsidRPr="005E64EE">
        <w:rPr>
          <w:rFonts w:ascii="Verdana" w:hAnsi="Verdana"/>
          <w:sz w:val="20"/>
          <w:szCs w:val="20"/>
        </w:rPr>
        <w:t xml:space="preserve"> będzie uczestniczył w pomiarach </w:t>
      </w:r>
      <w:r w:rsidR="005E64EE">
        <w:rPr>
          <w:rFonts w:ascii="Verdana" w:hAnsi="Verdana"/>
          <w:sz w:val="20"/>
          <w:szCs w:val="20"/>
        </w:rPr>
        <w:br/>
      </w:r>
      <w:r w:rsidR="005E64EE" w:rsidRPr="005E64EE">
        <w:rPr>
          <w:rFonts w:ascii="Verdana" w:hAnsi="Verdana"/>
          <w:sz w:val="20"/>
          <w:szCs w:val="20"/>
        </w:rPr>
        <w:t>i wspólnie z Zamawiającym ustali ilości i umiejscow</w:t>
      </w:r>
      <w:r w:rsidR="005E64EE">
        <w:rPr>
          <w:rFonts w:ascii="Verdana" w:hAnsi="Verdana"/>
          <w:sz w:val="20"/>
          <w:szCs w:val="20"/>
        </w:rPr>
        <w:t>ie</w:t>
      </w:r>
      <w:r w:rsidR="005E64EE" w:rsidRPr="005E64EE">
        <w:rPr>
          <w:rFonts w:ascii="Verdana" w:hAnsi="Verdana"/>
          <w:sz w:val="20"/>
          <w:szCs w:val="20"/>
        </w:rPr>
        <w:t xml:space="preserve">nie </w:t>
      </w:r>
      <w:proofErr w:type="spellStart"/>
      <w:r w:rsidR="005E64EE" w:rsidRPr="005E64EE">
        <w:rPr>
          <w:rFonts w:ascii="Verdana" w:hAnsi="Verdana"/>
          <w:sz w:val="20"/>
          <w:szCs w:val="20"/>
        </w:rPr>
        <w:t>brandingu</w:t>
      </w:r>
      <w:proofErr w:type="spellEnd"/>
      <w:r w:rsidR="005E64EE" w:rsidRPr="005E64EE">
        <w:rPr>
          <w:rFonts w:ascii="Verdana" w:hAnsi="Verdana"/>
          <w:sz w:val="20"/>
          <w:szCs w:val="20"/>
        </w:rPr>
        <w:t xml:space="preserve"> zewnętrznego i wewnętrznego obiektu. Zamawiając</w:t>
      </w:r>
      <w:r w:rsidR="005E64EE">
        <w:rPr>
          <w:rFonts w:ascii="Verdana" w:hAnsi="Verdana"/>
          <w:sz w:val="20"/>
          <w:szCs w:val="20"/>
        </w:rPr>
        <w:t>y</w:t>
      </w:r>
      <w:r w:rsidR="005E64EE" w:rsidRPr="005E64EE">
        <w:rPr>
          <w:rFonts w:ascii="Verdana" w:hAnsi="Verdana"/>
          <w:sz w:val="20"/>
          <w:szCs w:val="20"/>
        </w:rPr>
        <w:t xml:space="preserve"> przejmuje pełną odpowiedzialność za montaż, demontaż oraz utylizację </w:t>
      </w:r>
      <w:proofErr w:type="spellStart"/>
      <w:r w:rsidR="005E64EE">
        <w:rPr>
          <w:rFonts w:ascii="Verdana" w:hAnsi="Verdana"/>
          <w:sz w:val="20"/>
          <w:szCs w:val="20"/>
        </w:rPr>
        <w:t>brandingu</w:t>
      </w:r>
      <w:proofErr w:type="spellEnd"/>
      <w:r w:rsidR="005E64EE">
        <w:rPr>
          <w:rFonts w:ascii="Verdana" w:hAnsi="Verdana"/>
          <w:sz w:val="20"/>
          <w:szCs w:val="20"/>
        </w:rPr>
        <w:t>.</w:t>
      </w:r>
      <w:r>
        <w:rPr>
          <w:rFonts w:ascii="Verdana" w:hAnsi="Verdana"/>
          <w:sz w:val="20"/>
          <w:szCs w:val="20"/>
        </w:rPr>
        <w:t xml:space="preserve"> </w:t>
      </w:r>
    </w:p>
    <w:p w14:paraId="30EBDB6A" w14:textId="54E29B0A" w:rsidR="002C65BA" w:rsidRPr="005E64EE" w:rsidRDefault="002C65BA" w:rsidP="002C65BA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5E64EE">
        <w:rPr>
          <w:rFonts w:ascii="Verdana" w:hAnsi="Verdana"/>
          <w:sz w:val="20"/>
          <w:szCs w:val="20"/>
        </w:rPr>
        <w:t>Wymagana jest dedykowana, zamykana na klucz, przestrzeń biurowa na zorganizowanie Centrum Akredytacji. Dopuszczalna jest przestrzeń wewnątrz budynku, jednak wymogiem jest, aby taka przestrzeń była blisko wejścia / wyjścia, aby zapewnić swobodną komunikacja i przepływ ludzi z zewnątrz, unikając wchodzenia na obiekt, poza wskazane strefy osób bez akredytacji. Dopuszczalna jest otwarta przestrzeń (niezamykana), w tym przypadku konieczne jest dostarczenie szafy na przechowywanie sprzętu elektronicznego oraz dokumentów po zakończeniu działań operacyjnych danego dnia</w:t>
      </w:r>
      <w:r w:rsidR="00DC26E6">
        <w:rPr>
          <w:rFonts w:ascii="Verdana" w:hAnsi="Verdana"/>
          <w:sz w:val="20"/>
          <w:szCs w:val="20"/>
        </w:rPr>
        <w:t xml:space="preserve">, przykładowe wyposażenie - </w:t>
      </w:r>
      <w:r w:rsidR="002645F3">
        <w:rPr>
          <w:rFonts w:ascii="Verdana" w:hAnsi="Verdana"/>
          <w:sz w:val="20"/>
          <w:szCs w:val="20"/>
        </w:rPr>
        <w:t>zgodnie z opisem Załącznika nr 1</w:t>
      </w:r>
      <w:r w:rsidR="00DC26E6">
        <w:rPr>
          <w:rFonts w:ascii="Verdana" w:hAnsi="Verdana"/>
          <w:sz w:val="20"/>
          <w:szCs w:val="20"/>
        </w:rPr>
        <w:t xml:space="preserve"> do OPZ.</w:t>
      </w:r>
    </w:p>
    <w:p w14:paraId="634D4906" w14:textId="77777777" w:rsidR="002C65BA" w:rsidRPr="005E64EE" w:rsidRDefault="002C65BA" w:rsidP="002C65BA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5E64EE">
        <w:rPr>
          <w:rFonts w:ascii="Verdana" w:hAnsi="Verdana"/>
          <w:sz w:val="20"/>
          <w:szCs w:val="20"/>
        </w:rPr>
        <w:t>Ponadto, wykonawca zobowiązuje się do wyposażenia takiej przestrzeni (Centrum Akredytacji) w niezbędne meble do prowadzenia działań operacyjnych.</w:t>
      </w:r>
    </w:p>
    <w:p w14:paraId="704DE603" w14:textId="365177E1" w:rsidR="002C65BA" w:rsidRDefault="002C65BA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5E64EE">
        <w:rPr>
          <w:rFonts w:ascii="Verdana" w:hAnsi="Verdana"/>
          <w:sz w:val="20"/>
          <w:szCs w:val="20"/>
        </w:rPr>
        <w:lastRenderedPageBreak/>
        <w:t>A także zobowiązuje się do wyposażenia takiej przestrzeni w dostęp do Internetu (</w:t>
      </w:r>
      <w:proofErr w:type="spellStart"/>
      <w:r w:rsidRPr="005E64EE">
        <w:rPr>
          <w:rFonts w:ascii="Verdana" w:hAnsi="Verdana"/>
          <w:sz w:val="20"/>
          <w:szCs w:val="20"/>
        </w:rPr>
        <w:t>WiFi</w:t>
      </w:r>
      <w:proofErr w:type="spellEnd"/>
      <w:r w:rsidRPr="005E64EE">
        <w:rPr>
          <w:rFonts w:ascii="Verdana" w:hAnsi="Verdana"/>
          <w:sz w:val="20"/>
          <w:szCs w:val="20"/>
        </w:rPr>
        <w:t>, LAN).</w:t>
      </w:r>
    </w:p>
    <w:p w14:paraId="18429D7D" w14:textId="77777777" w:rsidR="00887323" w:rsidRPr="00887323" w:rsidRDefault="00887323" w:rsidP="0088732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887323">
        <w:rPr>
          <w:rFonts w:ascii="Verdana" w:hAnsi="Verdana"/>
          <w:sz w:val="20"/>
          <w:szCs w:val="20"/>
        </w:rPr>
        <w:t>W przypadku organizacji imprezy masowej konieczne jest spełnienie wymagań określonych w ustawie z dnia 20 marca 2009 r. o bezpieczeństwie imprez masowych (Dz. U. z 2022 r. poz. 1466, 1700).</w:t>
      </w:r>
    </w:p>
    <w:p w14:paraId="4EA08FB6" w14:textId="3C65BDE4" w:rsidR="00887323" w:rsidRPr="00887323" w:rsidRDefault="00887323" w:rsidP="0088732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887323">
        <w:rPr>
          <w:rFonts w:ascii="Verdana" w:hAnsi="Verdana"/>
          <w:sz w:val="20"/>
          <w:szCs w:val="20"/>
        </w:rPr>
        <w:t>W przypadku organizacji imprezy o charakterze niemasowym, zapewnienie służb ochrony, w celu zapewnienia kontroli wejść/wyjść, wjazdu/wyjazdu, a przede wszystkim w celu organizacji sprawnej ewakuacji w przypadku wystąpienia zagrożenia, rekomendowana liczba członków służb ochrony, ni</w:t>
      </w:r>
      <w:r>
        <w:rPr>
          <w:rFonts w:ascii="Verdana" w:hAnsi="Verdana"/>
          <w:sz w:val="20"/>
          <w:szCs w:val="20"/>
        </w:rPr>
        <w:t>e</w:t>
      </w:r>
      <w:r w:rsidRPr="00887323">
        <w:rPr>
          <w:rFonts w:ascii="Verdana" w:hAnsi="Verdana"/>
          <w:sz w:val="20"/>
          <w:szCs w:val="20"/>
        </w:rPr>
        <w:t xml:space="preserve"> mniej niż 10.</w:t>
      </w:r>
    </w:p>
    <w:p w14:paraId="00B62804" w14:textId="77777777" w:rsidR="00887323" w:rsidRPr="00887323" w:rsidRDefault="00887323" w:rsidP="0088732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887323">
        <w:rPr>
          <w:rFonts w:ascii="Verdana" w:hAnsi="Verdana"/>
          <w:sz w:val="20"/>
          <w:szCs w:val="20"/>
        </w:rPr>
        <w:t>Niezbędne jest spełnienie wszelkich warunków wynikających z przepisów z zakresów: prawa budowlanego i ochrony przeciwpożarowej.</w:t>
      </w:r>
    </w:p>
    <w:p w14:paraId="6729CE55" w14:textId="77777777" w:rsidR="00887323" w:rsidRPr="00887323" w:rsidRDefault="00887323" w:rsidP="0088732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887323">
        <w:rPr>
          <w:rFonts w:ascii="Verdana" w:hAnsi="Verdana"/>
          <w:sz w:val="20"/>
          <w:szCs w:val="20"/>
        </w:rPr>
        <w:t>W przypadku organizacji imprezy masowej, zabezpieczenie medyczne powinno być zorganizowane zgodnie z Rozporządzeniem Ministra Zdrowia z dnia 6 lutego 2012 r. w sprawie minimalnych wymagań dotyczących zabezpieczenia pod względem medycznym imprezy masowej.</w:t>
      </w:r>
    </w:p>
    <w:p w14:paraId="230504FA" w14:textId="2632B922" w:rsidR="00887323" w:rsidRPr="005E64EE" w:rsidRDefault="00887323" w:rsidP="00887323">
      <w:pPr>
        <w:spacing w:line="240" w:lineRule="auto"/>
        <w:jc w:val="both"/>
        <w:rPr>
          <w:rFonts w:ascii="Verdana" w:hAnsi="Verdana"/>
          <w:sz w:val="20"/>
          <w:szCs w:val="20"/>
        </w:rPr>
      </w:pPr>
      <w:r w:rsidRPr="00887323">
        <w:rPr>
          <w:rFonts w:ascii="Verdana" w:hAnsi="Verdana"/>
          <w:sz w:val="20"/>
          <w:szCs w:val="20"/>
        </w:rPr>
        <w:t>Taki sam poziom zabezpieczenia rekomenduje się w przypadku imprezy o charakterze niemasowym</w:t>
      </w:r>
      <w:r>
        <w:rPr>
          <w:rFonts w:ascii="Verdana" w:hAnsi="Verdana"/>
          <w:sz w:val="20"/>
          <w:szCs w:val="20"/>
        </w:rPr>
        <w:t>.</w:t>
      </w:r>
    </w:p>
    <w:p w14:paraId="1CA74FE3" w14:textId="77777777" w:rsidR="006B7858" w:rsidRDefault="006B7858" w:rsidP="001C6965">
      <w:pPr>
        <w:spacing w:line="240" w:lineRule="auto"/>
        <w:jc w:val="both"/>
        <w:rPr>
          <w:rFonts w:ascii="Verdana" w:hAnsi="Verdana"/>
          <w:sz w:val="20"/>
          <w:szCs w:val="20"/>
        </w:rPr>
      </w:pPr>
    </w:p>
    <w:p w14:paraId="2E42E7AB" w14:textId="77777777" w:rsidR="009877B1" w:rsidRPr="00DB4943" w:rsidRDefault="009877B1" w:rsidP="001C6965">
      <w:pPr>
        <w:spacing w:line="240" w:lineRule="auto"/>
        <w:jc w:val="both"/>
        <w:rPr>
          <w:b/>
          <w:bCs/>
          <w:i/>
          <w:iCs/>
        </w:rPr>
      </w:pPr>
    </w:p>
    <w:sectPr w:rsidR="009877B1" w:rsidRPr="00DB4943" w:rsidSect="00E1468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B641D" w14:textId="77777777" w:rsidR="00DC3E27" w:rsidRDefault="00DC3E27" w:rsidP="00A80D79">
      <w:pPr>
        <w:spacing w:after="0" w:line="240" w:lineRule="auto"/>
      </w:pPr>
      <w:r>
        <w:separator/>
      </w:r>
    </w:p>
  </w:endnote>
  <w:endnote w:type="continuationSeparator" w:id="0">
    <w:p w14:paraId="617D9E26" w14:textId="77777777" w:rsidR="00DC3E27" w:rsidRDefault="00DC3E27" w:rsidP="00A80D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ontserrat Light">
    <w:altName w:val="Montserrat Light"/>
    <w:charset w:val="EE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25D88F" w14:textId="77777777" w:rsidR="0077319E" w:rsidRDefault="0077319E">
    <w:pPr>
      <w:pStyle w:val="Stopka"/>
      <w:jc w:val="right"/>
    </w:pPr>
  </w:p>
  <w:p w14:paraId="4AF1BA3E" w14:textId="77777777" w:rsidR="0077319E" w:rsidRDefault="0077319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14:paraId="3682C3A0" w14:textId="77777777" w:rsidR="0077319E" w:rsidRDefault="007731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0"/>
      <w:gridCol w:w="3210"/>
      <w:gridCol w:w="3210"/>
    </w:tblGrid>
    <w:tr w:rsidR="0077319E" w14:paraId="4767B92B" w14:textId="77777777">
      <w:trPr>
        <w:trHeight w:val="300"/>
      </w:trPr>
      <w:tc>
        <w:tcPr>
          <w:tcW w:w="321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FF718E3" w14:textId="77777777" w:rsidR="0077319E" w:rsidRDefault="0077319E">
          <w:pPr>
            <w:pStyle w:val="Nagwek"/>
            <w:ind w:left="-115"/>
          </w:pPr>
        </w:p>
      </w:tc>
      <w:tc>
        <w:tcPr>
          <w:tcW w:w="321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582B253" w14:textId="77777777" w:rsidR="0077319E" w:rsidRDefault="0077319E">
          <w:pPr>
            <w:pStyle w:val="Nagwek"/>
            <w:jc w:val="center"/>
          </w:pPr>
        </w:p>
      </w:tc>
      <w:tc>
        <w:tcPr>
          <w:tcW w:w="321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2000FB7" w14:textId="77777777" w:rsidR="0077319E" w:rsidRDefault="0077319E">
          <w:pPr>
            <w:pStyle w:val="Nagwek"/>
            <w:ind w:right="-115"/>
            <w:jc w:val="right"/>
          </w:pPr>
        </w:p>
      </w:tc>
    </w:tr>
  </w:tbl>
  <w:p w14:paraId="713790B8" w14:textId="77777777" w:rsidR="0077319E" w:rsidRDefault="007731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0E8E85" w14:textId="77777777" w:rsidR="00DC3E27" w:rsidRDefault="00DC3E27" w:rsidP="00A80D79">
      <w:pPr>
        <w:spacing w:after="0" w:line="240" w:lineRule="auto"/>
      </w:pPr>
      <w:r>
        <w:separator/>
      </w:r>
    </w:p>
  </w:footnote>
  <w:footnote w:type="continuationSeparator" w:id="0">
    <w:p w14:paraId="3B996820" w14:textId="77777777" w:rsidR="00DC3E27" w:rsidRDefault="00DC3E27" w:rsidP="00A80D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3667F6" w14:textId="77777777" w:rsidR="0077319E" w:rsidRDefault="0077319E">
    <w:pPr>
      <w:rPr>
        <w:rFonts w:ascii="Montserrat Light" w:hAnsi="Montserrat Light"/>
      </w:rPr>
    </w:pPr>
  </w:p>
  <w:p w14:paraId="0C3F1C4A" w14:textId="77777777" w:rsidR="0077319E" w:rsidRDefault="0077319E">
    <w:pPr>
      <w:rPr>
        <w:rFonts w:ascii="Montserrat Light" w:hAnsi="Montserrat Light"/>
      </w:rPr>
    </w:pPr>
  </w:p>
  <w:p w14:paraId="6C2D0724" w14:textId="77777777" w:rsidR="0077319E" w:rsidRDefault="0077319E">
    <w:pPr>
      <w:rPr>
        <w:rFonts w:ascii="Montserrat Light" w:hAnsi="Montserrat Light"/>
        <w:sz w:val="21"/>
        <w:szCs w:val="21"/>
      </w:rPr>
    </w:pPr>
  </w:p>
  <w:p w14:paraId="1677DC21" w14:textId="77777777" w:rsidR="0077319E" w:rsidRDefault="007731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0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3210"/>
      <w:gridCol w:w="3210"/>
      <w:gridCol w:w="3210"/>
    </w:tblGrid>
    <w:tr w:rsidR="0077319E" w14:paraId="7135578A" w14:textId="77777777">
      <w:trPr>
        <w:trHeight w:val="300"/>
      </w:trPr>
      <w:tc>
        <w:tcPr>
          <w:tcW w:w="321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22A9B8A" w14:textId="77777777" w:rsidR="0077319E" w:rsidRDefault="0077319E">
          <w:pPr>
            <w:pStyle w:val="Nagwek"/>
            <w:ind w:left="-115"/>
          </w:pPr>
        </w:p>
      </w:tc>
      <w:tc>
        <w:tcPr>
          <w:tcW w:w="321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79DE74E" w14:textId="77777777" w:rsidR="0077319E" w:rsidRDefault="0077319E">
          <w:pPr>
            <w:pStyle w:val="Nagwek"/>
            <w:jc w:val="center"/>
          </w:pPr>
        </w:p>
      </w:tc>
      <w:tc>
        <w:tcPr>
          <w:tcW w:w="3210" w:type="dxa"/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7FBF83EF" w14:textId="77777777" w:rsidR="0077319E" w:rsidRDefault="0077319E">
          <w:pPr>
            <w:pStyle w:val="Nagwek"/>
            <w:ind w:right="-115"/>
            <w:jc w:val="right"/>
          </w:pPr>
        </w:p>
      </w:tc>
    </w:tr>
  </w:tbl>
  <w:p w14:paraId="266C42BE" w14:textId="77777777" w:rsidR="0077319E" w:rsidRDefault="007731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44C3"/>
    <w:multiLevelType w:val="multilevel"/>
    <w:tmpl w:val="754E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2C56348"/>
    <w:multiLevelType w:val="hybridMultilevel"/>
    <w:tmpl w:val="06F2CD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235841"/>
    <w:multiLevelType w:val="multilevel"/>
    <w:tmpl w:val="7FB27870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19485C"/>
    <w:multiLevelType w:val="multilevel"/>
    <w:tmpl w:val="B4361EEA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068B3AB7"/>
    <w:multiLevelType w:val="multilevel"/>
    <w:tmpl w:val="35E86FA6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201326"/>
    <w:multiLevelType w:val="multilevel"/>
    <w:tmpl w:val="4D040DA0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89" w:hanging="78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89" w:hanging="7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1C243FBF"/>
    <w:multiLevelType w:val="hybridMultilevel"/>
    <w:tmpl w:val="98023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5278A1"/>
    <w:multiLevelType w:val="hybridMultilevel"/>
    <w:tmpl w:val="A948BC0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9626E"/>
    <w:multiLevelType w:val="hybridMultilevel"/>
    <w:tmpl w:val="B74EAD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E807D9"/>
    <w:multiLevelType w:val="multilevel"/>
    <w:tmpl w:val="84DA2A8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2F1C101C"/>
    <w:multiLevelType w:val="hybridMultilevel"/>
    <w:tmpl w:val="75B4EE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A2E23"/>
    <w:multiLevelType w:val="multilevel"/>
    <w:tmpl w:val="4C56F34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2" w15:restartNumberingAfterBreak="0">
    <w:nsid w:val="44077E39"/>
    <w:multiLevelType w:val="multilevel"/>
    <w:tmpl w:val="3C760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BDA31BB"/>
    <w:multiLevelType w:val="hybridMultilevel"/>
    <w:tmpl w:val="2EACD8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2306F1"/>
    <w:multiLevelType w:val="multilevel"/>
    <w:tmpl w:val="D332E3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A1B597C"/>
    <w:multiLevelType w:val="multilevel"/>
    <w:tmpl w:val="3C760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DB2267D"/>
    <w:multiLevelType w:val="hybridMultilevel"/>
    <w:tmpl w:val="7A14D6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D66EA5"/>
    <w:multiLevelType w:val="hybridMultilevel"/>
    <w:tmpl w:val="11DEDF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462FF5"/>
    <w:multiLevelType w:val="hybridMultilevel"/>
    <w:tmpl w:val="01C646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B3C49"/>
    <w:multiLevelType w:val="hybridMultilevel"/>
    <w:tmpl w:val="613CC9F6"/>
    <w:lvl w:ilvl="0" w:tplc="05480168">
      <w:numFmt w:val="bullet"/>
      <w:lvlText w:val=""/>
      <w:lvlJc w:val="left"/>
      <w:pPr>
        <w:ind w:left="720" w:hanging="360"/>
      </w:pPr>
      <w:rPr>
        <w:rFonts w:ascii="Symbol" w:eastAsia="Times New Roman" w:hAnsi="Symbol" w:cs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8363994">
    <w:abstractNumId w:val="5"/>
  </w:num>
  <w:num w:numId="2" w16cid:durableId="1900167545">
    <w:abstractNumId w:val="3"/>
  </w:num>
  <w:num w:numId="3" w16cid:durableId="1788620323">
    <w:abstractNumId w:val="7"/>
  </w:num>
  <w:num w:numId="4" w16cid:durableId="1819229921">
    <w:abstractNumId w:val="18"/>
  </w:num>
  <w:num w:numId="5" w16cid:durableId="94249496">
    <w:abstractNumId w:val="8"/>
  </w:num>
  <w:num w:numId="6" w16cid:durableId="1435706362">
    <w:abstractNumId w:val="16"/>
  </w:num>
  <w:num w:numId="7" w16cid:durableId="1835802528">
    <w:abstractNumId w:val="19"/>
  </w:num>
  <w:num w:numId="8" w16cid:durableId="1615290796">
    <w:abstractNumId w:val="14"/>
  </w:num>
  <w:num w:numId="9" w16cid:durableId="1592617984">
    <w:abstractNumId w:val="0"/>
  </w:num>
  <w:num w:numId="10" w16cid:durableId="1789272522">
    <w:abstractNumId w:val="11"/>
  </w:num>
  <w:num w:numId="11" w16cid:durableId="1929996217">
    <w:abstractNumId w:val="9"/>
  </w:num>
  <w:num w:numId="12" w16cid:durableId="2080059656">
    <w:abstractNumId w:val="13"/>
  </w:num>
  <w:num w:numId="13" w16cid:durableId="1204748493">
    <w:abstractNumId w:val="1"/>
  </w:num>
  <w:num w:numId="14" w16cid:durableId="1750468681">
    <w:abstractNumId w:val="10"/>
  </w:num>
  <w:num w:numId="15" w16cid:durableId="933436379">
    <w:abstractNumId w:val="17"/>
  </w:num>
  <w:num w:numId="16" w16cid:durableId="991442649">
    <w:abstractNumId w:val="15"/>
  </w:num>
  <w:num w:numId="17" w16cid:durableId="2000771634">
    <w:abstractNumId w:val="4"/>
  </w:num>
  <w:num w:numId="18" w16cid:durableId="1772506451">
    <w:abstractNumId w:val="2"/>
  </w:num>
  <w:num w:numId="19" w16cid:durableId="927884828">
    <w:abstractNumId w:val="12"/>
  </w:num>
  <w:num w:numId="20" w16cid:durableId="21431978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7B1"/>
    <w:rsid w:val="000929B4"/>
    <w:rsid w:val="001161E6"/>
    <w:rsid w:val="00127D20"/>
    <w:rsid w:val="001470CB"/>
    <w:rsid w:val="00170C1B"/>
    <w:rsid w:val="001C6965"/>
    <w:rsid w:val="0022774E"/>
    <w:rsid w:val="002645F3"/>
    <w:rsid w:val="002C65BA"/>
    <w:rsid w:val="0035626E"/>
    <w:rsid w:val="00482445"/>
    <w:rsid w:val="004C6DDE"/>
    <w:rsid w:val="00553B71"/>
    <w:rsid w:val="005B3B4F"/>
    <w:rsid w:val="005E64EE"/>
    <w:rsid w:val="005F748E"/>
    <w:rsid w:val="00680C38"/>
    <w:rsid w:val="006B41AC"/>
    <w:rsid w:val="006B7858"/>
    <w:rsid w:val="006D5DEF"/>
    <w:rsid w:val="00743CBA"/>
    <w:rsid w:val="0077319E"/>
    <w:rsid w:val="00835524"/>
    <w:rsid w:val="00881AC0"/>
    <w:rsid w:val="00887323"/>
    <w:rsid w:val="009877B1"/>
    <w:rsid w:val="009A50C6"/>
    <w:rsid w:val="009E164A"/>
    <w:rsid w:val="009F3E9F"/>
    <w:rsid w:val="00A009B2"/>
    <w:rsid w:val="00A25A4E"/>
    <w:rsid w:val="00A80D79"/>
    <w:rsid w:val="00B73890"/>
    <w:rsid w:val="00BA1655"/>
    <w:rsid w:val="00BB77E7"/>
    <w:rsid w:val="00BC0AFC"/>
    <w:rsid w:val="00BC3781"/>
    <w:rsid w:val="00C165D0"/>
    <w:rsid w:val="00C35697"/>
    <w:rsid w:val="00C65DE9"/>
    <w:rsid w:val="00D42F24"/>
    <w:rsid w:val="00D92B86"/>
    <w:rsid w:val="00DB4943"/>
    <w:rsid w:val="00DC26E6"/>
    <w:rsid w:val="00DC3E27"/>
    <w:rsid w:val="00E14687"/>
    <w:rsid w:val="00EB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385D1"/>
  <w15:chartTrackingRefBased/>
  <w15:docId w15:val="{6E57DE9A-0FAF-4B7F-BC71-7255BFFE6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B3B4F"/>
    <w:pPr>
      <w:keepNext/>
      <w:keepLines/>
      <w:widowControl w:val="0"/>
      <w:suppressAutoHyphens/>
      <w:spacing w:before="40" w:after="0" w:line="240" w:lineRule="auto"/>
      <w:outlineLvl w:val="1"/>
    </w:pPr>
    <w:rPr>
      <w:rFonts w:asciiTheme="majorHAnsi" w:eastAsiaTheme="majorEastAsia" w:hAnsiTheme="majorHAnsi" w:cs="Mangal"/>
      <w:color w:val="2F5496" w:themeColor="accent1" w:themeShade="BF"/>
      <w:sz w:val="26"/>
      <w:szCs w:val="23"/>
      <w:lang w:val="en-GB"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553B71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553B71"/>
    <w:rPr>
      <w:rFonts w:ascii="Times New Roman" w:eastAsia="Times New Roman" w:hAnsi="Times New Roman" w:cs="Times New Roman"/>
      <w:i/>
      <w:iCs/>
      <w:sz w:val="24"/>
      <w:szCs w:val="24"/>
      <w:lang w:val="x-none"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80D7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80D7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80D79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1C696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6965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70C1B"/>
    <w:pPr>
      <w:ind w:left="720"/>
      <w:contextualSpacing/>
    </w:pPr>
  </w:style>
  <w:style w:type="paragraph" w:styleId="Poprawka">
    <w:name w:val="Revision"/>
    <w:hidden/>
    <w:uiPriority w:val="99"/>
    <w:semiHidden/>
    <w:rsid w:val="0077319E"/>
    <w:pPr>
      <w:spacing w:after="0" w:line="240" w:lineRule="auto"/>
    </w:pPr>
  </w:style>
  <w:style w:type="paragraph" w:customStyle="1" w:styleId="paragraph">
    <w:name w:val="paragraph"/>
    <w:basedOn w:val="Normalny"/>
    <w:rsid w:val="007731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31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731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731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31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319E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77319E"/>
  </w:style>
  <w:style w:type="paragraph" w:styleId="Nagwek">
    <w:name w:val="header"/>
    <w:basedOn w:val="Normalny"/>
    <w:link w:val="NagwekZnak"/>
    <w:rsid w:val="0077319E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Liberation Serif" w:eastAsia="Segoe UI" w:hAnsi="Liberation Serif" w:cs="Mangal"/>
      <w:color w:val="000000"/>
      <w:sz w:val="24"/>
      <w:szCs w:val="21"/>
      <w:lang w:eastAsia="zh-CN" w:bidi="hi-IN"/>
    </w:rPr>
  </w:style>
  <w:style w:type="character" w:customStyle="1" w:styleId="NagwekZnak">
    <w:name w:val="Nagłówek Znak"/>
    <w:basedOn w:val="Domylnaczcionkaakapitu"/>
    <w:link w:val="Nagwek"/>
    <w:rsid w:val="0077319E"/>
    <w:rPr>
      <w:rFonts w:ascii="Liberation Serif" w:eastAsia="Segoe UI" w:hAnsi="Liberation Serif" w:cs="Mangal"/>
      <w:color w:val="000000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rsid w:val="0077319E"/>
    <w:pPr>
      <w:widowControl w:val="0"/>
      <w:tabs>
        <w:tab w:val="center" w:pos="4536"/>
        <w:tab w:val="right" w:pos="9072"/>
      </w:tabs>
      <w:suppressAutoHyphens/>
      <w:autoSpaceDN w:val="0"/>
      <w:spacing w:after="0" w:line="240" w:lineRule="auto"/>
    </w:pPr>
    <w:rPr>
      <w:rFonts w:ascii="Liberation Serif" w:eastAsia="Segoe UI" w:hAnsi="Liberation Serif" w:cs="Mangal"/>
      <w:color w:val="000000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77319E"/>
    <w:rPr>
      <w:rFonts w:ascii="Liberation Serif" w:eastAsia="Segoe UI" w:hAnsi="Liberation Serif" w:cs="Mangal"/>
      <w:color w:val="000000"/>
      <w:sz w:val="24"/>
      <w:szCs w:val="21"/>
      <w:lang w:eastAsia="zh-CN" w:bidi="hi-IN"/>
    </w:rPr>
  </w:style>
  <w:style w:type="character" w:customStyle="1" w:styleId="spellingerror">
    <w:name w:val="spellingerror"/>
    <w:basedOn w:val="Domylnaczcionkaakapitu"/>
    <w:rsid w:val="005B3B4F"/>
  </w:style>
  <w:style w:type="character" w:customStyle="1" w:styleId="eop">
    <w:name w:val="eop"/>
    <w:basedOn w:val="Domylnaczcionkaakapitu"/>
    <w:rsid w:val="005B3B4F"/>
  </w:style>
  <w:style w:type="character" w:customStyle="1" w:styleId="Nagwek2Znak">
    <w:name w:val="Nagłówek 2 Znak"/>
    <w:basedOn w:val="Domylnaczcionkaakapitu"/>
    <w:link w:val="Nagwek2"/>
    <w:uiPriority w:val="9"/>
    <w:rsid w:val="005B3B4F"/>
    <w:rPr>
      <w:rFonts w:asciiTheme="majorHAnsi" w:eastAsiaTheme="majorEastAsia" w:hAnsiTheme="majorHAnsi" w:cs="Mangal"/>
      <w:color w:val="2F5496" w:themeColor="accent1" w:themeShade="BF"/>
      <w:sz w:val="26"/>
      <w:szCs w:val="23"/>
      <w:lang w:val="en-GB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1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uropean-games.or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588B99-F598-4551-B415-035B7B22C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1131</Words>
  <Characters>6790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Augustyn</dc:creator>
  <cp:keywords/>
  <dc:description/>
  <cp:lastModifiedBy>Ewa Lasoń</cp:lastModifiedBy>
  <cp:revision>7</cp:revision>
  <dcterms:created xsi:type="dcterms:W3CDTF">2023-03-27T16:30:00Z</dcterms:created>
  <dcterms:modified xsi:type="dcterms:W3CDTF">2023-04-12T15:31:00Z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2023-03-13T20:49:33Z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165956cc-9e7d-4fba-8c6f-4653ff8e6ef3</vt:lpwstr>
  </property>
  <property fmtid="{D5CDD505-2E9C-101B-9397-08002B2CF9AE}" pid="7" name="MSIP_Label_defa4170-0d19-0005-0004-bc88714345d2_ActionId">
    <vt:lpwstr>65fe33dd-1b04-451e-b76c-ad8f5ea9c5ab</vt:lpwstr>
  </property>
  <property fmtid="{D5CDD505-2E9C-101B-9397-08002B2CF9AE}" pid="8" name="MSIP_Label_defa4170-0d19-0005-0004-bc88714345d2_ContentBits">
    <vt:lpwstr>0</vt:lpwstr>
  </property>
</Properties>
</file>