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Wydział Zamówień Publicznych Komendy Stołecznej Policji</w:t>
                              </w:r>
                            </w:p>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 xml:space="preserve">WZP </w:t>
                              </w:r>
                              <w:r>
                                <w:rPr>
                                  <w:rFonts w:ascii="Century Gothic" w:hAnsi="Century Gothic"/>
                                  <w:sz w:val="18"/>
                                  <w:szCs w:val="18"/>
                                </w:rPr>
                                <w:t>–</w:t>
                              </w:r>
                              <w:r w:rsidRPr="001B78C6">
                                <w:rPr>
                                  <w:rFonts w:ascii="Century Gothic" w:hAnsi="Century Gothic"/>
                                  <w:sz w:val="18"/>
                                  <w:szCs w:val="18"/>
                                </w:rPr>
                                <w:t xml:space="preserve"> </w:t>
                              </w:r>
                              <w:r w:rsidR="0014611E">
                                <w:rPr>
                                  <w:rFonts w:ascii="Century Gothic" w:hAnsi="Century Gothic"/>
                                  <w:sz w:val="18"/>
                                  <w:szCs w:val="18"/>
                                </w:rPr>
                                <w:t>2154/1804</w:t>
                              </w:r>
                              <w:r w:rsidR="00210396">
                                <w:rPr>
                                  <w:rFonts w:ascii="Century Gothic" w:hAnsi="Century Gothic"/>
                                  <w:sz w:val="18"/>
                                  <w:szCs w:val="18"/>
                                </w:rPr>
                                <w:t>/23</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Wydział Zamówień Publicznych Komendy Stołecznej Policji</w:t>
                        </w:r>
                      </w:p>
                      <w:p w:rsidR="00D24DB1" w:rsidRPr="001B78C6" w:rsidRDefault="00D24DB1" w:rsidP="00D24DB1">
                        <w:pPr>
                          <w:jc w:val="center"/>
                          <w:rPr>
                            <w:rFonts w:ascii="Century Gothic" w:hAnsi="Century Gothic"/>
                            <w:sz w:val="18"/>
                            <w:szCs w:val="18"/>
                          </w:rPr>
                        </w:pPr>
                        <w:r w:rsidRPr="001B78C6">
                          <w:rPr>
                            <w:rFonts w:ascii="Century Gothic" w:hAnsi="Century Gothic"/>
                            <w:sz w:val="18"/>
                            <w:szCs w:val="18"/>
                          </w:rPr>
                          <w:t xml:space="preserve">WZP </w:t>
                        </w:r>
                        <w:r>
                          <w:rPr>
                            <w:rFonts w:ascii="Century Gothic" w:hAnsi="Century Gothic"/>
                            <w:sz w:val="18"/>
                            <w:szCs w:val="18"/>
                          </w:rPr>
                          <w:t>–</w:t>
                        </w:r>
                        <w:r w:rsidRPr="001B78C6">
                          <w:rPr>
                            <w:rFonts w:ascii="Century Gothic" w:hAnsi="Century Gothic"/>
                            <w:sz w:val="18"/>
                            <w:szCs w:val="18"/>
                          </w:rPr>
                          <w:t xml:space="preserve"> </w:t>
                        </w:r>
                        <w:r w:rsidR="0014611E">
                          <w:rPr>
                            <w:rFonts w:ascii="Century Gothic" w:hAnsi="Century Gothic"/>
                            <w:sz w:val="18"/>
                            <w:szCs w:val="18"/>
                          </w:rPr>
                          <w:t>2154/1804</w:t>
                        </w:r>
                        <w:r w:rsidR="00210396">
                          <w:rPr>
                            <w:rFonts w:ascii="Century Gothic" w:hAnsi="Century Gothic"/>
                            <w:sz w:val="18"/>
                            <w:szCs w:val="18"/>
                          </w:rPr>
                          <w:t>/23</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Default="00C93878" w:rsidP="00062FBC">
      <w:pPr>
        <w:spacing w:after="0" w:line="240" w:lineRule="auto"/>
        <w:ind w:left="5528" w:firstLine="136"/>
        <w:jc w:val="right"/>
        <w:rPr>
          <w:rFonts w:ascii="Century Gothic" w:hAnsi="Century Gothic"/>
          <w:color w:val="auto"/>
          <w:sz w:val="20"/>
          <w:szCs w:val="20"/>
        </w:rPr>
      </w:pPr>
      <w:r>
        <w:rPr>
          <w:rFonts w:ascii="Century Gothic" w:hAnsi="Century Gothic"/>
          <w:color w:val="auto"/>
          <w:sz w:val="20"/>
          <w:szCs w:val="20"/>
        </w:rPr>
        <w:t xml:space="preserve">Warszawa, </w:t>
      </w:r>
      <w:r w:rsidR="0014611E">
        <w:rPr>
          <w:rFonts w:ascii="Century Gothic" w:hAnsi="Century Gothic"/>
          <w:color w:val="auto"/>
          <w:sz w:val="20"/>
          <w:szCs w:val="20"/>
        </w:rPr>
        <w:t>11.08.2023</w:t>
      </w:r>
      <w:r w:rsidR="00D06C07">
        <w:rPr>
          <w:rFonts w:ascii="Century Gothic" w:hAnsi="Century Gothic"/>
          <w:color w:val="auto"/>
          <w:sz w:val="20"/>
          <w:szCs w:val="20"/>
        </w:rPr>
        <w:t xml:space="preserve"> </w:t>
      </w:r>
      <w:r w:rsidR="009052F5">
        <w:rPr>
          <w:rFonts w:ascii="Century Gothic" w:hAnsi="Century Gothic"/>
          <w:color w:val="auto"/>
          <w:sz w:val="20"/>
          <w:szCs w:val="20"/>
        </w:rPr>
        <w:t xml:space="preserve">r. </w:t>
      </w:r>
      <w:r w:rsidR="00C96DEE">
        <w:rPr>
          <w:rFonts w:ascii="Century Gothic" w:hAnsi="Century Gothic"/>
          <w:color w:val="auto"/>
          <w:sz w:val="20"/>
          <w:szCs w:val="20"/>
        </w:rPr>
        <w:t xml:space="preserve"> </w:t>
      </w:r>
    </w:p>
    <w:p w:rsidR="00892F50" w:rsidRDefault="00892F50"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794BFC" w:rsidRDefault="00794BFC" w:rsidP="00E91422">
      <w:pPr>
        <w:spacing w:after="0" w:line="276" w:lineRule="auto"/>
        <w:ind w:left="0" w:firstLine="0"/>
        <w:rPr>
          <w:rFonts w:ascii="Century Gothic" w:hAnsi="Century Gothic"/>
          <w:color w:val="auto"/>
          <w:sz w:val="20"/>
          <w:szCs w:val="20"/>
        </w:rPr>
      </w:pPr>
    </w:p>
    <w:p w:rsidR="00794BFC" w:rsidRDefault="00794BFC" w:rsidP="00E91422">
      <w:pPr>
        <w:spacing w:after="0" w:line="276" w:lineRule="auto"/>
        <w:ind w:left="0" w:firstLine="0"/>
        <w:rPr>
          <w:rFonts w:ascii="Century Gothic" w:hAnsi="Century Gothic"/>
          <w:color w:val="auto"/>
          <w:sz w:val="20"/>
          <w:szCs w:val="20"/>
        </w:rPr>
      </w:pPr>
    </w:p>
    <w:p w:rsidR="00E3458E" w:rsidRDefault="00E3458E" w:rsidP="00040AF1">
      <w:pPr>
        <w:spacing w:after="0" w:line="240" w:lineRule="auto"/>
        <w:ind w:left="0" w:firstLine="0"/>
        <w:rPr>
          <w:rFonts w:ascii="Century Gothic" w:hAnsi="Century Gothic"/>
          <w:color w:val="auto"/>
          <w:sz w:val="20"/>
          <w:szCs w:val="20"/>
        </w:rPr>
      </w:pPr>
    </w:p>
    <w:p w:rsidR="00EC7875" w:rsidRDefault="00EC7875" w:rsidP="00040AF1">
      <w:pPr>
        <w:spacing w:after="0" w:line="240" w:lineRule="auto"/>
        <w:ind w:left="0" w:firstLine="0"/>
        <w:rPr>
          <w:rFonts w:ascii="Century Gothic" w:hAnsi="Century Gothic"/>
          <w:color w:val="auto"/>
          <w:sz w:val="20"/>
          <w:szCs w:val="20"/>
        </w:rPr>
      </w:pPr>
    </w:p>
    <w:p w:rsidR="00EC7875" w:rsidRDefault="00EC7875" w:rsidP="00040AF1">
      <w:pPr>
        <w:spacing w:after="0" w:line="240" w:lineRule="auto"/>
        <w:ind w:left="0" w:firstLine="0"/>
        <w:rPr>
          <w:rFonts w:ascii="Century Gothic" w:hAnsi="Century Gothic"/>
          <w:color w:val="auto"/>
          <w:sz w:val="20"/>
          <w:szCs w:val="20"/>
        </w:rPr>
      </w:pPr>
    </w:p>
    <w:p w:rsidR="00EC7875" w:rsidRDefault="00EC7875" w:rsidP="00040AF1">
      <w:pPr>
        <w:spacing w:after="0" w:line="240" w:lineRule="auto"/>
        <w:ind w:left="0" w:firstLine="0"/>
        <w:rPr>
          <w:rFonts w:ascii="Century Gothic" w:hAnsi="Century Gothic"/>
          <w:color w:val="auto"/>
          <w:sz w:val="20"/>
          <w:szCs w:val="20"/>
        </w:rPr>
      </w:pPr>
    </w:p>
    <w:p w:rsidR="00D24DB1" w:rsidRDefault="00D24DB1" w:rsidP="00040AF1">
      <w:pPr>
        <w:spacing w:after="0" w:line="240" w:lineRule="auto"/>
        <w:ind w:left="0" w:firstLine="0"/>
        <w:rPr>
          <w:rFonts w:ascii="Century Gothic" w:hAnsi="Century Gothic"/>
          <w:color w:val="auto"/>
          <w:sz w:val="20"/>
          <w:szCs w:val="20"/>
        </w:rPr>
      </w:pPr>
    </w:p>
    <w:p w:rsidR="00FB78D2" w:rsidRPr="00207FB2" w:rsidRDefault="00C93878" w:rsidP="00D9151E">
      <w:pPr>
        <w:spacing w:after="0" w:line="240" w:lineRule="auto"/>
        <w:ind w:left="1134" w:hanging="1134"/>
        <w:rPr>
          <w:b/>
          <w:color w:val="auto"/>
          <w:szCs w:val="20"/>
        </w:rPr>
      </w:pPr>
      <w:r w:rsidRPr="00207FB2">
        <w:rPr>
          <w:color w:val="auto"/>
          <w:szCs w:val="20"/>
        </w:rPr>
        <w:t>Dotyczy:</w:t>
      </w:r>
      <w:r w:rsidRPr="00207FB2">
        <w:rPr>
          <w:b/>
          <w:color w:val="auto"/>
          <w:szCs w:val="20"/>
        </w:rPr>
        <w:t xml:space="preserve"> </w:t>
      </w:r>
      <w:r w:rsidRPr="00207FB2">
        <w:rPr>
          <w:b/>
          <w:color w:val="FFFFFF"/>
          <w:szCs w:val="20"/>
        </w:rPr>
        <w:t>.</w:t>
      </w:r>
      <w:r w:rsidRPr="00207FB2">
        <w:rPr>
          <w:rFonts w:eastAsia="MS PGothic"/>
          <w:color w:val="auto"/>
          <w:szCs w:val="20"/>
        </w:rPr>
        <w:t xml:space="preserve"> </w:t>
      </w:r>
      <w:r w:rsidR="00D9151E" w:rsidRPr="00207FB2">
        <w:rPr>
          <w:szCs w:val="20"/>
        </w:rPr>
        <w:t>postępowania o  udzielenie  zamówienia</w:t>
      </w:r>
      <w:r w:rsidR="00D9151E" w:rsidRPr="00207FB2">
        <w:rPr>
          <w:bCs/>
          <w:iCs/>
          <w:szCs w:val="20"/>
        </w:rPr>
        <w:t xml:space="preserve"> </w:t>
      </w:r>
      <w:r w:rsidR="00D9151E" w:rsidRPr="00207FB2">
        <w:rPr>
          <w:szCs w:val="20"/>
        </w:rPr>
        <w:t xml:space="preserve">publicznego w trybie </w:t>
      </w:r>
      <w:r w:rsidR="006932DA" w:rsidRPr="00207FB2">
        <w:rPr>
          <w:szCs w:val="20"/>
        </w:rPr>
        <w:t>podstawowym w celu zawarcia umowy ramowej</w:t>
      </w:r>
      <w:r w:rsidR="00D9151E" w:rsidRPr="00207FB2">
        <w:rPr>
          <w:szCs w:val="20"/>
        </w:rPr>
        <w:t xml:space="preserve"> na: </w:t>
      </w:r>
      <w:r w:rsidR="00794BFC" w:rsidRPr="00362DE4">
        <w:rPr>
          <w:b/>
        </w:rPr>
        <w:t>Dostaw</w:t>
      </w:r>
      <w:r w:rsidR="00794BFC">
        <w:rPr>
          <w:b/>
        </w:rPr>
        <w:t>y</w:t>
      </w:r>
      <w:r w:rsidR="00794BFC" w:rsidRPr="00362DE4">
        <w:rPr>
          <w:b/>
        </w:rPr>
        <w:t xml:space="preserve"> materiałów sanitarnych</w:t>
      </w:r>
      <w:r w:rsidR="006932DA" w:rsidRPr="00207FB2">
        <w:rPr>
          <w:szCs w:val="20"/>
        </w:rPr>
        <w:t xml:space="preserve">, </w:t>
      </w:r>
      <w:r w:rsidR="00EC7875">
        <w:rPr>
          <w:szCs w:val="20"/>
        </w:rPr>
        <w:br/>
      </w:r>
      <w:r w:rsidR="006932DA" w:rsidRPr="00207FB2">
        <w:rPr>
          <w:szCs w:val="20"/>
        </w:rPr>
        <w:t xml:space="preserve">nr ref.: </w:t>
      </w:r>
      <w:r w:rsidR="00794BFC" w:rsidRPr="00794BFC">
        <w:rPr>
          <w:b/>
          <w:szCs w:val="20"/>
        </w:rPr>
        <w:t>WZP-1804/23/111/IR</w:t>
      </w:r>
      <w:r w:rsidR="00794BFC">
        <w:rPr>
          <w:b/>
          <w:szCs w:val="20"/>
        </w:rPr>
        <w:t>.</w:t>
      </w:r>
    </w:p>
    <w:p w:rsidR="00B62CAC" w:rsidRPr="00207FB2" w:rsidRDefault="00B62CAC" w:rsidP="00C93878">
      <w:pPr>
        <w:spacing w:after="0" w:line="240" w:lineRule="auto"/>
        <w:ind w:left="993" w:hanging="993"/>
        <w:rPr>
          <w:b/>
          <w:color w:val="auto"/>
          <w:szCs w:val="20"/>
        </w:rPr>
      </w:pPr>
    </w:p>
    <w:p w:rsidR="00D06C07" w:rsidRDefault="00C93878" w:rsidP="001B530C">
      <w:pPr>
        <w:widowControl w:val="0"/>
        <w:suppressAutoHyphens/>
        <w:autoSpaceDN w:val="0"/>
        <w:spacing w:after="0" w:line="240" w:lineRule="auto"/>
        <w:ind w:left="0" w:firstLine="708"/>
        <w:textAlignment w:val="baseline"/>
        <w:rPr>
          <w:rFonts w:eastAsia="Andale Sans UI"/>
          <w:color w:val="auto"/>
          <w:kern w:val="3"/>
          <w:szCs w:val="20"/>
          <w:lang w:eastAsia="en-US" w:bidi="en-US"/>
        </w:rPr>
      </w:pPr>
      <w:r w:rsidRPr="00207FB2">
        <w:rPr>
          <w:rFonts w:eastAsia="Andale Sans UI"/>
          <w:color w:val="auto"/>
          <w:kern w:val="3"/>
          <w:szCs w:val="20"/>
          <w:lang w:eastAsia="en-US" w:bidi="en-US"/>
        </w:rPr>
        <w:t xml:space="preserve">Wydział Zamówień Publicznych KSP, działając w imieniu Zamawiającego, </w:t>
      </w:r>
      <w:r w:rsidRPr="00207FB2">
        <w:rPr>
          <w:rFonts w:eastAsia="Andale Sans UI"/>
          <w:color w:val="auto"/>
          <w:kern w:val="3"/>
          <w:szCs w:val="20"/>
          <w:lang w:eastAsia="en-US" w:bidi="en-US"/>
        </w:rPr>
        <w:br/>
      </w:r>
      <w:r w:rsidR="001B530C">
        <w:rPr>
          <w:rFonts w:eastAsia="Andale Sans UI"/>
          <w:color w:val="auto"/>
          <w:kern w:val="3"/>
          <w:szCs w:val="20"/>
          <w:lang w:eastAsia="en-US" w:bidi="en-US"/>
        </w:rPr>
        <w:t>publikuje sprostowanie treści Specyfikacji Warunków Zamówienia w ww. postepowani</w:t>
      </w:r>
      <w:r w:rsidR="006E5130">
        <w:rPr>
          <w:rFonts w:eastAsia="Andale Sans UI"/>
          <w:color w:val="auto"/>
          <w:kern w:val="3"/>
          <w:szCs w:val="20"/>
          <w:lang w:eastAsia="en-US" w:bidi="en-US"/>
        </w:rPr>
        <w:t>u</w:t>
      </w:r>
      <w:r w:rsidR="001B530C">
        <w:rPr>
          <w:rFonts w:eastAsia="Andale Sans UI"/>
          <w:color w:val="auto"/>
          <w:kern w:val="3"/>
          <w:szCs w:val="20"/>
          <w:lang w:eastAsia="en-US" w:bidi="en-US"/>
        </w:rPr>
        <w:t xml:space="preserve">. W Rozdziale XIV ust. 3 pkt  2 jest: </w:t>
      </w:r>
    </w:p>
    <w:p w:rsidR="001B530C" w:rsidRDefault="001B530C" w:rsidP="001B530C">
      <w:pPr>
        <w:rPr>
          <w:b/>
        </w:rPr>
      </w:pPr>
    </w:p>
    <w:p w:rsidR="001B530C" w:rsidRPr="00EA5CC9" w:rsidRDefault="001B530C" w:rsidP="001B530C">
      <w:pPr>
        <w:rPr>
          <w:b/>
        </w:rPr>
      </w:pPr>
      <w:r>
        <w:rPr>
          <w:b/>
        </w:rPr>
        <w:t xml:space="preserve">„2) </w:t>
      </w:r>
      <w:r w:rsidRPr="00EA5CC9">
        <w:rPr>
          <w:b/>
        </w:rPr>
        <w:t>Termin dostawy (T)</w:t>
      </w:r>
    </w:p>
    <w:p w:rsidR="001B530C" w:rsidRPr="00EA5CC9" w:rsidRDefault="001B530C" w:rsidP="001B530C">
      <w:pPr>
        <w:ind w:left="993"/>
        <w:rPr>
          <w:color w:val="auto"/>
        </w:rPr>
      </w:pPr>
      <w:r w:rsidRPr="00EA5CC9">
        <w:rPr>
          <w:bCs/>
          <w:lang w:eastAsia="en-US"/>
        </w:rPr>
        <w:t xml:space="preserve">Punkty w niniejszym kryterium </w:t>
      </w:r>
      <w:r w:rsidRPr="00EA5CC9">
        <w:t>zostaną przyznane wg następujących zasad</w:t>
      </w:r>
      <w:r w:rsidRPr="00EA5CC9">
        <w:rPr>
          <w:b/>
        </w:rPr>
        <w:t>:</w:t>
      </w:r>
    </w:p>
    <w:p w:rsidR="001B530C" w:rsidRPr="00EA5CC9" w:rsidRDefault="001B530C" w:rsidP="001B530C">
      <w:pPr>
        <w:ind w:left="786"/>
        <w:rPr>
          <w:color w:val="auto"/>
        </w:rPr>
      </w:pPr>
    </w:p>
    <w:tbl>
      <w:tblPr>
        <w:tblW w:w="0" w:type="auto"/>
        <w:tblInd w:w="1190" w:type="dxa"/>
        <w:tblLayout w:type="fixed"/>
        <w:tblCellMar>
          <w:top w:w="55" w:type="dxa"/>
          <w:left w:w="55" w:type="dxa"/>
          <w:bottom w:w="55" w:type="dxa"/>
          <w:right w:w="55" w:type="dxa"/>
        </w:tblCellMar>
        <w:tblLook w:val="0000" w:firstRow="0" w:lastRow="0" w:firstColumn="0" w:lastColumn="0" w:noHBand="0" w:noVBand="0"/>
      </w:tblPr>
      <w:tblGrid>
        <w:gridCol w:w="3750"/>
        <w:gridCol w:w="2950"/>
      </w:tblGrid>
      <w:tr w:rsidR="001B530C" w:rsidRPr="00EA5CC9" w:rsidTr="00C870FC">
        <w:tc>
          <w:tcPr>
            <w:tcW w:w="3750" w:type="dxa"/>
            <w:tcBorders>
              <w:top w:val="single" w:sz="1" w:space="0" w:color="000000"/>
              <w:left w:val="single" w:sz="1" w:space="0" w:color="000000"/>
              <w:bottom w:val="single" w:sz="1" w:space="0" w:color="000000"/>
            </w:tcBorders>
            <w:shd w:val="clear" w:color="auto" w:fill="auto"/>
          </w:tcPr>
          <w:p w:rsidR="001B530C" w:rsidRPr="00EA5CC9" w:rsidRDefault="001B530C" w:rsidP="00C870FC">
            <w:pPr>
              <w:tabs>
                <w:tab w:val="left" w:pos="284"/>
              </w:tabs>
              <w:spacing w:after="120" w:line="276" w:lineRule="auto"/>
              <w:contextualSpacing/>
              <w:jc w:val="center"/>
              <w:rPr>
                <w:rFonts w:eastAsia="Calibri"/>
                <w:color w:val="auto"/>
              </w:rPr>
            </w:pPr>
            <w:r w:rsidRPr="00EA5CC9">
              <w:rPr>
                <w:rFonts w:eastAsia="Calibri"/>
                <w:b/>
                <w:color w:val="auto"/>
              </w:rPr>
              <w:t>Zaoferowany termin dostawy:</w:t>
            </w:r>
          </w:p>
        </w:tc>
        <w:tc>
          <w:tcPr>
            <w:tcW w:w="2950" w:type="dxa"/>
            <w:tcBorders>
              <w:top w:val="single" w:sz="1" w:space="0" w:color="000000"/>
              <w:left w:val="single" w:sz="1" w:space="0" w:color="000000"/>
              <w:bottom w:val="single" w:sz="1" w:space="0" w:color="000000"/>
              <w:right w:val="single" w:sz="1" w:space="0" w:color="000000"/>
            </w:tcBorders>
            <w:shd w:val="clear" w:color="auto" w:fill="auto"/>
          </w:tcPr>
          <w:p w:rsidR="001B530C" w:rsidRPr="00EA5CC9" w:rsidRDefault="001B530C" w:rsidP="00C870FC">
            <w:pPr>
              <w:tabs>
                <w:tab w:val="left" w:pos="284"/>
              </w:tabs>
              <w:spacing w:after="120" w:line="276" w:lineRule="auto"/>
              <w:contextualSpacing/>
              <w:jc w:val="center"/>
              <w:rPr>
                <w:rFonts w:eastAsia="Calibri"/>
                <w:color w:val="auto"/>
              </w:rPr>
            </w:pPr>
            <w:r w:rsidRPr="00EA5CC9">
              <w:rPr>
                <w:rFonts w:eastAsia="Calibri"/>
                <w:b/>
                <w:color w:val="auto"/>
              </w:rPr>
              <w:t>Liczba przyznanych pkt</w:t>
            </w:r>
          </w:p>
        </w:tc>
      </w:tr>
      <w:tr w:rsidR="001B530C" w:rsidRPr="00EA5CC9" w:rsidTr="00C870FC">
        <w:trPr>
          <w:trHeight w:val="306"/>
        </w:trPr>
        <w:tc>
          <w:tcPr>
            <w:tcW w:w="3750" w:type="dxa"/>
            <w:tcBorders>
              <w:top w:val="single" w:sz="1" w:space="0" w:color="000000"/>
              <w:left w:val="single" w:sz="1" w:space="0" w:color="000000"/>
              <w:bottom w:val="single" w:sz="1" w:space="0" w:color="000000"/>
            </w:tcBorders>
            <w:shd w:val="clear" w:color="auto" w:fill="auto"/>
          </w:tcPr>
          <w:p w:rsidR="001B530C" w:rsidRPr="00EA5CC9" w:rsidRDefault="001B530C" w:rsidP="00C870FC">
            <w:pPr>
              <w:tabs>
                <w:tab w:val="left" w:pos="284"/>
              </w:tabs>
              <w:spacing w:after="120" w:line="276" w:lineRule="auto"/>
              <w:contextualSpacing/>
              <w:jc w:val="center"/>
              <w:rPr>
                <w:rFonts w:eastAsia="Calibri"/>
                <w:color w:val="auto"/>
              </w:rPr>
            </w:pPr>
            <w:r w:rsidRPr="00EA5CC9">
              <w:rPr>
                <w:rFonts w:eastAsia="Calibri"/>
                <w:color w:val="auto"/>
              </w:rPr>
              <w:t>11 dni roboczych</w:t>
            </w:r>
          </w:p>
        </w:tc>
        <w:tc>
          <w:tcPr>
            <w:tcW w:w="2950" w:type="dxa"/>
            <w:tcBorders>
              <w:top w:val="single" w:sz="1" w:space="0" w:color="000000"/>
              <w:left w:val="single" w:sz="1" w:space="0" w:color="000000"/>
              <w:bottom w:val="single" w:sz="1" w:space="0" w:color="000000"/>
              <w:right w:val="single" w:sz="1" w:space="0" w:color="000000"/>
            </w:tcBorders>
            <w:shd w:val="clear" w:color="auto" w:fill="auto"/>
          </w:tcPr>
          <w:p w:rsidR="001B530C" w:rsidRPr="00EA5CC9" w:rsidRDefault="001B530C" w:rsidP="00C870FC">
            <w:pPr>
              <w:tabs>
                <w:tab w:val="left" w:pos="284"/>
              </w:tabs>
              <w:spacing w:after="120" w:line="276" w:lineRule="auto"/>
              <w:contextualSpacing/>
              <w:jc w:val="center"/>
              <w:rPr>
                <w:rFonts w:eastAsia="Calibri"/>
                <w:color w:val="auto"/>
              </w:rPr>
            </w:pPr>
            <w:r w:rsidRPr="00EA5CC9">
              <w:rPr>
                <w:rFonts w:eastAsia="Calibri"/>
                <w:color w:val="auto"/>
              </w:rPr>
              <w:t>0</w:t>
            </w:r>
          </w:p>
        </w:tc>
      </w:tr>
      <w:tr w:rsidR="001B530C" w:rsidRPr="00EA5CC9" w:rsidTr="00C870FC">
        <w:tc>
          <w:tcPr>
            <w:tcW w:w="3750" w:type="dxa"/>
            <w:tcBorders>
              <w:left w:val="single" w:sz="1" w:space="0" w:color="000000"/>
              <w:bottom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10 dni roboczych</w:t>
            </w:r>
          </w:p>
        </w:tc>
        <w:tc>
          <w:tcPr>
            <w:tcW w:w="2950" w:type="dxa"/>
            <w:tcBorders>
              <w:left w:val="single" w:sz="1" w:space="0" w:color="000000"/>
              <w:bottom w:val="single" w:sz="4" w:space="0" w:color="auto"/>
              <w:right w:val="single" w:sz="1" w:space="0" w:color="000000"/>
            </w:tcBorders>
            <w:shd w:val="clear" w:color="auto" w:fill="auto"/>
          </w:tcPr>
          <w:p w:rsidR="001B530C" w:rsidRPr="00EA5CC9" w:rsidRDefault="001B530C" w:rsidP="00C870FC">
            <w:pPr>
              <w:suppressLineNumbers/>
              <w:jc w:val="center"/>
              <w:rPr>
                <w:color w:val="auto"/>
              </w:rPr>
            </w:pPr>
            <w:r w:rsidRPr="00EA5CC9">
              <w:rPr>
                <w:color w:val="auto"/>
              </w:rPr>
              <w:t>5</w:t>
            </w:r>
          </w:p>
        </w:tc>
      </w:tr>
      <w:tr w:rsidR="001B530C" w:rsidRPr="00EA5CC9" w:rsidTr="00C870FC">
        <w:tc>
          <w:tcPr>
            <w:tcW w:w="3750" w:type="dxa"/>
            <w:tcBorders>
              <w:top w:val="single" w:sz="4" w:space="0" w:color="auto"/>
              <w:left w:val="single" w:sz="4" w:space="0" w:color="auto"/>
              <w:bottom w:val="single" w:sz="4" w:space="0" w:color="auto"/>
              <w:right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9 dni roboczych</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10</w:t>
            </w:r>
          </w:p>
        </w:tc>
      </w:tr>
      <w:tr w:rsidR="001B530C" w:rsidRPr="00EA5CC9" w:rsidTr="00C870FC">
        <w:tc>
          <w:tcPr>
            <w:tcW w:w="3750" w:type="dxa"/>
            <w:tcBorders>
              <w:left w:val="single" w:sz="1" w:space="0" w:color="000000"/>
              <w:bottom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8 dni roboczych</w:t>
            </w:r>
          </w:p>
        </w:tc>
        <w:tc>
          <w:tcPr>
            <w:tcW w:w="2950" w:type="dxa"/>
            <w:tcBorders>
              <w:left w:val="single" w:sz="1" w:space="0" w:color="000000"/>
              <w:bottom w:val="single" w:sz="4" w:space="0" w:color="auto"/>
              <w:right w:val="single" w:sz="1" w:space="0" w:color="000000"/>
            </w:tcBorders>
            <w:shd w:val="clear" w:color="auto" w:fill="auto"/>
          </w:tcPr>
          <w:p w:rsidR="001B530C" w:rsidRPr="00EA5CC9" w:rsidRDefault="001B530C" w:rsidP="00C870FC">
            <w:pPr>
              <w:suppressLineNumbers/>
              <w:jc w:val="center"/>
              <w:rPr>
                <w:color w:val="auto"/>
              </w:rPr>
            </w:pPr>
            <w:r w:rsidRPr="00EA5CC9">
              <w:rPr>
                <w:color w:val="auto"/>
              </w:rPr>
              <w:t>15</w:t>
            </w:r>
          </w:p>
        </w:tc>
      </w:tr>
      <w:tr w:rsidR="001B530C" w:rsidRPr="00EA5CC9" w:rsidTr="00C870FC">
        <w:tc>
          <w:tcPr>
            <w:tcW w:w="3750" w:type="dxa"/>
            <w:tcBorders>
              <w:left w:val="single" w:sz="1" w:space="0" w:color="000000"/>
              <w:bottom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7 dni roboczych</w:t>
            </w:r>
          </w:p>
        </w:tc>
        <w:tc>
          <w:tcPr>
            <w:tcW w:w="2950" w:type="dxa"/>
            <w:tcBorders>
              <w:left w:val="single" w:sz="1" w:space="0" w:color="000000"/>
              <w:bottom w:val="single" w:sz="4" w:space="0" w:color="auto"/>
              <w:right w:val="single" w:sz="1" w:space="0" w:color="000000"/>
            </w:tcBorders>
            <w:shd w:val="clear" w:color="auto" w:fill="auto"/>
          </w:tcPr>
          <w:p w:rsidR="001B530C" w:rsidRPr="00EA5CC9" w:rsidRDefault="001B530C" w:rsidP="00C870FC">
            <w:pPr>
              <w:suppressLineNumbers/>
              <w:jc w:val="center"/>
              <w:rPr>
                <w:color w:val="auto"/>
              </w:rPr>
            </w:pPr>
            <w:r w:rsidRPr="00EA5CC9">
              <w:rPr>
                <w:color w:val="auto"/>
              </w:rPr>
              <w:t>20</w:t>
            </w:r>
          </w:p>
        </w:tc>
      </w:tr>
      <w:tr w:rsidR="001B530C" w:rsidRPr="00EA5CC9" w:rsidTr="00C870FC">
        <w:tc>
          <w:tcPr>
            <w:tcW w:w="3750" w:type="dxa"/>
            <w:tcBorders>
              <w:left w:val="single" w:sz="1" w:space="0" w:color="000000"/>
              <w:bottom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6 dni roboczych</w:t>
            </w:r>
          </w:p>
        </w:tc>
        <w:tc>
          <w:tcPr>
            <w:tcW w:w="2950" w:type="dxa"/>
            <w:tcBorders>
              <w:left w:val="single" w:sz="1" w:space="0" w:color="000000"/>
              <w:bottom w:val="single" w:sz="4" w:space="0" w:color="auto"/>
              <w:right w:val="single" w:sz="1" w:space="0" w:color="000000"/>
            </w:tcBorders>
            <w:shd w:val="clear" w:color="auto" w:fill="auto"/>
          </w:tcPr>
          <w:p w:rsidR="001B530C" w:rsidRPr="00EA5CC9" w:rsidRDefault="001B530C" w:rsidP="00C870FC">
            <w:pPr>
              <w:suppressLineNumbers/>
              <w:jc w:val="center"/>
              <w:rPr>
                <w:color w:val="auto"/>
              </w:rPr>
            </w:pPr>
            <w:r w:rsidRPr="00EA5CC9">
              <w:rPr>
                <w:color w:val="auto"/>
              </w:rPr>
              <w:t>25</w:t>
            </w:r>
          </w:p>
        </w:tc>
      </w:tr>
      <w:tr w:rsidR="001B530C" w:rsidRPr="00EA5CC9" w:rsidTr="00C870FC">
        <w:tc>
          <w:tcPr>
            <w:tcW w:w="3750" w:type="dxa"/>
            <w:tcBorders>
              <w:top w:val="single" w:sz="4" w:space="0" w:color="auto"/>
              <w:left w:val="single" w:sz="4" w:space="0" w:color="auto"/>
              <w:bottom w:val="single" w:sz="4" w:space="0" w:color="auto"/>
              <w:right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5 dni roboczych</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30</w:t>
            </w:r>
          </w:p>
        </w:tc>
      </w:tr>
    </w:tbl>
    <w:p w:rsidR="001B530C" w:rsidRPr="00EA5CC9" w:rsidRDefault="001B530C" w:rsidP="001B530C">
      <w:pPr>
        <w:ind w:left="709"/>
      </w:pPr>
    </w:p>
    <w:p w:rsidR="001B530C" w:rsidRPr="00EA5CC9" w:rsidRDefault="001B530C" w:rsidP="001B530C">
      <w:pPr>
        <w:ind w:left="1276" w:hanging="284"/>
        <w:rPr>
          <w:b/>
          <w:bCs/>
          <w:color w:val="auto"/>
          <w:u w:val="single"/>
        </w:rPr>
      </w:pPr>
      <w:r w:rsidRPr="00EA5CC9">
        <w:rPr>
          <w:bCs/>
          <w:color w:val="auto"/>
        </w:rPr>
        <w:t xml:space="preserve">a) Wykonawca zobowiązany jest do podania terminu dostawy w pełnych dniach czyli pięć dni roboczych, sześć dni roboczych </w:t>
      </w:r>
      <w:proofErr w:type="spellStart"/>
      <w:r w:rsidRPr="00EA5CC9">
        <w:rPr>
          <w:bCs/>
          <w:color w:val="auto"/>
        </w:rPr>
        <w:t>itd</w:t>
      </w:r>
      <w:proofErr w:type="spellEnd"/>
      <w:r w:rsidRPr="00EA5CC9">
        <w:rPr>
          <w:bCs/>
          <w:color w:val="auto"/>
        </w:rPr>
        <w:t>;</w:t>
      </w:r>
    </w:p>
    <w:p w:rsidR="001B530C" w:rsidRPr="00EA5CC9" w:rsidRDefault="001B530C" w:rsidP="001B530C">
      <w:pPr>
        <w:pStyle w:val="Tekstpodstawowy"/>
        <w:tabs>
          <w:tab w:val="left" w:pos="-2977"/>
          <w:tab w:val="left" w:pos="369"/>
        </w:tabs>
        <w:spacing w:after="0"/>
        <w:ind w:left="1276" w:hanging="284"/>
        <w:rPr>
          <w:rFonts w:cs="Times New Roman"/>
          <w:color w:val="auto"/>
          <w:sz w:val="24"/>
        </w:rPr>
      </w:pPr>
      <w:r w:rsidRPr="00EA5CC9">
        <w:rPr>
          <w:rFonts w:cs="Times New Roman"/>
          <w:color w:val="auto"/>
          <w:sz w:val="24"/>
        </w:rPr>
        <w:t>b) W przypadku, gdy Wykonawca zaoferuje termin dostawy dłuższy niż 11 dni roboczych, Zamawiający odrzuci ofertę na podstawie art. 226 ust. 1 pkt 5 Ustawy;</w:t>
      </w:r>
    </w:p>
    <w:p w:rsidR="001B530C" w:rsidRDefault="001B530C" w:rsidP="001B530C">
      <w:pPr>
        <w:pStyle w:val="Tekstpodstawowy"/>
        <w:tabs>
          <w:tab w:val="left" w:pos="-2977"/>
          <w:tab w:val="left" w:pos="369"/>
        </w:tabs>
        <w:spacing w:after="0"/>
        <w:ind w:left="1276" w:hanging="284"/>
        <w:rPr>
          <w:rStyle w:val="Domylnaczcionkaakapitu5"/>
          <w:rFonts w:cs="Times New Roman"/>
          <w:bCs/>
          <w:sz w:val="24"/>
          <w:shd w:val="clear" w:color="auto" w:fill="FFFFFF"/>
        </w:rPr>
      </w:pPr>
      <w:r w:rsidRPr="00EA5CC9">
        <w:rPr>
          <w:rStyle w:val="Domylnaczcionkaakapitu5"/>
          <w:rFonts w:cs="Times New Roman"/>
          <w:sz w:val="24"/>
          <w:shd w:val="clear" w:color="auto" w:fill="FFFFFF"/>
        </w:rPr>
        <w:t>c) W przypadku, gdy Wykonawca zaoferuje termin dostawy krótszy niż 5 dni roboczych</w:t>
      </w:r>
      <w:r w:rsidRPr="00EA5CC9">
        <w:rPr>
          <w:rStyle w:val="Domylnaczcionkaakapitu5"/>
          <w:rFonts w:cs="Times New Roman"/>
          <w:b/>
          <w:bCs/>
          <w:sz w:val="24"/>
          <w:shd w:val="clear" w:color="auto" w:fill="FFFFFF"/>
        </w:rPr>
        <w:t>,</w:t>
      </w:r>
      <w:r w:rsidRPr="00EA5CC9">
        <w:rPr>
          <w:rStyle w:val="Domylnaczcionkaakapitu5"/>
          <w:rFonts w:cs="Times New Roman"/>
          <w:sz w:val="24"/>
          <w:shd w:val="clear" w:color="auto" w:fill="FFFFFF"/>
        </w:rPr>
        <w:t xml:space="preserve"> do wyliczenia wartości punktowej w tym kryterium, Zamawiający przyjmie, że Wykonawca zaoferował 5 </w:t>
      </w:r>
      <w:r w:rsidRPr="00EA5CC9">
        <w:rPr>
          <w:rStyle w:val="Domylnaczcionkaakapitu5"/>
          <w:rFonts w:cs="Times New Roman"/>
          <w:bCs/>
          <w:sz w:val="24"/>
          <w:shd w:val="clear" w:color="auto" w:fill="FFFFFF"/>
        </w:rPr>
        <w:t>dni robocz</w:t>
      </w:r>
      <w:r>
        <w:rPr>
          <w:rStyle w:val="Domylnaczcionkaakapitu5"/>
          <w:rFonts w:cs="Times New Roman"/>
          <w:bCs/>
          <w:sz w:val="24"/>
          <w:shd w:val="clear" w:color="auto" w:fill="FFFFFF"/>
        </w:rPr>
        <w:t>ych”.</w:t>
      </w:r>
    </w:p>
    <w:p w:rsidR="001B530C" w:rsidRDefault="001B530C" w:rsidP="001B530C">
      <w:pPr>
        <w:widowControl w:val="0"/>
        <w:suppressAutoHyphens/>
        <w:autoSpaceDN w:val="0"/>
        <w:spacing w:after="0" w:line="240" w:lineRule="auto"/>
        <w:textAlignment w:val="baseline"/>
        <w:rPr>
          <w:b/>
          <w:szCs w:val="24"/>
        </w:rPr>
      </w:pPr>
    </w:p>
    <w:p w:rsidR="001B530C" w:rsidRDefault="001B530C" w:rsidP="001B530C">
      <w:pPr>
        <w:widowControl w:val="0"/>
        <w:suppressAutoHyphens/>
        <w:autoSpaceDN w:val="0"/>
        <w:spacing w:after="0" w:line="240" w:lineRule="auto"/>
        <w:textAlignment w:val="baseline"/>
        <w:rPr>
          <w:b/>
          <w:szCs w:val="24"/>
        </w:rPr>
      </w:pPr>
    </w:p>
    <w:p w:rsidR="001B530C" w:rsidRDefault="001B530C" w:rsidP="001B530C">
      <w:pPr>
        <w:widowControl w:val="0"/>
        <w:suppressAutoHyphens/>
        <w:autoSpaceDN w:val="0"/>
        <w:spacing w:after="0" w:line="240" w:lineRule="auto"/>
        <w:textAlignment w:val="baseline"/>
        <w:rPr>
          <w:b/>
          <w:szCs w:val="24"/>
        </w:rPr>
      </w:pPr>
    </w:p>
    <w:p w:rsidR="001B530C" w:rsidRDefault="001B530C" w:rsidP="001B530C">
      <w:pPr>
        <w:widowControl w:val="0"/>
        <w:suppressAutoHyphens/>
        <w:autoSpaceDN w:val="0"/>
        <w:spacing w:after="0" w:line="240" w:lineRule="auto"/>
        <w:textAlignment w:val="baseline"/>
        <w:rPr>
          <w:b/>
          <w:szCs w:val="24"/>
        </w:rPr>
      </w:pPr>
    </w:p>
    <w:p w:rsidR="001B530C" w:rsidRDefault="001B530C" w:rsidP="001B530C">
      <w:pPr>
        <w:widowControl w:val="0"/>
        <w:suppressAutoHyphens/>
        <w:autoSpaceDN w:val="0"/>
        <w:spacing w:after="0" w:line="240" w:lineRule="auto"/>
        <w:textAlignment w:val="baseline"/>
        <w:rPr>
          <w:b/>
          <w:szCs w:val="24"/>
        </w:rPr>
      </w:pPr>
    </w:p>
    <w:p w:rsidR="001B530C" w:rsidRDefault="001B530C" w:rsidP="001B530C">
      <w:pPr>
        <w:widowControl w:val="0"/>
        <w:suppressAutoHyphens/>
        <w:autoSpaceDN w:val="0"/>
        <w:spacing w:after="0" w:line="240" w:lineRule="auto"/>
        <w:textAlignment w:val="baseline"/>
        <w:rPr>
          <w:b/>
          <w:szCs w:val="24"/>
        </w:rPr>
      </w:pPr>
    </w:p>
    <w:p w:rsidR="00D06C07" w:rsidRDefault="001B530C" w:rsidP="001B530C">
      <w:pPr>
        <w:spacing w:after="120" w:line="240" w:lineRule="auto"/>
        <w:ind w:left="0" w:firstLine="0"/>
        <w:contextualSpacing/>
        <w:jc w:val="left"/>
        <w:rPr>
          <w:b/>
          <w:szCs w:val="24"/>
        </w:rPr>
      </w:pPr>
      <w:r>
        <w:rPr>
          <w:b/>
          <w:szCs w:val="24"/>
        </w:rPr>
        <w:lastRenderedPageBreak/>
        <w:t>Powinno być:</w:t>
      </w:r>
    </w:p>
    <w:p w:rsidR="001B530C" w:rsidRDefault="001B530C" w:rsidP="001B530C">
      <w:pPr>
        <w:spacing w:after="120" w:line="240" w:lineRule="auto"/>
        <w:ind w:left="0" w:firstLine="0"/>
        <w:contextualSpacing/>
        <w:jc w:val="left"/>
        <w:rPr>
          <w:b/>
          <w:szCs w:val="24"/>
        </w:rPr>
      </w:pPr>
    </w:p>
    <w:p w:rsidR="001B530C" w:rsidRPr="00EA5CC9" w:rsidRDefault="001B530C" w:rsidP="001B530C">
      <w:pPr>
        <w:rPr>
          <w:b/>
        </w:rPr>
      </w:pPr>
      <w:r>
        <w:rPr>
          <w:b/>
        </w:rPr>
        <w:t xml:space="preserve">„2) </w:t>
      </w:r>
      <w:r w:rsidRPr="00EA5CC9">
        <w:rPr>
          <w:b/>
        </w:rPr>
        <w:t>Termin dostawy (T)</w:t>
      </w:r>
    </w:p>
    <w:p w:rsidR="001B530C" w:rsidRPr="00EA5CC9" w:rsidRDefault="001B530C" w:rsidP="001B530C">
      <w:pPr>
        <w:ind w:left="993"/>
        <w:rPr>
          <w:color w:val="auto"/>
        </w:rPr>
      </w:pPr>
      <w:r w:rsidRPr="00EA5CC9">
        <w:rPr>
          <w:bCs/>
          <w:lang w:eastAsia="en-US"/>
        </w:rPr>
        <w:t xml:space="preserve">Punkty w niniejszym kryterium </w:t>
      </w:r>
      <w:r w:rsidRPr="00EA5CC9">
        <w:t>zostaną przyznane wg następujących zasad</w:t>
      </w:r>
      <w:r w:rsidRPr="00EA5CC9">
        <w:rPr>
          <w:b/>
        </w:rPr>
        <w:t>:</w:t>
      </w:r>
    </w:p>
    <w:p w:rsidR="001B530C" w:rsidRPr="00EA5CC9" w:rsidRDefault="001B530C" w:rsidP="001B530C">
      <w:pPr>
        <w:ind w:left="786"/>
        <w:rPr>
          <w:color w:val="auto"/>
        </w:rPr>
      </w:pPr>
    </w:p>
    <w:tbl>
      <w:tblPr>
        <w:tblW w:w="0" w:type="auto"/>
        <w:tblInd w:w="1190" w:type="dxa"/>
        <w:tblLayout w:type="fixed"/>
        <w:tblCellMar>
          <w:top w:w="55" w:type="dxa"/>
          <w:left w:w="55" w:type="dxa"/>
          <w:bottom w:w="55" w:type="dxa"/>
          <w:right w:w="55" w:type="dxa"/>
        </w:tblCellMar>
        <w:tblLook w:val="0000" w:firstRow="0" w:lastRow="0" w:firstColumn="0" w:lastColumn="0" w:noHBand="0" w:noVBand="0"/>
      </w:tblPr>
      <w:tblGrid>
        <w:gridCol w:w="3750"/>
        <w:gridCol w:w="2950"/>
      </w:tblGrid>
      <w:tr w:rsidR="001B530C" w:rsidRPr="00EA5CC9" w:rsidTr="00C870FC">
        <w:tc>
          <w:tcPr>
            <w:tcW w:w="3750" w:type="dxa"/>
            <w:tcBorders>
              <w:top w:val="single" w:sz="1" w:space="0" w:color="000000"/>
              <w:left w:val="single" w:sz="1" w:space="0" w:color="000000"/>
              <w:bottom w:val="single" w:sz="1" w:space="0" w:color="000000"/>
            </w:tcBorders>
            <w:shd w:val="clear" w:color="auto" w:fill="auto"/>
          </w:tcPr>
          <w:p w:rsidR="001B530C" w:rsidRPr="00EA5CC9" w:rsidRDefault="001B530C" w:rsidP="00C870FC">
            <w:pPr>
              <w:tabs>
                <w:tab w:val="left" w:pos="284"/>
              </w:tabs>
              <w:spacing w:after="120" w:line="276" w:lineRule="auto"/>
              <w:contextualSpacing/>
              <w:jc w:val="center"/>
              <w:rPr>
                <w:rFonts w:eastAsia="Calibri"/>
                <w:color w:val="auto"/>
              </w:rPr>
            </w:pPr>
            <w:r w:rsidRPr="00EA5CC9">
              <w:rPr>
                <w:rFonts w:eastAsia="Calibri"/>
                <w:b/>
                <w:color w:val="auto"/>
              </w:rPr>
              <w:t>Zaoferowany termin dostawy:</w:t>
            </w:r>
          </w:p>
        </w:tc>
        <w:tc>
          <w:tcPr>
            <w:tcW w:w="2950" w:type="dxa"/>
            <w:tcBorders>
              <w:top w:val="single" w:sz="1" w:space="0" w:color="000000"/>
              <w:left w:val="single" w:sz="1" w:space="0" w:color="000000"/>
              <w:bottom w:val="single" w:sz="1" w:space="0" w:color="000000"/>
              <w:right w:val="single" w:sz="1" w:space="0" w:color="000000"/>
            </w:tcBorders>
            <w:shd w:val="clear" w:color="auto" w:fill="auto"/>
          </w:tcPr>
          <w:p w:rsidR="001B530C" w:rsidRPr="00EA5CC9" w:rsidRDefault="001B530C" w:rsidP="00C870FC">
            <w:pPr>
              <w:tabs>
                <w:tab w:val="left" w:pos="284"/>
              </w:tabs>
              <w:spacing w:after="120" w:line="276" w:lineRule="auto"/>
              <w:contextualSpacing/>
              <w:jc w:val="center"/>
              <w:rPr>
                <w:rFonts w:eastAsia="Calibri"/>
                <w:color w:val="auto"/>
              </w:rPr>
            </w:pPr>
            <w:r w:rsidRPr="00EA5CC9">
              <w:rPr>
                <w:rFonts w:eastAsia="Calibri"/>
                <w:b/>
                <w:color w:val="auto"/>
              </w:rPr>
              <w:t>Liczba przyznanych pkt</w:t>
            </w:r>
          </w:p>
        </w:tc>
      </w:tr>
      <w:tr w:rsidR="001B530C" w:rsidRPr="00EA5CC9" w:rsidTr="00C870FC">
        <w:trPr>
          <w:trHeight w:val="306"/>
        </w:trPr>
        <w:tc>
          <w:tcPr>
            <w:tcW w:w="3750" w:type="dxa"/>
            <w:tcBorders>
              <w:top w:val="single" w:sz="1" w:space="0" w:color="000000"/>
              <w:left w:val="single" w:sz="1" w:space="0" w:color="000000"/>
              <w:bottom w:val="single" w:sz="1" w:space="0" w:color="000000"/>
            </w:tcBorders>
            <w:shd w:val="clear" w:color="auto" w:fill="auto"/>
          </w:tcPr>
          <w:p w:rsidR="001B530C" w:rsidRPr="00EA5CC9" w:rsidRDefault="001B530C" w:rsidP="00C870FC">
            <w:pPr>
              <w:tabs>
                <w:tab w:val="left" w:pos="284"/>
              </w:tabs>
              <w:spacing w:after="120" w:line="276" w:lineRule="auto"/>
              <w:contextualSpacing/>
              <w:jc w:val="center"/>
              <w:rPr>
                <w:rFonts w:eastAsia="Calibri"/>
                <w:color w:val="auto"/>
              </w:rPr>
            </w:pPr>
            <w:r w:rsidRPr="00EA5CC9">
              <w:rPr>
                <w:rFonts w:eastAsia="Calibri"/>
                <w:color w:val="auto"/>
              </w:rPr>
              <w:t>11 dni roboczych</w:t>
            </w:r>
          </w:p>
        </w:tc>
        <w:tc>
          <w:tcPr>
            <w:tcW w:w="2950" w:type="dxa"/>
            <w:tcBorders>
              <w:top w:val="single" w:sz="1" w:space="0" w:color="000000"/>
              <w:left w:val="single" w:sz="1" w:space="0" w:color="000000"/>
              <w:bottom w:val="single" w:sz="1" w:space="0" w:color="000000"/>
              <w:right w:val="single" w:sz="1" w:space="0" w:color="000000"/>
            </w:tcBorders>
            <w:shd w:val="clear" w:color="auto" w:fill="auto"/>
          </w:tcPr>
          <w:p w:rsidR="001B530C" w:rsidRPr="00EA5CC9" w:rsidRDefault="001B530C" w:rsidP="00C870FC">
            <w:pPr>
              <w:tabs>
                <w:tab w:val="left" w:pos="284"/>
              </w:tabs>
              <w:spacing w:after="120" w:line="276" w:lineRule="auto"/>
              <w:contextualSpacing/>
              <w:jc w:val="center"/>
              <w:rPr>
                <w:rFonts w:eastAsia="Calibri"/>
                <w:color w:val="auto"/>
              </w:rPr>
            </w:pPr>
            <w:r w:rsidRPr="00EA5CC9">
              <w:rPr>
                <w:rFonts w:eastAsia="Calibri"/>
                <w:color w:val="auto"/>
              </w:rPr>
              <w:t>0</w:t>
            </w:r>
          </w:p>
        </w:tc>
      </w:tr>
      <w:tr w:rsidR="001B530C" w:rsidRPr="00EA5CC9" w:rsidTr="00C870FC">
        <w:tc>
          <w:tcPr>
            <w:tcW w:w="3750" w:type="dxa"/>
            <w:tcBorders>
              <w:left w:val="single" w:sz="1" w:space="0" w:color="000000"/>
              <w:bottom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10 dni roboczych</w:t>
            </w:r>
          </w:p>
        </w:tc>
        <w:tc>
          <w:tcPr>
            <w:tcW w:w="2950" w:type="dxa"/>
            <w:tcBorders>
              <w:left w:val="single" w:sz="1" w:space="0" w:color="000000"/>
              <w:bottom w:val="single" w:sz="4" w:space="0" w:color="auto"/>
              <w:right w:val="single" w:sz="1" w:space="0" w:color="000000"/>
            </w:tcBorders>
            <w:shd w:val="clear" w:color="auto" w:fill="auto"/>
          </w:tcPr>
          <w:p w:rsidR="001B530C" w:rsidRPr="00EA5CC9" w:rsidRDefault="00F608E8" w:rsidP="00C870FC">
            <w:pPr>
              <w:suppressLineNumbers/>
              <w:jc w:val="center"/>
              <w:rPr>
                <w:color w:val="auto"/>
              </w:rPr>
            </w:pPr>
            <w:r>
              <w:rPr>
                <w:color w:val="auto"/>
              </w:rPr>
              <w:t>5</w:t>
            </w:r>
          </w:p>
        </w:tc>
      </w:tr>
      <w:tr w:rsidR="001B530C" w:rsidRPr="00EA5CC9" w:rsidTr="00C870FC">
        <w:tc>
          <w:tcPr>
            <w:tcW w:w="3750" w:type="dxa"/>
            <w:tcBorders>
              <w:top w:val="single" w:sz="4" w:space="0" w:color="auto"/>
              <w:left w:val="single" w:sz="4" w:space="0" w:color="auto"/>
              <w:bottom w:val="single" w:sz="4" w:space="0" w:color="auto"/>
              <w:right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9 dni roboczych</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1B530C" w:rsidRPr="00EA5CC9" w:rsidRDefault="00F608E8" w:rsidP="00C870FC">
            <w:pPr>
              <w:suppressLineNumbers/>
              <w:jc w:val="center"/>
              <w:rPr>
                <w:color w:val="auto"/>
              </w:rPr>
            </w:pPr>
            <w:r>
              <w:rPr>
                <w:color w:val="auto"/>
              </w:rPr>
              <w:t>10</w:t>
            </w:r>
          </w:p>
        </w:tc>
      </w:tr>
      <w:tr w:rsidR="001B530C" w:rsidRPr="00EA5CC9" w:rsidTr="00C870FC">
        <w:tc>
          <w:tcPr>
            <w:tcW w:w="3750" w:type="dxa"/>
            <w:tcBorders>
              <w:left w:val="single" w:sz="1" w:space="0" w:color="000000"/>
              <w:bottom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8 dni roboczych</w:t>
            </w:r>
          </w:p>
        </w:tc>
        <w:tc>
          <w:tcPr>
            <w:tcW w:w="2950" w:type="dxa"/>
            <w:tcBorders>
              <w:left w:val="single" w:sz="1" w:space="0" w:color="000000"/>
              <w:bottom w:val="single" w:sz="4" w:space="0" w:color="auto"/>
              <w:right w:val="single" w:sz="1" w:space="0" w:color="000000"/>
            </w:tcBorders>
            <w:shd w:val="clear" w:color="auto" w:fill="auto"/>
          </w:tcPr>
          <w:p w:rsidR="001B530C" w:rsidRPr="00EA5CC9" w:rsidRDefault="00F608E8" w:rsidP="00C870FC">
            <w:pPr>
              <w:suppressLineNumbers/>
              <w:jc w:val="center"/>
              <w:rPr>
                <w:color w:val="auto"/>
              </w:rPr>
            </w:pPr>
            <w:r>
              <w:rPr>
                <w:color w:val="auto"/>
              </w:rPr>
              <w:t>15</w:t>
            </w:r>
          </w:p>
        </w:tc>
      </w:tr>
      <w:tr w:rsidR="001B530C" w:rsidRPr="00EA5CC9" w:rsidTr="00C870FC">
        <w:tc>
          <w:tcPr>
            <w:tcW w:w="3750" w:type="dxa"/>
            <w:tcBorders>
              <w:left w:val="single" w:sz="1" w:space="0" w:color="000000"/>
              <w:bottom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7 dni roboczych</w:t>
            </w:r>
          </w:p>
        </w:tc>
        <w:tc>
          <w:tcPr>
            <w:tcW w:w="2950" w:type="dxa"/>
            <w:tcBorders>
              <w:left w:val="single" w:sz="1" w:space="0" w:color="000000"/>
              <w:bottom w:val="single" w:sz="4" w:space="0" w:color="auto"/>
              <w:right w:val="single" w:sz="1" w:space="0" w:color="000000"/>
            </w:tcBorders>
            <w:shd w:val="clear" w:color="auto" w:fill="auto"/>
          </w:tcPr>
          <w:p w:rsidR="001B530C" w:rsidRPr="00EA5CC9" w:rsidRDefault="00F608E8" w:rsidP="00C870FC">
            <w:pPr>
              <w:suppressLineNumbers/>
              <w:jc w:val="center"/>
              <w:rPr>
                <w:color w:val="auto"/>
              </w:rPr>
            </w:pPr>
            <w:r>
              <w:rPr>
                <w:color w:val="auto"/>
              </w:rPr>
              <w:t>20</w:t>
            </w:r>
          </w:p>
        </w:tc>
      </w:tr>
      <w:tr w:rsidR="001B530C" w:rsidRPr="00EA5CC9" w:rsidTr="00C870FC">
        <w:tc>
          <w:tcPr>
            <w:tcW w:w="3750" w:type="dxa"/>
            <w:tcBorders>
              <w:left w:val="single" w:sz="1" w:space="0" w:color="000000"/>
              <w:bottom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6 dni roboczych</w:t>
            </w:r>
          </w:p>
        </w:tc>
        <w:tc>
          <w:tcPr>
            <w:tcW w:w="2950" w:type="dxa"/>
            <w:tcBorders>
              <w:left w:val="single" w:sz="1" w:space="0" w:color="000000"/>
              <w:bottom w:val="single" w:sz="4" w:space="0" w:color="auto"/>
              <w:right w:val="single" w:sz="1" w:space="0" w:color="000000"/>
            </w:tcBorders>
            <w:shd w:val="clear" w:color="auto" w:fill="auto"/>
          </w:tcPr>
          <w:p w:rsidR="001B530C" w:rsidRPr="00EA5CC9" w:rsidRDefault="00F608E8" w:rsidP="00C870FC">
            <w:pPr>
              <w:suppressLineNumbers/>
              <w:jc w:val="center"/>
              <w:rPr>
                <w:color w:val="auto"/>
              </w:rPr>
            </w:pPr>
            <w:r>
              <w:rPr>
                <w:color w:val="auto"/>
              </w:rPr>
              <w:t>30</w:t>
            </w:r>
          </w:p>
        </w:tc>
      </w:tr>
      <w:tr w:rsidR="001B530C" w:rsidRPr="00EA5CC9" w:rsidTr="00C870FC">
        <w:tc>
          <w:tcPr>
            <w:tcW w:w="3750" w:type="dxa"/>
            <w:tcBorders>
              <w:top w:val="single" w:sz="4" w:space="0" w:color="auto"/>
              <w:left w:val="single" w:sz="4" w:space="0" w:color="auto"/>
              <w:bottom w:val="single" w:sz="4" w:space="0" w:color="auto"/>
              <w:right w:val="single" w:sz="4" w:space="0" w:color="auto"/>
            </w:tcBorders>
            <w:shd w:val="clear" w:color="auto" w:fill="auto"/>
          </w:tcPr>
          <w:p w:rsidR="001B530C" w:rsidRPr="00EA5CC9" w:rsidRDefault="001B530C" w:rsidP="00C870FC">
            <w:pPr>
              <w:suppressLineNumbers/>
              <w:jc w:val="center"/>
              <w:rPr>
                <w:color w:val="auto"/>
              </w:rPr>
            </w:pPr>
            <w:r w:rsidRPr="00EA5CC9">
              <w:rPr>
                <w:color w:val="auto"/>
              </w:rPr>
              <w:t>5 dni roboczych</w:t>
            </w: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1B530C" w:rsidRPr="00EA5CC9" w:rsidRDefault="001B530C" w:rsidP="00C870FC">
            <w:pPr>
              <w:suppressLineNumbers/>
              <w:jc w:val="center"/>
              <w:rPr>
                <w:color w:val="auto"/>
              </w:rPr>
            </w:pPr>
            <w:r>
              <w:rPr>
                <w:color w:val="auto"/>
              </w:rPr>
              <w:t>40</w:t>
            </w:r>
          </w:p>
        </w:tc>
      </w:tr>
    </w:tbl>
    <w:p w:rsidR="001B530C" w:rsidRPr="00EA5CC9" w:rsidRDefault="001B530C" w:rsidP="001B530C">
      <w:pPr>
        <w:ind w:left="709"/>
      </w:pPr>
    </w:p>
    <w:p w:rsidR="001B530C" w:rsidRPr="00EA5CC9" w:rsidRDefault="001B530C" w:rsidP="001B530C">
      <w:pPr>
        <w:ind w:left="1276" w:hanging="284"/>
        <w:rPr>
          <w:b/>
          <w:bCs/>
          <w:color w:val="auto"/>
          <w:u w:val="single"/>
        </w:rPr>
      </w:pPr>
      <w:r w:rsidRPr="00EA5CC9">
        <w:rPr>
          <w:bCs/>
          <w:color w:val="auto"/>
        </w:rPr>
        <w:t xml:space="preserve">a) Wykonawca zobowiązany jest do podania terminu dostawy w pełnych dniach czyli pięć dni roboczych, sześć dni roboczych </w:t>
      </w:r>
      <w:proofErr w:type="spellStart"/>
      <w:r w:rsidRPr="00EA5CC9">
        <w:rPr>
          <w:bCs/>
          <w:color w:val="auto"/>
        </w:rPr>
        <w:t>itd</w:t>
      </w:r>
      <w:proofErr w:type="spellEnd"/>
      <w:r w:rsidRPr="00EA5CC9">
        <w:rPr>
          <w:bCs/>
          <w:color w:val="auto"/>
        </w:rPr>
        <w:t>;</w:t>
      </w:r>
    </w:p>
    <w:p w:rsidR="001B530C" w:rsidRPr="00EA5CC9" w:rsidRDefault="001B530C" w:rsidP="001B530C">
      <w:pPr>
        <w:pStyle w:val="Tekstpodstawowy"/>
        <w:tabs>
          <w:tab w:val="left" w:pos="-2977"/>
          <w:tab w:val="left" w:pos="369"/>
        </w:tabs>
        <w:spacing w:after="0"/>
        <w:ind w:left="1276" w:hanging="284"/>
        <w:rPr>
          <w:rFonts w:cs="Times New Roman"/>
          <w:color w:val="auto"/>
          <w:sz w:val="24"/>
        </w:rPr>
      </w:pPr>
      <w:r w:rsidRPr="00EA5CC9">
        <w:rPr>
          <w:rFonts w:cs="Times New Roman"/>
          <w:color w:val="auto"/>
          <w:sz w:val="24"/>
        </w:rPr>
        <w:t>b) W przypadku, gdy Wykonawca zaoferuje termin dostawy dłuższy niż 11 dni roboczych, Zamawiający odrzuci ofertę na podstawie art. 226 ust. 1 pkt 5 Ustawy;</w:t>
      </w:r>
    </w:p>
    <w:p w:rsidR="001B530C" w:rsidRDefault="001B530C" w:rsidP="001B530C">
      <w:pPr>
        <w:pStyle w:val="Tekstpodstawowy"/>
        <w:tabs>
          <w:tab w:val="left" w:pos="-2977"/>
          <w:tab w:val="left" w:pos="369"/>
        </w:tabs>
        <w:spacing w:after="0"/>
        <w:ind w:left="1276" w:hanging="284"/>
        <w:rPr>
          <w:rStyle w:val="Domylnaczcionkaakapitu5"/>
          <w:rFonts w:cs="Times New Roman"/>
          <w:bCs/>
          <w:sz w:val="24"/>
          <w:shd w:val="clear" w:color="auto" w:fill="FFFFFF"/>
        </w:rPr>
      </w:pPr>
      <w:r w:rsidRPr="00EA5CC9">
        <w:rPr>
          <w:rStyle w:val="Domylnaczcionkaakapitu5"/>
          <w:rFonts w:cs="Times New Roman"/>
          <w:sz w:val="24"/>
          <w:shd w:val="clear" w:color="auto" w:fill="FFFFFF"/>
        </w:rPr>
        <w:t>c) W przypadku, gdy Wykonawca zaoferuje termin dostawy krótszy niż 5 dni roboczych</w:t>
      </w:r>
      <w:r w:rsidRPr="00EA5CC9">
        <w:rPr>
          <w:rStyle w:val="Domylnaczcionkaakapitu5"/>
          <w:rFonts w:cs="Times New Roman"/>
          <w:b/>
          <w:bCs/>
          <w:sz w:val="24"/>
          <w:shd w:val="clear" w:color="auto" w:fill="FFFFFF"/>
        </w:rPr>
        <w:t>,</w:t>
      </w:r>
      <w:r w:rsidRPr="00EA5CC9">
        <w:rPr>
          <w:rStyle w:val="Domylnaczcionkaakapitu5"/>
          <w:rFonts w:cs="Times New Roman"/>
          <w:sz w:val="24"/>
          <w:shd w:val="clear" w:color="auto" w:fill="FFFFFF"/>
        </w:rPr>
        <w:t xml:space="preserve"> do wyliczenia wartości punktowej w tym kryterium, Zamawiający przyjmie, że Wykonawca zaoferował 5 </w:t>
      </w:r>
      <w:r w:rsidRPr="00EA5CC9">
        <w:rPr>
          <w:rStyle w:val="Domylnaczcionkaakapitu5"/>
          <w:rFonts w:cs="Times New Roman"/>
          <w:bCs/>
          <w:sz w:val="24"/>
          <w:shd w:val="clear" w:color="auto" w:fill="FFFFFF"/>
        </w:rPr>
        <w:t>dni robocz</w:t>
      </w:r>
      <w:r>
        <w:rPr>
          <w:rStyle w:val="Domylnaczcionkaakapitu5"/>
          <w:rFonts w:cs="Times New Roman"/>
          <w:bCs/>
          <w:sz w:val="24"/>
          <w:shd w:val="clear" w:color="auto" w:fill="FFFFFF"/>
        </w:rPr>
        <w:t>ych”.</w:t>
      </w:r>
    </w:p>
    <w:p w:rsidR="001B530C" w:rsidRDefault="001B530C" w:rsidP="001B530C">
      <w:pPr>
        <w:spacing w:after="120" w:line="240" w:lineRule="auto"/>
        <w:ind w:left="0" w:firstLine="0"/>
        <w:contextualSpacing/>
        <w:jc w:val="left"/>
        <w:rPr>
          <w:b/>
          <w:szCs w:val="24"/>
        </w:rPr>
      </w:pPr>
    </w:p>
    <w:p w:rsidR="0014611E" w:rsidRDefault="0014611E" w:rsidP="001B530C">
      <w:pPr>
        <w:spacing w:after="120" w:line="240" w:lineRule="auto"/>
        <w:ind w:left="0" w:firstLine="0"/>
        <w:contextualSpacing/>
        <w:jc w:val="left"/>
        <w:rPr>
          <w:b/>
          <w:szCs w:val="24"/>
        </w:rPr>
      </w:pPr>
    </w:p>
    <w:p w:rsidR="0014611E" w:rsidRDefault="0014611E" w:rsidP="001B530C">
      <w:pPr>
        <w:spacing w:after="120" w:line="240" w:lineRule="auto"/>
        <w:ind w:left="0" w:firstLine="0"/>
        <w:contextualSpacing/>
        <w:jc w:val="left"/>
        <w:rPr>
          <w:b/>
          <w:szCs w:val="24"/>
        </w:rPr>
      </w:pPr>
    </w:p>
    <w:p w:rsidR="0014611E" w:rsidRDefault="0014611E" w:rsidP="001B530C">
      <w:pPr>
        <w:spacing w:after="120" w:line="240" w:lineRule="auto"/>
        <w:ind w:left="0" w:firstLine="0"/>
        <w:contextualSpacing/>
        <w:jc w:val="left"/>
        <w:rPr>
          <w:b/>
          <w:szCs w:val="24"/>
        </w:rPr>
      </w:pPr>
    </w:p>
    <w:p w:rsidR="0014611E" w:rsidRDefault="0014611E" w:rsidP="0014611E">
      <w:pPr>
        <w:spacing w:after="120" w:line="240" w:lineRule="auto"/>
        <w:ind w:left="0" w:firstLine="0"/>
        <w:contextualSpacing/>
        <w:jc w:val="right"/>
        <w:rPr>
          <w:b/>
          <w:szCs w:val="24"/>
        </w:rPr>
      </w:pPr>
      <w:r>
        <w:rPr>
          <w:b/>
          <w:szCs w:val="24"/>
        </w:rPr>
        <w:t>Podpis na oryginale:</w:t>
      </w:r>
    </w:p>
    <w:p w:rsidR="0014611E" w:rsidRDefault="0014611E" w:rsidP="0014611E">
      <w:pPr>
        <w:spacing w:after="120" w:line="240" w:lineRule="auto"/>
        <w:ind w:left="0" w:firstLine="0"/>
        <w:contextualSpacing/>
        <w:jc w:val="right"/>
        <w:rPr>
          <w:b/>
          <w:szCs w:val="24"/>
        </w:rPr>
      </w:pPr>
    </w:p>
    <w:p w:rsidR="0014611E" w:rsidRPr="00207FB2" w:rsidRDefault="0014611E" w:rsidP="0014611E">
      <w:pPr>
        <w:spacing w:after="120" w:line="240" w:lineRule="auto"/>
        <w:ind w:left="0" w:firstLine="0"/>
        <w:contextualSpacing/>
        <w:jc w:val="right"/>
        <w:rPr>
          <w:b/>
          <w:szCs w:val="24"/>
        </w:rPr>
      </w:pPr>
      <w:r>
        <w:rPr>
          <w:b/>
          <w:szCs w:val="24"/>
        </w:rPr>
        <w:t>\-\ Kata</w:t>
      </w:r>
      <w:bookmarkStart w:id="0" w:name="_GoBack"/>
      <w:bookmarkEnd w:id="0"/>
      <w:r>
        <w:rPr>
          <w:b/>
          <w:szCs w:val="24"/>
        </w:rPr>
        <w:t>rzyna Jacak</w:t>
      </w:r>
    </w:p>
    <w:sectPr w:rsidR="0014611E" w:rsidRPr="00207FB2"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563" w:rsidRDefault="00182563" w:rsidP="00FB35C9">
      <w:pPr>
        <w:spacing w:after="0" w:line="240" w:lineRule="auto"/>
      </w:pPr>
      <w:r>
        <w:separator/>
      </w:r>
    </w:p>
  </w:endnote>
  <w:endnote w:type="continuationSeparator" w:id="0">
    <w:p w:rsidR="00182563" w:rsidRDefault="00182563"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E3458E" w:rsidRDefault="00E3458E" w:rsidP="00E3458E">
    <w:pPr>
      <w:tabs>
        <w:tab w:val="center" w:pos="4536"/>
        <w:tab w:val="right" w:pos="9072"/>
      </w:tabs>
      <w:spacing w:after="0" w:line="240" w:lineRule="auto"/>
      <w:ind w:left="0" w:firstLine="0"/>
      <w:jc w:val="left"/>
      <w:rPr>
        <w:color w:val="auto"/>
        <w:sz w:val="20"/>
        <w:szCs w:val="20"/>
      </w:rPr>
    </w:pPr>
    <w:r w:rsidRPr="00BA083D">
      <w:rPr>
        <w:rFonts w:ascii="Century Gothic" w:hAnsi="Century Gothic"/>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BA083D">
      <w:rPr>
        <w:rFonts w:ascii="Century Gothic" w:hAnsi="Century Gothic"/>
        <w:noProof/>
        <w:color w:val="auto"/>
        <w:sz w:val="18"/>
        <w:szCs w:val="18"/>
      </w:rPr>
      <w:t>P. Sobieraj</w:t>
    </w:r>
    <w:r w:rsidRPr="00BA083D">
      <w:rPr>
        <w:rFonts w:ascii="Century Gothic" w:hAnsi="Century Gothic"/>
        <w:color w:val="auto"/>
        <w:sz w:val="18"/>
        <w:szCs w:val="18"/>
      </w:rPr>
      <w:t xml:space="preserve"> 47 72</w:t>
    </w:r>
    <w:r w:rsidR="00BA083D" w:rsidRPr="00BA083D">
      <w:rPr>
        <w:rFonts w:ascii="Century Gothic" w:hAnsi="Century Gothic"/>
        <w:color w:val="auto"/>
        <w:sz w:val="18"/>
        <w:szCs w:val="18"/>
      </w:rPr>
      <w:t> 376 91</w:t>
    </w:r>
    <w:r w:rsidR="00BA083D">
      <w:rPr>
        <w:rFonts w:ascii="Century Gothic" w:hAnsi="Century Gothic"/>
        <w:color w:val="auto"/>
        <w:sz w:val="20"/>
        <w:szCs w:val="20"/>
      </w:rPr>
      <w:t xml:space="preserve">                      </w:t>
    </w:r>
    <w:r w:rsidRPr="00E3458E">
      <w:rPr>
        <w:rFonts w:ascii="Century Gothic" w:hAnsi="Century Gothic"/>
        <w:color w:val="auto"/>
        <w:sz w:val="20"/>
        <w:szCs w:val="20"/>
      </w:rPr>
      <w:t>Komenda Stołeczna</w:t>
    </w:r>
    <w:r w:rsidRPr="00E3458E">
      <w:rPr>
        <w:color w:val="auto"/>
        <w:sz w:val="20"/>
        <w:szCs w:val="20"/>
      </w:rPr>
      <w:t xml:space="preserve"> </w:t>
    </w:r>
    <w:r w:rsidRPr="00E3458E">
      <w:rPr>
        <w:rFonts w:ascii="Century Gothic" w:hAnsi="Century Gothic"/>
        <w:color w:val="auto"/>
        <w:sz w:val="20"/>
        <w:szCs w:val="20"/>
      </w:rPr>
      <w:t>Policji</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Wydział Zamówień Publicznych</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563" w:rsidRDefault="00182563" w:rsidP="00FB35C9">
      <w:pPr>
        <w:spacing w:after="0" w:line="240" w:lineRule="auto"/>
      </w:pPr>
      <w:r>
        <w:separator/>
      </w:r>
    </w:p>
  </w:footnote>
  <w:footnote w:type="continuationSeparator" w:id="0">
    <w:p w:rsidR="00182563" w:rsidRDefault="00182563"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62FBC"/>
    <w:rsid w:val="00090EAC"/>
    <w:rsid w:val="000A4603"/>
    <w:rsid w:val="000C44A6"/>
    <w:rsid w:val="000C4569"/>
    <w:rsid w:val="000F0C55"/>
    <w:rsid w:val="001115A1"/>
    <w:rsid w:val="001127E8"/>
    <w:rsid w:val="0014611E"/>
    <w:rsid w:val="00175F2A"/>
    <w:rsid w:val="001805D3"/>
    <w:rsid w:val="001818A5"/>
    <w:rsid w:val="00182563"/>
    <w:rsid w:val="00196A9C"/>
    <w:rsid w:val="001B04C0"/>
    <w:rsid w:val="001B530C"/>
    <w:rsid w:val="001C26C5"/>
    <w:rsid w:val="001F301B"/>
    <w:rsid w:val="001F69C1"/>
    <w:rsid w:val="00207FB2"/>
    <w:rsid w:val="00210396"/>
    <w:rsid w:val="00251558"/>
    <w:rsid w:val="002766BB"/>
    <w:rsid w:val="0029086E"/>
    <w:rsid w:val="002A5608"/>
    <w:rsid w:val="002B4EDF"/>
    <w:rsid w:val="002D0C7F"/>
    <w:rsid w:val="002F35D7"/>
    <w:rsid w:val="0033180E"/>
    <w:rsid w:val="00332CD4"/>
    <w:rsid w:val="00337393"/>
    <w:rsid w:val="0036086D"/>
    <w:rsid w:val="00385CA4"/>
    <w:rsid w:val="003875D2"/>
    <w:rsid w:val="003A173E"/>
    <w:rsid w:val="0042375E"/>
    <w:rsid w:val="00492EC8"/>
    <w:rsid w:val="004A38E2"/>
    <w:rsid w:val="004C2918"/>
    <w:rsid w:val="004C7C9F"/>
    <w:rsid w:val="00504789"/>
    <w:rsid w:val="005324A9"/>
    <w:rsid w:val="00532DF6"/>
    <w:rsid w:val="005D5EFB"/>
    <w:rsid w:val="005E070E"/>
    <w:rsid w:val="005E744D"/>
    <w:rsid w:val="005F482C"/>
    <w:rsid w:val="00605F96"/>
    <w:rsid w:val="00635B77"/>
    <w:rsid w:val="006471C6"/>
    <w:rsid w:val="006932DA"/>
    <w:rsid w:val="006A0406"/>
    <w:rsid w:val="006C1F12"/>
    <w:rsid w:val="006D63EF"/>
    <w:rsid w:val="006D723F"/>
    <w:rsid w:val="006E5130"/>
    <w:rsid w:val="007031BB"/>
    <w:rsid w:val="0077558C"/>
    <w:rsid w:val="00794BFC"/>
    <w:rsid w:val="007C4CED"/>
    <w:rsid w:val="007D6912"/>
    <w:rsid w:val="00861521"/>
    <w:rsid w:val="00892F50"/>
    <w:rsid w:val="008E39C7"/>
    <w:rsid w:val="008F0FEE"/>
    <w:rsid w:val="009052F5"/>
    <w:rsid w:val="009059FA"/>
    <w:rsid w:val="00940D45"/>
    <w:rsid w:val="00944309"/>
    <w:rsid w:val="0096496A"/>
    <w:rsid w:val="009D0E1E"/>
    <w:rsid w:val="009D44EB"/>
    <w:rsid w:val="009E45EC"/>
    <w:rsid w:val="00A02D88"/>
    <w:rsid w:val="00A648B6"/>
    <w:rsid w:val="00A94BE1"/>
    <w:rsid w:val="00A94D53"/>
    <w:rsid w:val="00B217BA"/>
    <w:rsid w:val="00B62CAC"/>
    <w:rsid w:val="00BA083D"/>
    <w:rsid w:val="00BA7C2F"/>
    <w:rsid w:val="00BE4537"/>
    <w:rsid w:val="00C131C5"/>
    <w:rsid w:val="00C34F00"/>
    <w:rsid w:val="00C60E7A"/>
    <w:rsid w:val="00C93878"/>
    <w:rsid w:val="00C96DEE"/>
    <w:rsid w:val="00CA4F07"/>
    <w:rsid w:val="00D06C07"/>
    <w:rsid w:val="00D22E27"/>
    <w:rsid w:val="00D24DB1"/>
    <w:rsid w:val="00D31385"/>
    <w:rsid w:val="00D35B83"/>
    <w:rsid w:val="00D52E13"/>
    <w:rsid w:val="00D52FB7"/>
    <w:rsid w:val="00D900D4"/>
    <w:rsid w:val="00D9151E"/>
    <w:rsid w:val="00D9357C"/>
    <w:rsid w:val="00DA31C2"/>
    <w:rsid w:val="00DA6B8D"/>
    <w:rsid w:val="00DB0C56"/>
    <w:rsid w:val="00DD451C"/>
    <w:rsid w:val="00DF573C"/>
    <w:rsid w:val="00E3458E"/>
    <w:rsid w:val="00E61FD8"/>
    <w:rsid w:val="00E62BB7"/>
    <w:rsid w:val="00E72ABF"/>
    <w:rsid w:val="00E91422"/>
    <w:rsid w:val="00EC7875"/>
    <w:rsid w:val="00EE6028"/>
    <w:rsid w:val="00F30425"/>
    <w:rsid w:val="00F36C28"/>
    <w:rsid w:val="00F608E8"/>
    <w:rsid w:val="00F803C1"/>
    <w:rsid w:val="00FA05E5"/>
    <w:rsid w:val="00FB2ED9"/>
    <w:rsid w:val="00FB35C9"/>
    <w:rsid w:val="00FB78D2"/>
    <w:rsid w:val="00FC0ED5"/>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3C7735"/>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 w:type="character" w:customStyle="1" w:styleId="Domylnaczcionkaakapitu5">
    <w:name w:val="Domyślna czcionka akapitu5"/>
    <w:rsid w:val="001B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4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9D9DF-43D9-47F1-A5D3-5863C032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1724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4</cp:revision>
  <cp:lastPrinted>2023-08-11T11:17:00Z</cp:lastPrinted>
  <dcterms:created xsi:type="dcterms:W3CDTF">2023-08-11T11:32:00Z</dcterms:created>
  <dcterms:modified xsi:type="dcterms:W3CDTF">2023-08-11T11:33:00Z</dcterms:modified>
</cp:coreProperties>
</file>