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6A6C9DAE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>Znak spr. SA.270.1.2023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>
        <w:rPr>
          <w:rFonts w:ascii="Cambria" w:eastAsia="Calibri" w:hAnsi="Cambria" w:cs="Times New Roman"/>
        </w:rPr>
        <w:t>2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77777777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>„Remont budynku mieszkalnego w Leśnictwie Czernica na potrzeby Nadleśnictwa Przymuszewo”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5B4A1820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Pr="006B3D34">
        <w:rPr>
          <w:rFonts w:ascii="Cambria" w:eastAsia="Calibri" w:hAnsi="Cambria" w:cs="Times New Roman"/>
        </w:rPr>
        <w:tab/>
      </w:r>
      <w:r w:rsidR="003B4F89" w:rsidRPr="003B4F89">
        <w:rPr>
          <w:rFonts w:ascii="Cambria" w:eastAsia="Calibri" w:hAnsi="Cambria" w:cs="Times New Roman"/>
        </w:rPr>
        <w:t>ocds-148610-80453204-9589-11ed-94da-6ae0fe5e7159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3B4F89"/>
    <w:rsid w:val="006B3D34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4</cp:revision>
  <dcterms:created xsi:type="dcterms:W3CDTF">2023-01-17T07:22:00Z</dcterms:created>
  <dcterms:modified xsi:type="dcterms:W3CDTF">2023-01-17T12:20:00Z</dcterms:modified>
</cp:coreProperties>
</file>