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72FDD80" w:rsidR="005B5871" w:rsidRPr="00E054BA" w:rsidRDefault="00E81D74" w:rsidP="00763158">
            <w:pPr>
              <w:spacing w:before="40" w:after="40" w:line="276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0A77DA" w:rsidRPr="000A77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przedłużenia licencji posiadanego oprogramowania antywirusowego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563BA939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3216E3" w:rsidRPr="003216E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DZP.382.1. </w:t>
            </w:r>
            <w:r w:rsidR="000A77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78</w:t>
            </w:r>
            <w:r w:rsidR="003216E3" w:rsidRPr="003216E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.2023</w:t>
            </w:r>
            <w:r w:rsidR="00B5771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5F3E01CB" w:rsidR="00F85C46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8D7B2C4" w14:textId="35F20A3B" w:rsidR="000A77DA" w:rsidRDefault="000A77DA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17F4B08" w14:textId="77777777" w:rsidR="000A77DA" w:rsidRPr="00E054BA" w:rsidRDefault="000A77DA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03D2212C" w14:textId="77777777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0F81C9B5" w14:textId="77777777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56E90414" w14:textId="77777777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0D94638E" w14:textId="77777777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7BCE40A0" w14:textId="444E5EB7" w:rsidR="000A77DA" w:rsidRDefault="00272E3F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763158">
        <w:rPr>
          <w:rFonts w:eastAsia="Calibri" w:cs="Arial"/>
          <w:b/>
          <w:szCs w:val="20"/>
          <w:lang w:eastAsia="pl-PL"/>
        </w:rPr>
        <w:t xml:space="preserve"> </w:t>
      </w:r>
      <w:r w:rsidR="000B0AAE" w:rsidRPr="00763158">
        <w:rPr>
          <w:rFonts w:eastAsia="Calibri" w:cs="Arial"/>
          <w:b/>
          <w:szCs w:val="20"/>
          <w:lang w:eastAsia="pl-PL"/>
        </w:rPr>
        <w:t xml:space="preserve">             </w:t>
      </w:r>
    </w:p>
    <w:p w14:paraId="2F52F493" w14:textId="77777777" w:rsidR="000A77DA" w:rsidRDefault="000A77DA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133A320E" w14:textId="337C54F7" w:rsidR="000A77DA" w:rsidRDefault="000A77DA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3D44AA4" w14:textId="42405749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39615FF7" w14:textId="67AB5567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32F845FB" w14:textId="79A187CB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4E3803D" w14:textId="66BB89FC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3A982FB" w14:textId="5912A961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3BF8D20B" w14:textId="539EC7BC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0D616C0A" w14:textId="77777777" w:rsidR="00C3626D" w:rsidRDefault="00C3626D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5DF3A9B" w14:textId="1C7D6FE4" w:rsidR="00272E3F" w:rsidRPr="00C3626D" w:rsidRDefault="000B0AAE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C3626D">
        <w:rPr>
          <w:rFonts w:eastAsia="Calibri" w:cs="Arial"/>
          <w:b/>
          <w:szCs w:val="20"/>
          <w:lang w:eastAsia="pl-PL"/>
        </w:rPr>
        <w:t xml:space="preserve">                </w:t>
      </w:r>
      <w:r w:rsidR="00272E3F" w:rsidRPr="00C3626D">
        <w:rPr>
          <w:rFonts w:eastAsia="Calibri" w:cs="Arial"/>
          <w:b/>
          <w:szCs w:val="20"/>
          <w:lang w:eastAsia="pl-PL"/>
        </w:rPr>
        <w:t>Zatwierdzam:</w:t>
      </w:r>
    </w:p>
    <w:p w14:paraId="41F89FE6" w14:textId="77777777" w:rsidR="00F82455" w:rsidRPr="00C3626D" w:rsidRDefault="00F82455" w:rsidP="00F82455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C3626D">
        <w:rPr>
          <w:rFonts w:eastAsia="Calibri" w:cs="Arial"/>
          <w:lang w:eastAsia="pl-PL"/>
        </w:rPr>
        <w:t>mgr Agnieszka Maj –</w:t>
      </w:r>
    </w:p>
    <w:p w14:paraId="7A1B198F" w14:textId="77777777" w:rsidR="00F82455" w:rsidRPr="00C3626D" w:rsidRDefault="00F82455" w:rsidP="00F82455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C3626D">
        <w:rPr>
          <w:rFonts w:eastAsia="Calibri" w:cs="Arial"/>
          <w:lang w:eastAsia="pl-PL"/>
        </w:rPr>
        <w:t>Z-ca Kanclerza ds. Inwestycji</w:t>
      </w:r>
    </w:p>
    <w:p w14:paraId="7CB08F70" w14:textId="77777777" w:rsidR="00F82455" w:rsidRPr="00C3626D" w:rsidRDefault="00F82455" w:rsidP="00F82455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C3626D">
        <w:rPr>
          <w:rFonts w:eastAsia="Calibri" w:cs="Arial"/>
          <w:lang w:eastAsia="pl-PL"/>
        </w:rPr>
        <w:t xml:space="preserve"> i Zarządzania Logistycznego</w:t>
      </w:r>
    </w:p>
    <w:p w14:paraId="1855BE0D" w14:textId="77777777" w:rsidR="00C3626D" w:rsidRDefault="00C3626D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9D34D78" w14:textId="77777777" w:rsidR="00C3626D" w:rsidRDefault="00C3626D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5726A2E" w14:textId="77777777" w:rsidR="00C3626D" w:rsidRDefault="00C3626D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7D50DBA" w14:textId="77777777" w:rsidR="00C3626D" w:rsidRDefault="00C3626D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41605621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0A77DA">
        <w:rPr>
          <w:rFonts w:eastAsia="Calibri" w:cs="Arial"/>
          <w:color w:val="222A35" w:themeColor="text2" w:themeShade="80"/>
          <w:szCs w:val="20"/>
          <w:lang w:eastAsia="pl-PL"/>
        </w:rPr>
        <w:t>listopad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012A76">
        <w:rPr>
          <w:rFonts w:eastAsia="Calibri" w:cs="Arial"/>
          <w:color w:val="222A35" w:themeColor="text2" w:themeShade="80"/>
          <w:szCs w:val="20"/>
          <w:lang w:eastAsia="pl-PL"/>
        </w:rPr>
        <w:t>3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37A04392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FC8ADBC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61CF2452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40E0F1FB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5BC2BBFB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5DA82A7F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62A4E1A5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107BDE4D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4C11FA13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379352FC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4476862A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7B90F741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48738EB6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1474F084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740B099A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31D3F752" w:rsidR="002E4CF0" w:rsidRPr="002E4CF0" w:rsidRDefault="006A0A64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EE7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730E05E2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4F6730" w14:textId="77777777" w:rsidR="00015985" w:rsidRPr="0089464B" w:rsidRDefault="00015985" w:rsidP="0001598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Cs w:val="20"/>
        </w:rPr>
      </w:pPr>
      <w:r w:rsidRPr="0089464B">
        <w:rPr>
          <w:rFonts w:cs="Arial"/>
          <w:szCs w:val="20"/>
        </w:rPr>
        <w:t xml:space="preserve">Formularz oferty </w:t>
      </w:r>
      <w:r w:rsidRPr="0089464B">
        <w:rPr>
          <w:rFonts w:cs="Arial"/>
          <w:i/>
          <w:szCs w:val="20"/>
        </w:rPr>
        <w:t>(wzór)................................................</w:t>
      </w:r>
      <w:r w:rsidRPr="0089464B">
        <w:rPr>
          <w:rFonts w:cs="Arial"/>
          <w:szCs w:val="20"/>
        </w:rPr>
        <w:t>...........................................................................załącznik nr 1A</w:t>
      </w:r>
    </w:p>
    <w:p w14:paraId="65366E08" w14:textId="77777777" w:rsidR="00015985" w:rsidRPr="0089464B" w:rsidRDefault="00015985" w:rsidP="0001598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>
        <w:rPr>
          <w:rFonts w:cs="Arial"/>
          <w:szCs w:val="20"/>
        </w:rPr>
        <w:t>Wzór o</w:t>
      </w:r>
      <w:r w:rsidRPr="0089464B">
        <w:rPr>
          <w:rFonts w:cs="Arial"/>
          <w:szCs w:val="20"/>
        </w:rPr>
        <w:t>świadczenia o braku podstaw do wykluczenia ………………………………………………………………….załącznik nr 1B</w:t>
      </w:r>
    </w:p>
    <w:p w14:paraId="66A7C4F1" w14:textId="1AA1E17A" w:rsidR="00015985" w:rsidRPr="0089464B" w:rsidRDefault="00015985" w:rsidP="0001598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 w:rsidRPr="0089464B">
        <w:rPr>
          <w:rFonts w:cs="Arial"/>
          <w:szCs w:val="20"/>
        </w:rPr>
        <w:t xml:space="preserve">Szczegółowy opis przedmiotu zamówienia </w:t>
      </w:r>
      <w:r>
        <w:rPr>
          <w:rFonts w:cs="Arial"/>
          <w:szCs w:val="20"/>
        </w:rPr>
        <w:t xml:space="preserve"> ………………………………………</w:t>
      </w:r>
      <w:r w:rsidRPr="0089464B">
        <w:rPr>
          <w:rFonts w:cs="Arial"/>
          <w:szCs w:val="20"/>
        </w:rPr>
        <w:t>………………………</w:t>
      </w:r>
      <w:r>
        <w:rPr>
          <w:rFonts w:cs="Arial"/>
          <w:szCs w:val="20"/>
        </w:rPr>
        <w:t>…</w:t>
      </w:r>
      <w:r w:rsidRPr="0089464B">
        <w:rPr>
          <w:rFonts w:cs="Arial"/>
          <w:szCs w:val="20"/>
        </w:rPr>
        <w:t>…</w:t>
      </w:r>
      <w:r w:rsidR="002674C0">
        <w:rPr>
          <w:rFonts w:cs="Arial"/>
          <w:szCs w:val="20"/>
        </w:rPr>
        <w:t>………..</w:t>
      </w:r>
      <w:r w:rsidRPr="0089464B">
        <w:rPr>
          <w:rFonts w:cs="Arial"/>
          <w:szCs w:val="20"/>
        </w:rPr>
        <w:t>…...….</w:t>
      </w:r>
      <w:r w:rsidR="002674C0">
        <w:rPr>
          <w:rFonts w:cs="Arial"/>
          <w:szCs w:val="20"/>
        </w:rPr>
        <w:t xml:space="preserve"> </w:t>
      </w:r>
      <w:r w:rsidRPr="0089464B">
        <w:rPr>
          <w:rFonts w:cs="Arial"/>
          <w:szCs w:val="20"/>
        </w:rPr>
        <w:t>załącznik nr 2</w:t>
      </w:r>
    </w:p>
    <w:p w14:paraId="4D3B42EB" w14:textId="77777777" w:rsidR="00015985" w:rsidRPr="0089464B" w:rsidRDefault="00015985" w:rsidP="0001598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szCs w:val="20"/>
        </w:rPr>
      </w:pPr>
      <w:r w:rsidRPr="0089464B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0BBCCBD1" w14:textId="77777777" w:rsidR="000A77DA" w:rsidRDefault="000A77DA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5F9900B3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11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2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3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0E2ADF70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>. z 20</w:t>
      </w:r>
      <w:r w:rsidR="00F01E4E">
        <w:rPr>
          <w:rFonts w:eastAsia="Calibri"/>
        </w:rPr>
        <w:t>2</w:t>
      </w:r>
      <w:r w:rsidR="002674C0">
        <w:rPr>
          <w:rFonts w:eastAsia="Calibri"/>
        </w:rPr>
        <w:t>3</w:t>
      </w:r>
      <w:r w:rsidRPr="00103256">
        <w:rPr>
          <w:rFonts w:eastAsia="Calibri"/>
        </w:rPr>
        <w:t xml:space="preserve"> r. poz. </w:t>
      </w:r>
      <w:r w:rsidR="002674C0">
        <w:rPr>
          <w:rFonts w:eastAsia="Calibri"/>
        </w:rPr>
        <w:t>1605</w:t>
      </w:r>
      <w:r w:rsidRPr="00103256">
        <w:rPr>
          <w:rFonts w:eastAsia="Calibri"/>
        </w:rPr>
        <w:t xml:space="preserve">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7C09E710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1567CC">
        <w:rPr>
          <w:lang w:eastAsia="pl-PL"/>
        </w:rPr>
        <w:t>215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>bez negocjacji w rozumieniu art. 275 pkt 1 ustawy Pzp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>oraz z uwzględnieniem przepisów Działu II ustawy Pzp, na podstawie przepisu art. 266 ustawy Pzp</w:t>
      </w:r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5F5C23D5" w:rsidR="00F85C46" w:rsidRPr="00763158" w:rsidRDefault="00F85C46" w:rsidP="00124A15">
      <w:pPr>
        <w:pStyle w:val="Nagwek3"/>
        <w:numPr>
          <w:ilvl w:val="0"/>
          <w:numId w:val="48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A54F00" w:rsidRPr="00A54F00">
        <w:rPr>
          <w:rFonts w:eastAsia="Calibri"/>
          <w:b/>
        </w:rPr>
        <w:t xml:space="preserve">Dostawa </w:t>
      </w:r>
      <w:r w:rsidR="000A77DA" w:rsidRPr="000A77DA">
        <w:rPr>
          <w:rFonts w:eastAsia="Calibri"/>
          <w:b/>
        </w:rPr>
        <w:t>przedłużenia licencji posiadanego oprogramowania antywirusowego</w:t>
      </w:r>
      <w:r w:rsidR="00D52789">
        <w:rPr>
          <w:rFonts w:eastAsia="Calibri"/>
          <w:b/>
        </w:rPr>
        <w:t>”</w:t>
      </w:r>
      <w:r w:rsidR="00103256" w:rsidRPr="00763158">
        <w:rPr>
          <w:rFonts w:eastAsia="Calibri"/>
        </w:rPr>
        <w:t>;</w:t>
      </w:r>
    </w:p>
    <w:p w14:paraId="1D8B932C" w14:textId="13849B80" w:rsidR="00763158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3216E3" w:rsidRPr="003216E3">
        <w:rPr>
          <w:b/>
        </w:rPr>
        <w:t xml:space="preserve">DZP.382.1. </w:t>
      </w:r>
      <w:r w:rsidR="000A77DA">
        <w:rPr>
          <w:b/>
        </w:rPr>
        <w:t>78</w:t>
      </w:r>
      <w:r w:rsidR="003216E3" w:rsidRPr="003216E3">
        <w:rPr>
          <w:b/>
        </w:rPr>
        <w:t>.2023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763158">
        <w:t>.</w:t>
      </w:r>
    </w:p>
    <w:p w14:paraId="40AB1996" w14:textId="6AA78862" w:rsidR="00F85C46" w:rsidRPr="00AF7FE4" w:rsidRDefault="00F85C46" w:rsidP="00432B95">
      <w:pPr>
        <w:pStyle w:val="Nagwek1"/>
        <w:keepNext w:val="0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21FC494" w14:textId="6CA1099A" w:rsidR="000A77DA" w:rsidRPr="000A77DA" w:rsidRDefault="00170642" w:rsidP="00124A15">
      <w:pPr>
        <w:pStyle w:val="Nagwek3"/>
        <w:numPr>
          <w:ilvl w:val="0"/>
          <w:numId w:val="59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 w:rsidRPr="00EF1CE9">
        <w:rPr>
          <w:rFonts w:eastAsia="Calibri" w:cs="Arial"/>
          <w:b/>
          <w:szCs w:val="20"/>
        </w:rPr>
        <w:t>dostawa</w:t>
      </w:r>
      <w:r w:rsidR="00F01E4E">
        <w:rPr>
          <w:rFonts w:eastAsia="Calibri" w:cs="Arial"/>
          <w:szCs w:val="20"/>
        </w:rPr>
        <w:t xml:space="preserve"> </w:t>
      </w:r>
      <w:r w:rsidR="000A77DA" w:rsidRPr="000A77DA">
        <w:rPr>
          <w:rFonts w:eastAsia="Calibri"/>
          <w:b/>
        </w:rPr>
        <w:t>przedłużenia licencji posiadanego oprogramowania antywirusowego</w:t>
      </w:r>
      <w:r w:rsidR="000A77DA">
        <w:rPr>
          <w:rFonts w:eastAsia="Calibri" w:cs="Arial"/>
          <w:szCs w:val="20"/>
        </w:rPr>
        <w:t xml:space="preserve"> </w:t>
      </w:r>
      <w:r w:rsidR="000A77DA" w:rsidRPr="000A77DA">
        <w:rPr>
          <w:rFonts w:eastAsia="Calibri" w:cs="Arial"/>
          <w:b/>
          <w:szCs w:val="20"/>
        </w:rPr>
        <w:t xml:space="preserve">Symantec </w:t>
      </w:r>
      <w:proofErr w:type="spellStart"/>
      <w:r w:rsidR="000A77DA" w:rsidRPr="000A77DA">
        <w:rPr>
          <w:rFonts w:eastAsia="Calibri" w:cs="Arial"/>
          <w:b/>
          <w:szCs w:val="20"/>
        </w:rPr>
        <w:t>Endpoint</w:t>
      </w:r>
      <w:proofErr w:type="spellEnd"/>
      <w:r w:rsidR="000A77DA" w:rsidRPr="000A77DA">
        <w:rPr>
          <w:rFonts w:eastAsia="Calibri" w:cs="Arial"/>
          <w:b/>
          <w:szCs w:val="20"/>
        </w:rPr>
        <w:t xml:space="preserve"> </w:t>
      </w:r>
      <w:proofErr w:type="spellStart"/>
      <w:r w:rsidR="000A77DA" w:rsidRPr="000A77DA">
        <w:rPr>
          <w:rFonts w:eastAsia="Calibri" w:cs="Arial"/>
          <w:b/>
          <w:szCs w:val="20"/>
        </w:rPr>
        <w:t>Protection</w:t>
      </w:r>
      <w:proofErr w:type="spellEnd"/>
      <w:r w:rsidR="000A77DA">
        <w:rPr>
          <w:rFonts w:eastAsia="Calibri" w:cs="Arial"/>
          <w:b/>
          <w:szCs w:val="20"/>
        </w:rPr>
        <w:t xml:space="preserve"> </w:t>
      </w:r>
      <w:r w:rsidR="000A77DA" w:rsidRPr="000A77DA">
        <w:rPr>
          <w:rFonts w:eastAsia="Calibri" w:cs="Arial"/>
          <w:szCs w:val="20"/>
        </w:rPr>
        <w:t xml:space="preserve">(5000 licencji pakietu ochronnego na stacje robocze i serwery </w:t>
      </w:r>
      <w:r w:rsidR="000A77DA">
        <w:rPr>
          <w:rFonts w:eastAsia="Calibri" w:cs="Arial"/>
          <w:szCs w:val="20"/>
        </w:rPr>
        <w:t>(</w:t>
      </w:r>
      <w:r w:rsidR="000A77DA" w:rsidRPr="000A77DA">
        <w:rPr>
          <w:rFonts w:eastAsia="Calibri" w:cs="Arial"/>
          <w:szCs w:val="20"/>
        </w:rPr>
        <w:t>fizyczne i wirtualne</w:t>
      </w:r>
      <w:r w:rsidR="000A77DA">
        <w:rPr>
          <w:rFonts w:eastAsia="Calibri" w:cs="Arial"/>
          <w:szCs w:val="20"/>
        </w:rPr>
        <w:t>)</w:t>
      </w:r>
      <w:r w:rsidR="000A77DA" w:rsidRPr="000A77DA">
        <w:rPr>
          <w:rFonts w:eastAsia="Calibri" w:cs="Arial"/>
          <w:szCs w:val="20"/>
        </w:rPr>
        <w:t xml:space="preserve"> wraz z serwerem zarządzania i konsolą obejmujące ochronę na 3 lata</w:t>
      </w:r>
      <w:r w:rsidR="000A77DA">
        <w:rPr>
          <w:rFonts w:eastAsia="Calibri" w:cs="Arial"/>
          <w:szCs w:val="20"/>
        </w:rPr>
        <w:t xml:space="preserve">) </w:t>
      </w:r>
      <w:r w:rsidR="000A77DA" w:rsidRPr="000A77DA">
        <w:rPr>
          <w:rFonts w:eastAsia="Calibri" w:cs="Arial"/>
          <w:b/>
          <w:szCs w:val="20"/>
        </w:rPr>
        <w:t>lub zaoferowanie innego oprogramowania równoważnego</w:t>
      </w:r>
      <w:r w:rsidR="000A77DA" w:rsidRPr="000A77DA">
        <w:rPr>
          <w:rFonts w:eastAsia="Calibri" w:cs="Arial"/>
          <w:szCs w:val="20"/>
        </w:rPr>
        <w:t xml:space="preserve"> przy zachowaniu zasad równoważności określonych w załączniku nr 2 do SWZ</w:t>
      </w:r>
      <w:r w:rsidR="000A77DA">
        <w:rPr>
          <w:rFonts w:eastAsia="Calibri" w:cs="Arial"/>
          <w:szCs w:val="20"/>
        </w:rPr>
        <w:t xml:space="preserve">. </w:t>
      </w:r>
      <w:r w:rsidR="000A77DA" w:rsidRPr="000A77DA">
        <w:rPr>
          <w:rFonts w:eastAsia="Calibri" w:cs="Arial"/>
          <w:szCs w:val="20"/>
        </w:rPr>
        <w:t>Oferowane oprogramowanie (</w:t>
      </w:r>
      <w:r w:rsidR="000A77DA" w:rsidRPr="000A77DA">
        <w:rPr>
          <w:rFonts w:eastAsia="Calibri" w:cs="Arial"/>
          <w:i/>
          <w:szCs w:val="20"/>
        </w:rPr>
        <w:t>zwane również dalej „licencją”)</w:t>
      </w:r>
      <w:r w:rsidR="000A77DA" w:rsidRPr="000A77DA">
        <w:rPr>
          <w:rFonts w:eastAsia="Calibri" w:cs="Arial"/>
          <w:szCs w:val="20"/>
        </w:rPr>
        <w:t xml:space="preserve"> powinno być nowe, </w:t>
      </w:r>
      <w:r w:rsidR="007817D9" w:rsidRPr="000A77DA">
        <w:rPr>
          <w:rFonts w:eastAsia="Calibri" w:cs="Arial"/>
          <w:szCs w:val="20"/>
        </w:rPr>
        <w:t xml:space="preserve">pochodzić od autoryzowanych partnerów z oficjalnej </w:t>
      </w:r>
      <w:r w:rsidR="007817D9" w:rsidRPr="000A77DA">
        <w:rPr>
          <w:rFonts w:eastAsia="Calibri" w:cs="Arial"/>
          <w:szCs w:val="20"/>
        </w:rPr>
        <w:lastRenderedPageBreak/>
        <w:t>i</w:t>
      </w:r>
      <w:r w:rsidR="007817D9">
        <w:rPr>
          <w:rFonts w:eastAsia="Calibri" w:cs="Arial"/>
          <w:szCs w:val="20"/>
        </w:rPr>
        <w:t> </w:t>
      </w:r>
      <w:r w:rsidR="007817D9" w:rsidRPr="000A77DA">
        <w:rPr>
          <w:rFonts w:eastAsia="Calibri" w:cs="Arial"/>
          <w:szCs w:val="20"/>
        </w:rPr>
        <w:t xml:space="preserve">legalnej dystrybucji właściwej dla Zamawiającego </w:t>
      </w:r>
      <w:r w:rsidR="007817D9">
        <w:rPr>
          <w:rFonts w:eastAsia="Calibri" w:cs="Arial"/>
          <w:szCs w:val="20"/>
        </w:rPr>
        <w:t xml:space="preserve">(tj. </w:t>
      </w:r>
      <w:r w:rsidR="000A77DA" w:rsidRPr="000A77DA">
        <w:rPr>
          <w:rFonts w:eastAsia="Calibri" w:cs="Arial"/>
          <w:szCs w:val="20"/>
        </w:rPr>
        <w:t>nie</w:t>
      </w:r>
      <w:r w:rsidR="007817D9">
        <w:rPr>
          <w:rFonts w:eastAsia="Calibri" w:cs="Arial"/>
          <w:szCs w:val="20"/>
        </w:rPr>
        <w:t xml:space="preserve"> może </w:t>
      </w:r>
      <w:r w:rsidR="000A77DA" w:rsidRPr="000A77DA">
        <w:rPr>
          <w:rFonts w:eastAsia="Calibri" w:cs="Arial"/>
          <w:szCs w:val="20"/>
        </w:rPr>
        <w:t>pochodz</w:t>
      </w:r>
      <w:r w:rsidR="007817D9">
        <w:rPr>
          <w:rFonts w:eastAsia="Calibri" w:cs="Arial"/>
          <w:szCs w:val="20"/>
        </w:rPr>
        <w:t>ić</w:t>
      </w:r>
      <w:r w:rsidR="000A77DA" w:rsidRPr="000A77DA">
        <w:rPr>
          <w:rFonts w:eastAsia="Calibri" w:cs="Arial"/>
          <w:szCs w:val="20"/>
        </w:rPr>
        <w:t xml:space="preserve"> z odsprzedaży używanych licencji</w:t>
      </w:r>
      <w:r w:rsidR="007817D9">
        <w:rPr>
          <w:rFonts w:eastAsia="Calibri" w:cs="Arial"/>
          <w:szCs w:val="20"/>
        </w:rPr>
        <w:t>)</w:t>
      </w:r>
      <w:r w:rsidR="000A77DA">
        <w:rPr>
          <w:rFonts w:eastAsia="Calibri" w:cs="Arial"/>
          <w:szCs w:val="20"/>
        </w:rPr>
        <w:t>.</w:t>
      </w:r>
    </w:p>
    <w:p w14:paraId="20B768C6" w14:textId="0EE31732" w:rsidR="008D5BF0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>jmuje</w:t>
      </w:r>
      <w:r w:rsidR="000A77DA">
        <w:rPr>
          <w:rFonts w:eastAsia="Calibri" w:cs="Arial"/>
          <w:bCs/>
          <w:szCs w:val="20"/>
        </w:rPr>
        <w:t xml:space="preserve"> </w:t>
      </w:r>
      <w:r w:rsidR="000A77DA" w:rsidRPr="000A77DA">
        <w:rPr>
          <w:rFonts w:eastAsia="Calibri" w:cs="Arial"/>
          <w:bCs/>
          <w:szCs w:val="20"/>
        </w:rPr>
        <w:t xml:space="preserve">zakup licencji oraz dostarczenie do Zamawiającego dokumentu potwierdzającego rejestrację licencji, zapewnienie </w:t>
      </w:r>
      <w:r w:rsidR="009F7EAF" w:rsidRPr="009F7EAF">
        <w:rPr>
          <w:rFonts w:eastAsia="Calibri" w:cs="Arial"/>
          <w:bCs/>
          <w:szCs w:val="20"/>
        </w:rPr>
        <w:t>wsparcia technicznego w języku polskim i angielskim</w:t>
      </w:r>
      <w:r w:rsidR="009F7EAF">
        <w:rPr>
          <w:rFonts w:eastAsia="Calibri" w:cs="Arial"/>
          <w:bCs/>
          <w:szCs w:val="20"/>
        </w:rPr>
        <w:t>,</w:t>
      </w:r>
      <w:r w:rsidR="009F7EAF" w:rsidRPr="009F7EAF">
        <w:rPr>
          <w:rFonts w:eastAsia="Calibri" w:cs="Arial"/>
          <w:bCs/>
          <w:szCs w:val="20"/>
        </w:rPr>
        <w:t xml:space="preserve"> świadczonego w godzinach pracy od godziny 8 do 16 drogą telefoniczną i email</w:t>
      </w:r>
      <w:r w:rsidR="000A77DA" w:rsidRPr="000A77DA">
        <w:rPr>
          <w:rFonts w:eastAsia="Calibri" w:cs="Arial"/>
          <w:bCs/>
          <w:szCs w:val="20"/>
        </w:rPr>
        <w:t>, wdrożenie oferowanego rozwiązania</w:t>
      </w:r>
      <w:r w:rsidR="000A77DA" w:rsidRPr="000A77DA">
        <w:rPr>
          <w:rFonts w:eastAsia="Calibri" w:cs="Arial"/>
          <w:b/>
          <w:bCs/>
          <w:i/>
          <w:iCs/>
          <w:szCs w:val="20"/>
          <w:vertAlign w:val="superscript"/>
        </w:rPr>
        <w:footnoteReference w:id="1"/>
      </w:r>
      <w:r w:rsidR="000A77DA" w:rsidRPr="000A77DA">
        <w:rPr>
          <w:rFonts w:eastAsia="Calibri" w:cs="Arial"/>
          <w:bCs/>
          <w:szCs w:val="20"/>
        </w:rPr>
        <w:t xml:space="preserve"> oraz przeprowadzenie szkolenia</w:t>
      </w:r>
      <w:r w:rsidR="000A77DA" w:rsidRPr="000A77DA">
        <w:rPr>
          <w:rFonts w:eastAsia="Calibri" w:cs="Arial"/>
          <w:b/>
          <w:bCs/>
          <w:i/>
          <w:iCs/>
          <w:szCs w:val="20"/>
          <w:vertAlign w:val="superscript"/>
        </w:rPr>
        <w:footnoteReference w:id="2"/>
      </w:r>
      <w:r w:rsidR="000A77DA" w:rsidRPr="000A77DA">
        <w:rPr>
          <w:rFonts w:eastAsia="Calibri" w:cs="Arial"/>
          <w:bCs/>
          <w:i/>
          <w:szCs w:val="20"/>
        </w:rPr>
        <w:t>.</w:t>
      </w:r>
    </w:p>
    <w:p w14:paraId="4395B670" w14:textId="19742462" w:rsidR="00404C44" w:rsidRPr="00382315" w:rsidRDefault="0055317F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74A53876" w14:textId="6DACAD9C" w:rsidR="005B5BF4" w:rsidRPr="005B5BF4" w:rsidRDefault="009F7EAF" w:rsidP="005B5BF4">
      <w:pPr>
        <w:spacing w:before="60" w:after="60" w:line="324" w:lineRule="auto"/>
        <w:ind w:firstLine="0"/>
        <w:contextualSpacing/>
        <w:outlineLvl w:val="1"/>
        <w:rPr>
          <w:rFonts w:cs="Arial"/>
          <w:szCs w:val="20"/>
          <w:lang w:eastAsia="pl-PL"/>
        </w:rPr>
      </w:pPr>
      <w:r w:rsidRPr="009F7EAF">
        <w:rPr>
          <w:rFonts w:cs="Arial"/>
          <w:szCs w:val="20"/>
          <w:lang w:eastAsia="pl-PL"/>
        </w:rPr>
        <w:t>48422000-2</w:t>
      </w:r>
      <w:r w:rsidR="005B5BF4" w:rsidRPr="005B5BF4">
        <w:rPr>
          <w:rFonts w:cs="Arial"/>
          <w:szCs w:val="20"/>
          <w:lang w:eastAsia="pl-PL"/>
        </w:rPr>
        <w:tab/>
      </w:r>
      <w:r w:rsidRPr="009F7EAF">
        <w:rPr>
          <w:rFonts w:cs="Arial"/>
          <w:szCs w:val="20"/>
          <w:lang w:eastAsia="pl-PL"/>
        </w:rPr>
        <w:t>Zestawy pakietów oprogramowania</w:t>
      </w:r>
    </w:p>
    <w:p w14:paraId="276985F9" w14:textId="1E8DB99A" w:rsidR="00170642" w:rsidRPr="005B5BF4" w:rsidRDefault="00170642" w:rsidP="005B5BF4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5B5BF4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443880AB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6994D4FB" w14:textId="77777777" w:rsidR="00431379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>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</w:p>
    <w:p w14:paraId="0EFCF8CB" w14:textId="36A505DB" w:rsidR="00F85C46" w:rsidRDefault="00431379" w:rsidP="00432B95">
      <w:pPr>
        <w:pStyle w:val="Nagwek4"/>
        <w:ind w:left="1134" w:hanging="283"/>
      </w:pPr>
      <w:r w:rsidRPr="00431379">
        <w:t>w przypadku zaoferowania przez Wykonawcę rozwiązania równoważnego w stosunku do opisanego przez Zamawiającego w SWZ, Wykonawca jest zobowiązany do pokrycia wszelkich możliwych kosztów, wymaganych w czasie wdrożenia oferowanego rozwiązania, w</w:t>
      </w:r>
      <w:r>
        <w:rPr>
          <w:lang w:val="pl-PL"/>
        </w:rPr>
        <w:t> </w:t>
      </w:r>
      <w:r w:rsidRPr="00431379">
        <w:t xml:space="preserve">szczególności Wykonawca odpowiedzialny będzie za migrację istniejących centralnych konsol do zaoferowanego oprogramowania, migrację polityk (antywirusowych, </w:t>
      </w:r>
      <w:proofErr w:type="spellStart"/>
      <w:r w:rsidRPr="00431379">
        <w:t>wykluczeń</w:t>
      </w:r>
      <w:proofErr w:type="spellEnd"/>
      <w:r w:rsidRPr="00431379">
        <w:t xml:space="preserve">, polityk </w:t>
      </w:r>
      <w:r w:rsidRPr="00431379">
        <w:lastRenderedPageBreak/>
        <w:t>zapory ogniowej, polityk kontroli aplikacji i urządzeń). Implementacja musi zostać udokumentowana dokumentem powdrożeniowym zawierającym: opis implementacji oraz procedury odzyskiwania całego środowiska oraz opis implementacji nowego środowiska, uwzględniający zachowanie poprzednich ustawień wprowadzonych w konsoli. Dodatkowo muszą zostać dostarczone procedury odzyskania sprawności działania systemu (w tym do odzyskania komunikacji pomiędzy klientem a serwerem) w przypadku niepowodzenia migracji do nowego systemu bezpieczeństwa. Migracja środowiska Zamawiającego ma nastąpić w terminie określonym w ust. 4 poniżej w zdaniu 2. W przypadku niepowodzenia procesu migracji Wykonawca zobowiązany jest przywrócić środowisko do stanu przed migracją oraz zapewnić ochronę Zamawiającego na aktualnych warunkach poprzez przedłużenie czasu trwania aktualnie funkcjonującego rozwiązania</w:t>
      </w:r>
      <w:r w:rsidR="00BB33A4">
        <w:t>;</w:t>
      </w:r>
    </w:p>
    <w:p w14:paraId="24854E9F" w14:textId="485890E9" w:rsidR="00FB3F58" w:rsidRPr="00382315" w:rsidRDefault="00FB3F58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7EB13B12" w14:textId="5890DC19" w:rsidR="009F1A4A" w:rsidRDefault="009F1A4A" w:rsidP="00124A15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>
        <w:rPr>
          <w:rFonts w:eastAsia="Calibri"/>
        </w:rPr>
        <w:t>Zamawiający nie dopuszcza w niniejszym postępowaniu możliwości składania ofert częściowych.</w:t>
      </w:r>
      <w:r w:rsidR="00F82455">
        <w:rPr>
          <w:rFonts w:eastAsia="Calibri"/>
        </w:rPr>
        <w:t xml:space="preserve"> </w:t>
      </w:r>
      <w:r w:rsidR="00F82455" w:rsidRPr="009C0D21">
        <w:rPr>
          <w:rFonts w:eastAsia="Calibri"/>
        </w:rPr>
        <w:t>Jeżeli chodzi o przyczyny braku podziału zamówienia na części, należy wskazać, iż co do zasady mamy do czynienia z zamówieniem jednorodnym</w:t>
      </w:r>
      <w:r w:rsidR="00F82455">
        <w:rPr>
          <w:rFonts w:eastAsia="Calibri"/>
        </w:rPr>
        <w:t xml:space="preserve"> i</w:t>
      </w:r>
      <w:r w:rsidR="00F82455" w:rsidRPr="009C0D21">
        <w:rPr>
          <w:rFonts w:eastAsia="Calibri"/>
        </w:rPr>
        <w:t xml:space="preserve"> niepodzielnym. Trudno byłoby znaleźć obiektywne, techniczne, merytoryczne, organizacyjne i logistyczne uzasadnienie dla podziału tego rodzaju zamówienia na części.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432B95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Pzp.</w:t>
      </w:r>
    </w:p>
    <w:p w14:paraId="39D393E0" w14:textId="77777777" w:rsidR="009F7EAF" w:rsidRDefault="00F0343C" w:rsidP="00432B95">
      <w:pPr>
        <w:pStyle w:val="Nagwek2"/>
        <w:keepNext w:val="0"/>
        <w:ind w:left="567" w:hanging="283"/>
      </w:pPr>
      <w:r w:rsidRPr="00382315">
        <w:t xml:space="preserve">Termin realizacji zamówienia: </w:t>
      </w:r>
    </w:p>
    <w:p w14:paraId="03AC30CA" w14:textId="1A673C67" w:rsidR="009F7EAF" w:rsidRDefault="009F7EAF" w:rsidP="009F7EAF">
      <w:pPr>
        <w:pStyle w:val="Nagwek2"/>
        <w:keepNext w:val="0"/>
        <w:numPr>
          <w:ilvl w:val="0"/>
          <w:numId w:val="83"/>
        </w:numPr>
        <w:ind w:left="851" w:hanging="284"/>
        <w:rPr>
          <w:b w:val="0"/>
        </w:rPr>
      </w:pPr>
      <w:r w:rsidRPr="009F7EAF">
        <w:rPr>
          <w:b w:val="0"/>
        </w:rPr>
        <w:t>Zamawiający wymaga, aby licencja obowiązywała od dnia zawarcia umowy</w:t>
      </w:r>
      <w:r w:rsidR="00431379">
        <w:rPr>
          <w:b w:val="0"/>
        </w:rPr>
        <w:t xml:space="preserve">, </w:t>
      </w:r>
      <w:r w:rsidRPr="009F7EAF">
        <w:rPr>
          <w:b w:val="0"/>
        </w:rPr>
        <w:t>jednak nie wcześniej niż od dnia 01.01.20</w:t>
      </w:r>
      <w:r>
        <w:rPr>
          <w:b w:val="0"/>
        </w:rPr>
        <w:t>24</w:t>
      </w:r>
      <w:r w:rsidRPr="009F7EAF">
        <w:rPr>
          <w:b w:val="0"/>
        </w:rPr>
        <w:t xml:space="preserve"> r. do dnia 31.12.202</w:t>
      </w:r>
      <w:r>
        <w:rPr>
          <w:b w:val="0"/>
        </w:rPr>
        <w:t xml:space="preserve">6 </w:t>
      </w:r>
      <w:r w:rsidRPr="009F7EAF">
        <w:rPr>
          <w:b w:val="0"/>
        </w:rPr>
        <w:t>r.</w:t>
      </w:r>
    </w:p>
    <w:p w14:paraId="26681A6E" w14:textId="49A52F37" w:rsidR="009F7EAF" w:rsidRDefault="009F7EAF" w:rsidP="009F7EAF">
      <w:pPr>
        <w:pStyle w:val="Nagwek2"/>
        <w:keepNext w:val="0"/>
        <w:numPr>
          <w:ilvl w:val="0"/>
          <w:numId w:val="83"/>
        </w:numPr>
        <w:ind w:left="851" w:hanging="284"/>
        <w:rPr>
          <w:b w:val="0"/>
        </w:rPr>
      </w:pPr>
      <w:r w:rsidRPr="009F7EAF">
        <w:rPr>
          <w:b w:val="0"/>
        </w:rPr>
        <w:t>Zamawiający wymaga dostarczenia dokumentu potwierdzającego obowiązywanie licencji w</w:t>
      </w:r>
      <w:r>
        <w:rPr>
          <w:b w:val="0"/>
        </w:rPr>
        <w:t> </w:t>
      </w:r>
      <w:r w:rsidRPr="009F7EAF">
        <w:rPr>
          <w:b w:val="0"/>
        </w:rPr>
        <w:t xml:space="preserve">maksymalnym terminie </w:t>
      </w:r>
      <w:r w:rsidRPr="008C4F7E">
        <w:t>do 14 dni od daty zawarcia umowy</w:t>
      </w:r>
      <w:r w:rsidRPr="009F7EAF">
        <w:rPr>
          <w:b w:val="0"/>
        </w:rPr>
        <w:t xml:space="preserve"> (</w:t>
      </w:r>
      <w:r w:rsidR="008C4F7E">
        <w:rPr>
          <w:b w:val="0"/>
        </w:rPr>
        <w:t xml:space="preserve">jednak </w:t>
      </w:r>
      <w:r w:rsidR="00431379">
        <w:rPr>
          <w:b w:val="0"/>
        </w:rPr>
        <w:t>nie później</w:t>
      </w:r>
      <w:r w:rsidRPr="009F7EAF">
        <w:rPr>
          <w:b w:val="0"/>
        </w:rPr>
        <w:t xml:space="preserve"> niż </w:t>
      </w:r>
      <w:r w:rsidR="00431379">
        <w:rPr>
          <w:b w:val="0"/>
        </w:rPr>
        <w:t>do</w:t>
      </w:r>
      <w:r w:rsidRPr="009F7EAF">
        <w:rPr>
          <w:b w:val="0"/>
        </w:rPr>
        <w:t xml:space="preserve"> dnia 01.01.20</w:t>
      </w:r>
      <w:r w:rsidR="00431379">
        <w:rPr>
          <w:b w:val="0"/>
        </w:rPr>
        <w:t>24</w:t>
      </w:r>
      <w:r w:rsidRPr="009F7EAF">
        <w:rPr>
          <w:b w:val="0"/>
        </w:rPr>
        <w:t xml:space="preserve"> r.). Termin ten będzie uznany za zrealizowanie przedmiotu zamówienia.</w:t>
      </w:r>
    </w:p>
    <w:p w14:paraId="39ECA001" w14:textId="1A8113C5" w:rsidR="00431379" w:rsidRPr="00433214" w:rsidRDefault="00431379" w:rsidP="00431379">
      <w:pPr>
        <w:ind w:firstLine="0"/>
        <w:rPr>
          <w:rFonts w:eastAsia="Times New Roman" w:cs="Times New Roman"/>
          <w:bCs/>
          <w:i/>
          <w:noProof/>
          <w:color w:val="222A35" w:themeColor="text2" w:themeShade="80"/>
          <w:szCs w:val="26"/>
          <w:lang w:eastAsia="x-none"/>
        </w:rPr>
      </w:pPr>
      <w:r w:rsidRPr="00433214">
        <w:rPr>
          <w:rFonts w:eastAsia="Times New Roman" w:cs="Times New Roman"/>
          <w:bCs/>
          <w:i/>
          <w:noProof/>
          <w:color w:val="222A35" w:themeColor="text2" w:themeShade="80"/>
          <w:szCs w:val="26"/>
          <w:lang w:eastAsia="x-none"/>
        </w:rPr>
        <w:t>Termin realizacji zamówienia obejmuje dostarczenie dokumentu potwierdzającego przedłużenie licencji (w</w:t>
      </w:r>
      <w:r w:rsidR="00433214">
        <w:rPr>
          <w:rFonts w:eastAsia="Times New Roman" w:cs="Times New Roman"/>
          <w:bCs/>
          <w:i/>
          <w:noProof/>
          <w:color w:val="222A35" w:themeColor="text2" w:themeShade="80"/>
          <w:szCs w:val="26"/>
          <w:lang w:eastAsia="x-none"/>
        </w:rPr>
        <w:t> </w:t>
      </w:r>
      <w:r w:rsidRPr="00433214">
        <w:rPr>
          <w:rFonts w:eastAsia="Times New Roman" w:cs="Times New Roman"/>
          <w:bCs/>
          <w:i/>
          <w:noProof/>
          <w:color w:val="222A35" w:themeColor="text2" w:themeShade="80"/>
          <w:szCs w:val="26"/>
          <w:lang w:eastAsia="x-none"/>
        </w:rPr>
        <w:t>przypadku zaoferowania oprogramowania wskazanego w SWZ na zasadach przedłużenia), a w przypadku zaoferowania oprogramowania równoważnego termin realizacji zamówienia obejmuje dostarczenie dokumentu potwierdzającego obowiązywanie licencji oraz dokonanie wszystkich czynności związanych z wdrożeniem nowego oprogramowania (również odinstalowanie</w:t>
      </w:r>
      <w:r w:rsidRPr="00433214">
        <w:rPr>
          <w:i/>
          <w:lang w:eastAsia="x-none"/>
        </w:rPr>
        <w:t xml:space="preserve"> </w:t>
      </w:r>
      <w:r w:rsidRPr="00433214">
        <w:rPr>
          <w:rFonts w:eastAsia="Times New Roman" w:cs="Times New Roman"/>
          <w:bCs/>
          <w:i/>
          <w:noProof/>
          <w:color w:val="222A35" w:themeColor="text2" w:themeShade="80"/>
          <w:szCs w:val="26"/>
          <w:lang w:eastAsia="x-none"/>
        </w:rPr>
        <w:t>obecnie używanego oprogramowania przez Zamawiającego), zgodnie z wymaganiami określony</w:t>
      </w:r>
      <w:r w:rsidR="00433214">
        <w:rPr>
          <w:rFonts w:eastAsia="Times New Roman" w:cs="Times New Roman"/>
          <w:bCs/>
          <w:i/>
          <w:noProof/>
          <w:color w:val="222A35" w:themeColor="text2" w:themeShade="80"/>
          <w:szCs w:val="26"/>
          <w:lang w:eastAsia="x-none"/>
        </w:rPr>
        <w:t>mi</w:t>
      </w:r>
      <w:r w:rsidRPr="00433214">
        <w:rPr>
          <w:rFonts w:eastAsia="Times New Roman" w:cs="Times New Roman"/>
          <w:bCs/>
          <w:i/>
          <w:noProof/>
          <w:color w:val="222A35" w:themeColor="text2" w:themeShade="80"/>
          <w:szCs w:val="26"/>
          <w:lang w:eastAsia="x-none"/>
        </w:rPr>
        <w:t xml:space="preserve"> w załączniku nr 2 do SWZ</w:t>
      </w:r>
      <w:r w:rsidR="00BF67A6">
        <w:rPr>
          <w:rFonts w:eastAsia="Times New Roman" w:cs="Times New Roman"/>
          <w:bCs/>
          <w:i/>
          <w:noProof/>
          <w:color w:val="222A35" w:themeColor="text2" w:themeShade="80"/>
          <w:szCs w:val="26"/>
          <w:lang w:eastAsia="x-none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lastRenderedPageBreak/>
        <w:t xml:space="preserve">Warunki realizacji zamówienia, termin gwarancji, warunki płatności. </w:t>
      </w:r>
    </w:p>
    <w:p w14:paraId="14C0D6D7" w14:textId="0549D1F1" w:rsidR="00F85C46" w:rsidRPr="00382315" w:rsidRDefault="00F85C46" w:rsidP="00E93F00">
      <w:pPr>
        <w:pStyle w:val="Nagwek3"/>
        <w:numPr>
          <w:ilvl w:val="0"/>
          <w:numId w:val="12"/>
        </w:numPr>
        <w:ind w:left="851" w:hanging="284"/>
      </w:pPr>
      <w:r w:rsidRPr="00382315">
        <w:t xml:space="preserve">Adres dostawy: </w:t>
      </w:r>
      <w:r w:rsidR="00215CD0" w:rsidRPr="00215CD0">
        <w:t>Zamawiający wymaga dostarczenia licencji w formie elektronicznej na adres e-mail osoby wskazanej w umowie, po jej zawarciu</w:t>
      </w:r>
      <w:r w:rsidR="00215CD0">
        <w:t>.</w:t>
      </w:r>
    </w:p>
    <w:p w14:paraId="440E065C" w14:textId="740FA69E" w:rsidR="00F85C46" w:rsidRPr="00382315" w:rsidRDefault="00F85C46" w:rsidP="00432B95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22FE99CF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124A15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Pzp</w:t>
      </w:r>
      <w:r w:rsidR="00586657">
        <w:rPr>
          <w:rFonts w:eastAsia="Calibri"/>
        </w:rPr>
        <w:t>;</w:t>
      </w:r>
    </w:p>
    <w:p w14:paraId="7B75B19A" w14:textId="69E19743" w:rsidR="00586657" w:rsidRDefault="00586657" w:rsidP="00124A15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>ustawy Pzp</w:t>
      </w:r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124A15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>ustawy Pzp.</w:t>
      </w:r>
    </w:p>
    <w:p w14:paraId="3F534929" w14:textId="5F0CE571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>ustawy P</w:t>
      </w:r>
      <w:r w:rsidR="00586657">
        <w:rPr>
          <w:lang w:eastAsia="x-none"/>
        </w:rPr>
        <w:t>zp.</w:t>
      </w:r>
    </w:p>
    <w:p w14:paraId="30201699" w14:textId="4C9F5EF7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124A15">
      <w:pPr>
        <w:pStyle w:val="Nagwek3"/>
        <w:numPr>
          <w:ilvl w:val="0"/>
          <w:numId w:val="57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124A15">
      <w:pPr>
        <w:pStyle w:val="Nagwek3"/>
        <w:numPr>
          <w:ilvl w:val="0"/>
          <w:numId w:val="57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502870A8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506CD1BE" w:rsidR="00473D30" w:rsidRDefault="00473D30" w:rsidP="00432B95">
      <w:pPr>
        <w:pStyle w:val="Nagwek1"/>
        <w:keepNext w:val="0"/>
      </w:pPr>
      <w:bookmarkStart w:id="9" w:name="_Toc62396889"/>
      <w:r>
        <w:t>Przedmiotowe środki dowodowe.</w:t>
      </w:r>
      <w:bookmarkEnd w:id="9"/>
    </w:p>
    <w:p w14:paraId="4017A4E2" w14:textId="77777777" w:rsidR="00433214" w:rsidRPr="002C3644" w:rsidRDefault="00433214" w:rsidP="00433214">
      <w:pPr>
        <w:pStyle w:val="Nagwek2"/>
        <w:numPr>
          <w:ilvl w:val="0"/>
          <w:numId w:val="84"/>
        </w:numPr>
      </w:pPr>
      <w:r w:rsidRPr="002C3644">
        <w:t>Wykaz wymaganych przedmiotowych środków dowodowych.</w:t>
      </w:r>
    </w:p>
    <w:p w14:paraId="661D5348" w14:textId="77777777" w:rsidR="00433214" w:rsidRDefault="00433214" w:rsidP="00433214">
      <w:pPr>
        <w:ind w:left="567" w:firstLine="0"/>
      </w:pPr>
      <w:r w:rsidRPr="002C3644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</w:t>
      </w:r>
      <w:r w:rsidRPr="002C3644">
        <w:rPr>
          <w:b/>
        </w:rPr>
        <w:t>wraz z ofertą</w:t>
      </w:r>
      <w:r w:rsidRPr="002C3644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333"/>
        <w:gridCol w:w="3642"/>
      </w:tblGrid>
      <w:tr w:rsidR="00433214" w:rsidRPr="002C3644" w14:paraId="5EEDB32D" w14:textId="77777777" w:rsidTr="00314F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0E10E18D" w14:textId="77777777" w:rsidR="00433214" w:rsidRPr="002C3644" w:rsidRDefault="00433214" w:rsidP="00314F42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lastRenderedPageBreak/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38A9A362" w14:textId="77777777" w:rsidR="00433214" w:rsidRPr="002C3644" w:rsidRDefault="00433214" w:rsidP="00314F42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433214" w:rsidRPr="002C3644" w14:paraId="1246F9B8" w14:textId="77777777" w:rsidTr="00314F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5FFFB79D" w14:textId="21502CB9" w:rsidR="00433214" w:rsidRPr="00A94DDB" w:rsidRDefault="00433214" w:rsidP="00314F42">
            <w:pPr>
              <w:spacing w:before="120" w:line="360" w:lineRule="auto"/>
              <w:ind w:left="0" w:firstLine="0"/>
              <w:rPr>
                <w:b w:val="0"/>
                <w:bCs w:val="0"/>
                <w:sz w:val="18"/>
                <w:szCs w:val="18"/>
              </w:rPr>
            </w:pPr>
            <w:r w:rsidRPr="00A94DDB">
              <w:rPr>
                <w:b w:val="0"/>
                <w:sz w:val="18"/>
                <w:szCs w:val="18"/>
              </w:rPr>
              <w:t>Opis techniczny oferowan</w:t>
            </w:r>
            <w:r>
              <w:rPr>
                <w:b w:val="0"/>
                <w:sz w:val="18"/>
                <w:szCs w:val="18"/>
              </w:rPr>
              <w:t>ego oprogramowania równoważnego</w:t>
            </w:r>
            <w:r w:rsidRPr="00A94DDB">
              <w:rPr>
                <w:b w:val="0"/>
                <w:sz w:val="18"/>
                <w:szCs w:val="18"/>
              </w:rPr>
              <w:t>, w celu potwierdzenia zgodności oferowan</w:t>
            </w:r>
            <w:r>
              <w:rPr>
                <w:b w:val="0"/>
                <w:sz w:val="18"/>
                <w:szCs w:val="18"/>
              </w:rPr>
              <w:t>ego</w:t>
            </w:r>
            <w:r w:rsidRPr="00A94DDB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 xml:space="preserve">oprogramowania </w:t>
            </w:r>
            <w:r w:rsidRPr="00A94DDB">
              <w:rPr>
                <w:b w:val="0"/>
                <w:sz w:val="18"/>
                <w:szCs w:val="18"/>
              </w:rPr>
              <w:t>z wymaganiami określonymi w opisie przedmiotu zamówienia</w:t>
            </w:r>
            <w:r>
              <w:t xml:space="preserve">  - </w:t>
            </w:r>
            <w:r w:rsidRPr="00433214">
              <w:rPr>
                <w:b w:val="0"/>
              </w:rPr>
              <w:t>(</w:t>
            </w:r>
            <w:r w:rsidRPr="00433214">
              <w:rPr>
                <w:b w:val="0"/>
                <w:sz w:val="18"/>
                <w:szCs w:val="18"/>
              </w:rPr>
              <w:t>parametry równoważności)</w:t>
            </w:r>
            <w:r w:rsidRPr="00A94DDB">
              <w:rPr>
                <w:b w:val="0"/>
                <w:sz w:val="18"/>
                <w:szCs w:val="18"/>
              </w:rPr>
              <w:t>.</w:t>
            </w:r>
          </w:p>
          <w:p w14:paraId="7033DBF2" w14:textId="440BC5EC" w:rsidR="00433214" w:rsidRPr="00A94DDB" w:rsidRDefault="00433214" w:rsidP="00314F42">
            <w:pPr>
              <w:keepNext/>
              <w:spacing w:before="120" w:line="360" w:lineRule="auto"/>
              <w:ind w:left="0" w:firstLine="0"/>
              <w:rPr>
                <w:rFonts w:eastAsia="Palatino Linotype" w:cs="Times New Roman"/>
                <w:b w:val="0"/>
                <w:sz w:val="18"/>
                <w:szCs w:val="18"/>
              </w:rPr>
            </w:pPr>
            <w:r w:rsidRPr="00433214">
              <w:rPr>
                <w:rFonts w:eastAsia="Palatino Linotype" w:cs="Times New Roman"/>
                <w:b w:val="0"/>
                <w:sz w:val="18"/>
                <w:szCs w:val="18"/>
              </w:rPr>
              <w:t xml:space="preserve">Zamawiający wymaga złożenia opisu technicznego oferowanego oprogramowania </w:t>
            </w:r>
            <w:r w:rsidRPr="00433214">
              <w:rPr>
                <w:rFonts w:eastAsia="Palatino Linotype" w:cs="Times New Roman"/>
                <w:b w:val="0"/>
                <w:sz w:val="18"/>
                <w:szCs w:val="18"/>
                <w:u w:val="single"/>
              </w:rPr>
              <w:t>wyłącznie w sytuacji, gdy Wykonawca zaoferuje oprogramowanie równoważne</w:t>
            </w:r>
            <w:r w:rsidRPr="00433214">
              <w:rPr>
                <w:rFonts w:eastAsia="Palatino Linotype" w:cs="Times New Roman"/>
                <w:b w:val="0"/>
                <w:sz w:val="18"/>
                <w:szCs w:val="18"/>
              </w:rPr>
              <w:t xml:space="preserve"> w stosunku do oprogramowania</w:t>
            </w:r>
            <w:r>
              <w:rPr>
                <w:rFonts w:eastAsia="Palatino Linotype" w:cs="Times New Roman"/>
                <w:b w:val="0"/>
                <w:sz w:val="18"/>
                <w:szCs w:val="18"/>
              </w:rPr>
              <w:t xml:space="preserve"> </w:t>
            </w:r>
            <w:r w:rsidRPr="00433214">
              <w:rPr>
                <w:rFonts w:eastAsia="Palatino Linotype" w:cs="Times New Roman"/>
                <w:b w:val="0"/>
                <w:sz w:val="18"/>
                <w:szCs w:val="18"/>
              </w:rPr>
              <w:t>określonego przez Zamawiającego</w:t>
            </w:r>
            <w:r>
              <w:rPr>
                <w:rFonts w:eastAsia="Palatino Linotype" w:cs="Times New Roman"/>
                <w:b w:val="0"/>
                <w:sz w:val="18"/>
                <w:szCs w:val="18"/>
              </w:rPr>
              <w:t xml:space="preserve"> w załączniku 2 do SWZ</w:t>
            </w:r>
            <w:r w:rsidRPr="00433214">
              <w:rPr>
                <w:rFonts w:eastAsia="Palatino Linotype" w:cs="Times New Roman"/>
                <w:b w:val="0"/>
                <w:sz w:val="18"/>
                <w:szCs w:val="18"/>
              </w:rPr>
              <w:t xml:space="preserve">. Zamawiający dokona oceny zaoferowanego oprogramowania w stosunku do parametrów równoważności określonych przez Zamawiającego w załączniku nr 2 do SWZ. 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1089D1EC" w14:textId="77777777" w:rsidR="00433214" w:rsidRPr="002C3644" w:rsidRDefault="00433214" w:rsidP="00314F42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C3644">
              <w:rPr>
                <w:sz w:val="18"/>
                <w:szCs w:val="18"/>
              </w:rPr>
              <w:t xml:space="preserve">Oryginał w formie elektronicznej </w:t>
            </w: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albo kopia w postaci cyfrowego odwzorowania dokumentu  papierowego, poświadczona za zgodność z oryginałem przez wykonawcę podpisem kwalifikowanym, zaufanym lub osobistym lub przez notariusza podpisem kwalifikowanym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</w:tbl>
    <w:p w14:paraId="47E6B70C" w14:textId="77777777" w:rsidR="00433214" w:rsidRPr="002C3644" w:rsidRDefault="00433214" w:rsidP="00433214">
      <w:pPr>
        <w:keepNext/>
        <w:numPr>
          <w:ilvl w:val="0"/>
          <w:numId w:val="7"/>
        </w:numPr>
        <w:spacing w:before="360" w:after="60" w:line="336" w:lineRule="auto"/>
        <w:ind w:left="568" w:hanging="284"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3644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Informacja dotycząca usunięcia braków formalnych w przedmiotowych środkach dowodowych.</w:t>
      </w:r>
    </w:p>
    <w:p w14:paraId="790931D4" w14:textId="77777777" w:rsidR="00433214" w:rsidRPr="002C3644" w:rsidRDefault="00433214" w:rsidP="00433214">
      <w:pPr>
        <w:ind w:left="567" w:firstLine="0"/>
        <w:rPr>
          <w:lang w:eastAsia="x-none"/>
        </w:rPr>
      </w:pPr>
      <w:r w:rsidRPr="002C3644">
        <w:rPr>
          <w:lang w:eastAsia="x-none"/>
        </w:rPr>
        <w:t xml:space="preserve">Zgodnie z przepisem art. 107 ust. 2 ustawy </w:t>
      </w:r>
      <w:proofErr w:type="spellStart"/>
      <w:r w:rsidRPr="002C3644">
        <w:rPr>
          <w:lang w:eastAsia="x-none"/>
        </w:rPr>
        <w:t>Pzp</w:t>
      </w:r>
      <w:proofErr w:type="spellEnd"/>
      <w:r w:rsidRPr="002C3644">
        <w:rPr>
          <w:lang w:eastAsia="x-none"/>
        </w:rPr>
        <w:t>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432B95">
      <w:pPr>
        <w:pStyle w:val="Nagwek1"/>
        <w:keepNext w:val="0"/>
      </w:pPr>
      <w:bookmarkStart w:id="10" w:name="_Toc375581634"/>
      <w:bookmarkStart w:id="11" w:name="_Toc375581816"/>
      <w:bookmarkStart w:id="12" w:name="_Toc375582133"/>
      <w:bookmarkStart w:id="13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0"/>
      <w:bookmarkEnd w:id="11"/>
      <w:bookmarkEnd w:id="12"/>
      <w:bookmarkEnd w:id="13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>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2FCA96C0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3A4F15F" w14:textId="77777777" w:rsidR="00B35F93" w:rsidRDefault="00B35F93" w:rsidP="00B35F93">
      <w:pPr>
        <w:ind w:left="567" w:firstLine="0"/>
      </w:pPr>
      <w:r>
        <w:t xml:space="preserve">Zamawiający nie przewiduje fakultatywnych przesłanek wykluczenia, w oparciu o przepis art. 109 ust. 1 ustawy </w:t>
      </w:r>
      <w:proofErr w:type="spellStart"/>
      <w:r>
        <w:t>Pzp</w:t>
      </w:r>
      <w:proofErr w:type="spellEnd"/>
      <w:r>
        <w:t xml:space="preserve">. </w:t>
      </w:r>
    </w:p>
    <w:p w14:paraId="3B6BA986" w14:textId="7319E511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9CC89A7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F95986" w:rsidRPr="00F95986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lastRenderedPageBreak/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0EE89DC3" w14:textId="1B8CE714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Pzp,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Pzp</w:t>
      </w:r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18D31772" w14:textId="64F9609B" w:rsidR="00A54F1C" w:rsidRPr="005509DC" w:rsidRDefault="00A54F1C" w:rsidP="00A54F1C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="00070F25" w:rsidRPr="00070F25">
        <w:rPr>
          <w:rFonts w:eastAsia="Calibri"/>
          <w:color w:val="323E4F" w:themeColor="text2" w:themeShade="BF"/>
        </w:rPr>
        <w:t>Dz.U. 2023 poz. 129 ze zm.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75371D98" w14:textId="77777777" w:rsidR="00A54F1C" w:rsidRPr="00A54F1C" w:rsidRDefault="00A54F1C" w:rsidP="00124A15">
      <w:pPr>
        <w:pStyle w:val="Nagwek3"/>
        <w:numPr>
          <w:ilvl w:val="0"/>
          <w:numId w:val="69"/>
        </w:numPr>
        <w:ind w:left="851" w:hanging="284"/>
        <w:contextualSpacing w:val="0"/>
        <w:rPr>
          <w:bCs w:val="0"/>
          <w:szCs w:val="20"/>
        </w:rPr>
      </w:pPr>
      <w:r w:rsidRPr="00A54F1C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54F1C">
        <w:rPr>
          <w:bCs w:val="0"/>
          <w:szCs w:val="20"/>
        </w:rPr>
        <w:t>późn</w:t>
      </w:r>
      <w:proofErr w:type="spellEnd"/>
      <w:r w:rsidRPr="00A54F1C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54F1C">
        <w:rPr>
          <w:bCs w:val="0"/>
          <w:szCs w:val="20"/>
        </w:rPr>
        <w:t>późn</w:t>
      </w:r>
      <w:proofErr w:type="spellEnd"/>
      <w:r w:rsidRPr="00A54F1C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5E773E5D" w14:textId="229CC08C" w:rsidR="00A54F1C" w:rsidRPr="005509DC" w:rsidRDefault="00A54F1C" w:rsidP="00A54F1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r w:rsidR="00070F25" w:rsidRPr="00070F25">
        <w:rPr>
          <w:bCs w:val="0"/>
          <w:szCs w:val="20"/>
        </w:rPr>
        <w:t>Dz.U. 202</w:t>
      </w:r>
      <w:r w:rsidR="009844D9">
        <w:rPr>
          <w:bCs w:val="0"/>
          <w:szCs w:val="20"/>
        </w:rPr>
        <w:t>3</w:t>
      </w:r>
      <w:r w:rsidR="00070F25" w:rsidRPr="00070F25">
        <w:rPr>
          <w:bCs w:val="0"/>
          <w:szCs w:val="20"/>
        </w:rPr>
        <w:t xml:space="preserve"> r. poz. </w:t>
      </w:r>
      <w:r w:rsidR="009844D9">
        <w:rPr>
          <w:bCs w:val="0"/>
          <w:szCs w:val="20"/>
        </w:rPr>
        <w:t>1124</w:t>
      </w:r>
      <w:r w:rsidR="00070F25" w:rsidRPr="00070F25">
        <w:rPr>
          <w:bCs w:val="0"/>
          <w:szCs w:val="20"/>
        </w:rPr>
        <w:t xml:space="preserve"> ze zm</w:t>
      </w:r>
      <w:r w:rsidR="009844D9">
        <w:rPr>
          <w:bCs w:val="0"/>
          <w:szCs w:val="20"/>
        </w:rPr>
        <w:t>.</w:t>
      </w:r>
      <w:r w:rsidRPr="005509DC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A0503A" w14:textId="54093505" w:rsidR="00A54F1C" w:rsidRPr="005509DC" w:rsidRDefault="00A54F1C" w:rsidP="00A54F1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lastRenderedPageBreak/>
        <w:t>wykonawcę oraz uczestnika konkursu, którego jednostką dominującą w rozumieniu art. 3 ust. 1 pkt 37 ustawy z dnia 29 września 1994 r. o rachunkowości (Dz. U. z 202</w:t>
      </w:r>
      <w:r w:rsidR="00070F25">
        <w:rPr>
          <w:bCs w:val="0"/>
          <w:szCs w:val="20"/>
        </w:rPr>
        <w:t>3</w:t>
      </w:r>
      <w:r w:rsidRPr="005509DC">
        <w:rPr>
          <w:bCs w:val="0"/>
          <w:szCs w:val="20"/>
        </w:rPr>
        <w:t xml:space="preserve"> r. poz. </w:t>
      </w:r>
      <w:r w:rsidR="00070F25">
        <w:rPr>
          <w:bCs w:val="0"/>
          <w:szCs w:val="20"/>
        </w:rPr>
        <w:t>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4327DC3" w14:textId="77777777" w:rsidR="00A54F1C" w:rsidRPr="005509DC" w:rsidRDefault="00A54F1C" w:rsidP="00A54F1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000F80A1" w14:textId="77777777" w:rsidR="00A54F1C" w:rsidRPr="005509DC" w:rsidRDefault="00A54F1C" w:rsidP="00A54F1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3596DB9" w14:textId="2596DD83" w:rsidR="00A54F1C" w:rsidRPr="00A54F1C" w:rsidRDefault="00A54F1C" w:rsidP="00A54F1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53A110F9" w:rsidR="007E1600" w:rsidRDefault="007F1CC6" w:rsidP="00432B95">
      <w:pPr>
        <w:pStyle w:val="Nagwek1"/>
        <w:keepNext w:val="0"/>
      </w:pPr>
      <w:bookmarkStart w:id="14" w:name="_Toc62396891"/>
      <w:r>
        <w:t>Kwalifikacja podmiotowa – warunki udziału w postępowaniu.</w:t>
      </w:r>
      <w:bookmarkEnd w:id="14"/>
    </w:p>
    <w:p w14:paraId="0BCFA99C" w14:textId="77777777" w:rsidR="00E553E4" w:rsidRPr="00E553E4" w:rsidRDefault="00E553E4" w:rsidP="00F95986">
      <w:pPr>
        <w:tabs>
          <w:tab w:val="left" w:pos="142"/>
        </w:tabs>
        <w:spacing w:after="120"/>
        <w:ind w:left="567" w:firstLine="0"/>
        <w:rPr>
          <w:rFonts w:eastAsia="Calibri" w:cs="Times New Roman"/>
          <w:bCs/>
          <w:noProof/>
          <w:color w:val="222A35" w:themeColor="text2" w:themeShade="80"/>
          <w:szCs w:val="26"/>
          <w:lang w:eastAsia="x-none"/>
        </w:rPr>
      </w:pPr>
      <w:bookmarkStart w:id="15" w:name="_Toc62396892"/>
      <w:r w:rsidRPr="00E553E4">
        <w:rPr>
          <w:rFonts w:eastAsia="Calibri" w:cs="Times New Roman"/>
          <w:bCs/>
          <w:noProof/>
          <w:color w:val="222A35" w:themeColor="text2" w:themeShade="80"/>
          <w:szCs w:val="26"/>
          <w:lang w:eastAsia="x-none"/>
        </w:rPr>
        <w:t>Zgodnie z przepisem art. 112 ust. 1 oraz w zw. z art. 57 pkt 2 ustawy Pzp, Zamawiający nie określa warunków udziału w niniejszym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r>
        <w:rPr>
          <w:noProof/>
        </w:rPr>
        <w:t>Oświadczenie wstępne, podmiotowe środki dowodowe oraz inne dokumenty.</w:t>
      </w:r>
      <w:bookmarkEnd w:id="15"/>
    </w:p>
    <w:p w14:paraId="22CBC4F0" w14:textId="2343C711" w:rsidR="00F85C46" w:rsidRDefault="00B376D2" w:rsidP="00124A15">
      <w:pPr>
        <w:pStyle w:val="Nagwek2"/>
        <w:keepNext w:val="0"/>
        <w:numPr>
          <w:ilvl w:val="0"/>
          <w:numId w:val="15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7EFDCCD5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7"/>
        <w:gridCol w:w="4396"/>
      </w:tblGrid>
      <w:tr w:rsidR="00C8603B" w14:paraId="45CD50A3" w14:textId="77777777" w:rsidTr="00BF67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7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396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BF6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7" w:type="dxa"/>
            <w:shd w:val="clear" w:color="auto" w:fill="F2F2F2" w:themeFill="background1" w:themeFillShade="F2"/>
          </w:tcPr>
          <w:p w14:paraId="709B5075" w14:textId="74AFF1BC" w:rsidR="00C8603B" w:rsidRPr="00A953DB" w:rsidRDefault="00660EB4" w:rsidP="00660E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>
              <w:rPr>
                <w:b w:val="0"/>
                <w:sz w:val="18"/>
                <w:szCs w:val="18"/>
              </w:rPr>
              <w:t>świadczenie wstępne, o którym mowa w art. 125 ust. 1  ustawy Pzp, w celu potwierdzenia braku podstaw do wykluczenia z postępowania oraz spełniania warunków udziału w postępowaniu, zgodnie z treścią załącznika nr 1B do SWZ</w:t>
            </w:r>
          </w:p>
        </w:tc>
        <w:tc>
          <w:tcPr>
            <w:tcW w:w="4396" w:type="dxa"/>
            <w:shd w:val="clear" w:color="auto" w:fill="F2F2F2" w:themeFill="background1" w:themeFillShade="F2"/>
          </w:tcPr>
          <w:p w14:paraId="116A9C9B" w14:textId="4376E165" w:rsidR="00C8603B" w:rsidRPr="00A953DB" w:rsidRDefault="00DC2D61" w:rsidP="00660EB4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4781A69A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lastRenderedPageBreak/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660EB4">
      <w:pPr>
        <w:pStyle w:val="Nagwek2"/>
        <w:keepNext w:val="0"/>
        <w:spacing w:after="120"/>
        <w:ind w:left="568" w:hanging="284"/>
        <w:contextualSpacing w:val="0"/>
      </w:pPr>
      <w:r w:rsidRPr="00C7019D">
        <w:t xml:space="preserve">Pozostałe dokumenty wymagane przez Zamawiającego. </w:t>
      </w:r>
    </w:p>
    <w:p w14:paraId="5483FE64" w14:textId="7D42D38C" w:rsidR="00815FE8" w:rsidRPr="00660EB4" w:rsidRDefault="00815FE8" w:rsidP="00124A15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noProof/>
        </w:rPr>
      </w:pPr>
      <w:r w:rsidRPr="00660EB4">
        <w:rPr>
          <w:noProof/>
        </w:rPr>
        <w:t xml:space="preserve">W celu potwierdzenia, że osoba działająca w imieniu wykonawcy jest umocowana do jego reprezentowania, </w:t>
      </w:r>
      <w:r w:rsidR="00C80205" w:rsidRPr="00660EB4">
        <w:rPr>
          <w:noProof/>
        </w:rPr>
        <w:t>Zamawiający żąda</w:t>
      </w:r>
      <w:r w:rsidRPr="00660EB4">
        <w:rPr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180DCC53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9C40E6" w:rsidRPr="009C40E6" w14:paraId="2691B713" w14:textId="77777777" w:rsidTr="00660E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607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14:paraId="3F291E75" w14:textId="2144DD13" w:rsidR="009C40E6" w:rsidRPr="002B5872" w:rsidRDefault="009C40E6" w:rsidP="00660EB4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536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14:paraId="27823E14" w14:textId="12983BD0" w:rsidR="009C40E6" w:rsidRPr="002B5872" w:rsidRDefault="00FE7B95" w:rsidP="00660EB4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45D6A84B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4F57AA24" w:rsidR="00F85C46" w:rsidRPr="002B20B0" w:rsidRDefault="00660EB4" w:rsidP="00CE1DAC">
      <w:pPr>
        <w:pStyle w:val="Nagwek3"/>
        <w:numPr>
          <w:ilvl w:val="0"/>
          <w:numId w:val="0"/>
        </w:numPr>
        <w:ind w:left="567"/>
      </w:pPr>
      <w:r w:rsidRPr="00F80FB7">
        <w:t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Zamawiający od wykonawcy, a także postanowienia rozdziałów VIII i IX dotyczących zasad komunikacji w postępowaniu i przygotowania oferty oraz innych dokumentów</w:t>
      </w:r>
      <w:r w:rsidR="00C6398C">
        <w:t>.</w:t>
      </w:r>
    </w:p>
    <w:p w14:paraId="3AF29F85" w14:textId="77777777" w:rsidR="00BF67A6" w:rsidRDefault="00BF67A6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6" w:name="_Toc62396893"/>
      <w:r>
        <w:br w:type="page"/>
      </w:r>
    </w:p>
    <w:p w14:paraId="1CA7C02B" w14:textId="1E01825B" w:rsidR="00F85C46" w:rsidRPr="00733EB6" w:rsidRDefault="00F85C46" w:rsidP="00432B95">
      <w:pPr>
        <w:pStyle w:val="Nagwek1"/>
        <w:keepNext w:val="0"/>
      </w:pPr>
      <w:r w:rsidRPr="00E054BA">
        <w:lastRenderedPageBreak/>
        <w:t>Wymagania dotyczące wadium.</w:t>
      </w:r>
      <w:bookmarkStart w:id="17" w:name="OLE_LINK1"/>
      <w:bookmarkEnd w:id="16"/>
      <w:r w:rsidRPr="00E054BA">
        <w:t xml:space="preserve"> </w:t>
      </w:r>
    </w:p>
    <w:p w14:paraId="4D4B53CB" w14:textId="1094E1FD" w:rsidR="00CE1DAC" w:rsidRPr="00CE1DAC" w:rsidRDefault="00CE1DAC" w:rsidP="00CE1DAC">
      <w:pPr>
        <w:pStyle w:val="Nagwek2"/>
        <w:numPr>
          <w:ilvl w:val="0"/>
          <w:numId w:val="0"/>
        </w:numPr>
        <w:ind w:left="567"/>
        <w:rPr>
          <w:b w:val="0"/>
        </w:rPr>
      </w:pPr>
      <w:bookmarkStart w:id="18" w:name="_Toc62396894"/>
      <w:bookmarkEnd w:id="17"/>
      <w:r w:rsidRPr="00CE1DAC">
        <w:rPr>
          <w:b w:val="0"/>
          <w:color w:val="000000" w:themeColor="text1"/>
        </w:rPr>
        <w:t>Zamawiający nie wymaga wniesienia wadium w niniejszym postępowaniu</w:t>
      </w:r>
      <w:r>
        <w:rPr>
          <w:b w:val="0"/>
        </w:rPr>
        <w:t>.</w:t>
      </w:r>
    </w:p>
    <w:p w14:paraId="4043A489" w14:textId="1E1178A8" w:rsidR="00F85C46" w:rsidRPr="00E054BA" w:rsidRDefault="004B4CE9" w:rsidP="00432B95">
      <w:pPr>
        <w:pStyle w:val="Nagwek1"/>
        <w:keepNext w:val="0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18"/>
    </w:p>
    <w:p w14:paraId="618711CE" w14:textId="7B68746D" w:rsidR="00907E2D" w:rsidRDefault="00907E2D" w:rsidP="00124A15">
      <w:pPr>
        <w:pStyle w:val="Nagwek2"/>
        <w:keepNext w:val="0"/>
        <w:numPr>
          <w:ilvl w:val="0"/>
          <w:numId w:val="16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124A15">
      <w:pPr>
        <w:pStyle w:val="Nagwek3"/>
        <w:numPr>
          <w:ilvl w:val="0"/>
          <w:numId w:val="50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1C3623D6" w:rsidR="00D05F0F" w:rsidRPr="00ED6871" w:rsidRDefault="00D05F0F" w:rsidP="00124A15">
      <w:pPr>
        <w:pStyle w:val="Nagwek3"/>
        <w:numPr>
          <w:ilvl w:val="0"/>
          <w:numId w:val="17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081949">
        <w:rPr>
          <w:rFonts w:eastAsia="Calibri"/>
          <w:lang w:val="pl"/>
        </w:rPr>
        <w:t xml:space="preserve"> platformy zakupowej o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4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5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7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lastRenderedPageBreak/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8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644E9614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 xml:space="preserve">Damian Ludwikowski, </w:t>
      </w:r>
      <w:r w:rsidR="00301EA8">
        <w:rPr>
          <w:b/>
          <w:color w:val="222A35" w:themeColor="text2" w:themeShade="80"/>
          <w:lang w:val="pl"/>
        </w:rPr>
        <w:t>mgr Justyna Rutkowska – Zawada,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9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61BB17F5" w:rsidR="00FC3A95" w:rsidRPr="00FC3A95" w:rsidRDefault="00FC3A95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Pr="00FC3A95">
        <w:rPr>
          <w:lang w:val="pl"/>
        </w:rPr>
        <w:t xml:space="preserve">omunikacja ustna dopuszczalna jest </w:t>
      </w:r>
      <w:r>
        <w:rPr>
          <w:lang w:val="pl"/>
        </w:rPr>
        <w:t>w odniesieniu do in</w:t>
      </w:r>
      <w:r w:rsidRPr="00FC3A95">
        <w:rPr>
          <w:lang w:val="pl"/>
        </w:rPr>
        <w:t>formacji, które nie są istotne, w</w:t>
      </w:r>
      <w:r>
        <w:rPr>
          <w:lang w:val="pl"/>
        </w:rPr>
        <w:t> </w:t>
      </w:r>
      <w:r w:rsidRPr="00FC3A95">
        <w:rPr>
          <w:lang w:val="pl"/>
        </w:rPr>
        <w:t>szczególności nie dotyczą ogłoszenia o zamówi</w:t>
      </w:r>
      <w:r>
        <w:rPr>
          <w:lang w:val="pl"/>
        </w:rPr>
        <w:t>eniu lub dokumentów zamówienia oraz ofert</w:t>
      </w:r>
      <w:r w:rsidRPr="00FC3A95">
        <w:rPr>
          <w:lang w:val="pl"/>
        </w:rPr>
        <w:t>, o</w:t>
      </w:r>
      <w:r>
        <w:rPr>
          <w:lang w:val="pl"/>
        </w:rPr>
        <w:t> </w:t>
      </w:r>
      <w:r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124A15">
      <w:pPr>
        <w:pStyle w:val="Nagwek3"/>
        <w:numPr>
          <w:ilvl w:val="0"/>
          <w:numId w:val="18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20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124A15">
      <w:pPr>
        <w:pStyle w:val="Nagwek4"/>
        <w:numPr>
          <w:ilvl w:val="0"/>
          <w:numId w:val="19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lastRenderedPageBreak/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124A15">
      <w:pPr>
        <w:pStyle w:val="Nagwek4"/>
        <w:numPr>
          <w:ilvl w:val="0"/>
          <w:numId w:val="20"/>
        </w:numPr>
        <w:ind w:left="1134" w:hanging="283"/>
      </w:pPr>
      <w:r w:rsidRPr="00D05F0F">
        <w:t xml:space="preserve">akceptuje warunki korzystania z </w:t>
      </w:r>
      <w:hyperlink r:id="rId21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2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3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4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6A0A64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5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124A15">
      <w:pPr>
        <w:pStyle w:val="Nagwek3"/>
        <w:numPr>
          <w:ilvl w:val="0"/>
          <w:numId w:val="21"/>
        </w:numPr>
        <w:ind w:left="851" w:hanging="284"/>
      </w:pPr>
      <w:bookmarkStart w:id="19" w:name="_wp2umuqo1p7z" w:colFirst="0" w:colLast="0"/>
      <w:bookmarkEnd w:id="19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lastRenderedPageBreak/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Pzp.</w:t>
      </w:r>
    </w:p>
    <w:p w14:paraId="7369EC4C" w14:textId="4B960213" w:rsidR="007206AE" w:rsidRDefault="001C43D0" w:rsidP="00432B95">
      <w:pPr>
        <w:pStyle w:val="Nagwek1"/>
        <w:keepNext w:val="0"/>
      </w:pPr>
      <w:bookmarkStart w:id="20" w:name="_Toc62396895"/>
      <w:r>
        <w:t>Opis sposobu przygotowania ofert.</w:t>
      </w:r>
      <w:bookmarkEnd w:id="20"/>
    </w:p>
    <w:p w14:paraId="5F379EB3" w14:textId="44C82CE4" w:rsidR="00C540B8" w:rsidRDefault="00C540B8" w:rsidP="00124A15">
      <w:pPr>
        <w:pStyle w:val="Nagwek2"/>
        <w:keepNext w:val="0"/>
        <w:numPr>
          <w:ilvl w:val="0"/>
          <w:numId w:val="22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67858DA1" w:rsidR="00C540B8" w:rsidRDefault="00C540B8" w:rsidP="00124A15">
      <w:pPr>
        <w:pStyle w:val="Nagwek3"/>
        <w:numPr>
          <w:ilvl w:val="0"/>
          <w:numId w:val="23"/>
        </w:numPr>
        <w:ind w:left="851" w:hanging="284"/>
      </w:pPr>
      <w:r w:rsidRPr="00C540B8">
        <w:t xml:space="preserve">Wykonawca może złożyć tylko jedną ofertę w zakresie </w:t>
      </w:r>
      <w:r>
        <w:t>niniejszego postępowania;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lastRenderedPageBreak/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6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7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17A18ECD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081949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lastRenderedPageBreak/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124A15">
      <w:pPr>
        <w:pStyle w:val="Nagwek4"/>
        <w:numPr>
          <w:ilvl w:val="0"/>
          <w:numId w:val="24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5E478BDB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CE1DAC">
        <w:t xml:space="preserve">, </w:t>
      </w:r>
      <w:r w:rsidR="00CE1DAC">
        <w:rPr>
          <w:rFonts w:eastAsia="Arial Unicode MS"/>
        </w:rPr>
        <w:t>czas trwania licencji</w:t>
      </w:r>
      <w:r w:rsidR="004C71C5">
        <w:t>;</w:t>
      </w:r>
      <w:r w:rsidR="00EE444D" w:rsidRPr="00EE444D">
        <w:t xml:space="preserve">  </w:t>
      </w:r>
    </w:p>
    <w:p w14:paraId="5B6774EB" w14:textId="0974057D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</w:t>
      </w:r>
      <w:r w:rsidR="00CE1DAC">
        <w:rPr>
          <w:rFonts w:eastAsia="Arial Unicode MS"/>
        </w:rPr>
        <w:t>e</w:t>
      </w:r>
      <w:r w:rsidR="008B0002">
        <w:rPr>
          <w:rFonts w:eastAsia="Arial Unicode MS"/>
        </w:rPr>
        <w:t xml:space="preserve"> </w:t>
      </w:r>
      <w:r w:rsidR="00CE1DAC">
        <w:t>oprogramowanie</w:t>
      </w:r>
      <w:r>
        <w:rPr>
          <w:rFonts w:eastAsia="Arial Unicode MS"/>
        </w:rPr>
        <w:t>, podając nazwę producenta</w:t>
      </w:r>
      <w:r w:rsidR="00723071">
        <w:rPr>
          <w:rFonts w:eastAsia="Arial Unicode MS"/>
        </w:rPr>
        <w:t xml:space="preserve">, </w:t>
      </w:r>
      <w:r w:rsidR="004C71C5">
        <w:rPr>
          <w:rFonts w:eastAsia="Arial Unicode MS"/>
        </w:rPr>
        <w:t>wersję</w:t>
      </w:r>
      <w:r w:rsidR="00723071">
        <w:rPr>
          <w:rFonts w:eastAsia="Arial Unicode MS"/>
        </w:rPr>
        <w:t>,</w:t>
      </w:r>
      <w:r w:rsidR="00CE1DAC">
        <w:rPr>
          <w:rFonts w:eastAsia="Arial Unicode MS"/>
        </w:rPr>
        <w:t xml:space="preserve"> </w:t>
      </w:r>
      <w:r w:rsidR="00723071" w:rsidRPr="00723071">
        <w:rPr>
          <w:rFonts w:eastAsia="Arial Unicode MS"/>
        </w:rPr>
        <w:t>a w</w:t>
      </w:r>
      <w:r w:rsidR="00723071">
        <w:rPr>
          <w:rFonts w:eastAsia="Arial Unicode MS"/>
        </w:rPr>
        <w:t xml:space="preserve"> </w:t>
      </w:r>
      <w:r w:rsidR="00723071" w:rsidRPr="00723071">
        <w:rPr>
          <w:rFonts w:eastAsia="Arial Unicode MS"/>
        </w:rPr>
        <w:t xml:space="preserve"> przypadku braku takich oznaczeń - </w:t>
      </w:r>
      <w:r w:rsidR="00723071" w:rsidRPr="00723071">
        <w:rPr>
          <w:rFonts w:eastAsia="Arial Unicode MS"/>
        </w:rPr>
        <w:lastRenderedPageBreak/>
        <w:t>innych, przypisanych wyłącznie temu produktowi cech, jednoznacznie identyfikujących zaoferowane oprogramowanie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669EECC5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>ustawy Pzp</w:t>
      </w:r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38784A08" w:rsidR="00A57F79" w:rsidRPr="00A57F79" w:rsidRDefault="00A57F79" w:rsidP="00124A15">
      <w:pPr>
        <w:pStyle w:val="Nagwek3"/>
        <w:numPr>
          <w:ilvl w:val="0"/>
          <w:numId w:val="25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</w:t>
      </w:r>
      <w:r w:rsidR="000763E3" w:rsidRPr="006309FF">
        <w:t xml:space="preserve">całkowite wynagrodzenie należne Wykonawcy z tytułu realizacji umowy w okresie jej obowiązywania, w tym z tytułu udzielenia licencji w niej określonych, jako usługi podstawowej, </w:t>
      </w:r>
      <w:r w:rsidR="00723071">
        <w:t>realizacji wsparcia technicznego</w:t>
      </w:r>
      <w:r w:rsidR="000763E3" w:rsidRPr="006309FF">
        <w:t xml:space="preserve"> na zasadach wskazanych w umowie, a także pozostałych świadczeń określonych w umowie, mających charakter pomocniczy względem tej usługi podstawowej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</w:t>
      </w:r>
      <w:r w:rsidR="00723071">
        <w:t>, a w przypadku zaoferowania oprogramowania równoważnego</w:t>
      </w:r>
      <w:r w:rsidR="00723071" w:rsidRPr="00723071">
        <w:rPr>
          <w:rFonts w:ascii="Arial" w:hAnsi="Arial" w:cs="Arial"/>
          <w:bCs w:val="0"/>
          <w:i/>
          <w:sz w:val="18"/>
          <w:szCs w:val="18"/>
          <w:lang w:eastAsia="en-US"/>
        </w:rPr>
        <w:t xml:space="preserve"> </w:t>
      </w:r>
      <w:r w:rsidR="00723071" w:rsidRPr="00723071">
        <w:t>winna obejmować również koszty wdrożenia rozwiązania</w:t>
      </w:r>
      <w:r w:rsidR="00723071">
        <w:t xml:space="preserve"> równoważnego</w:t>
      </w:r>
      <w:r w:rsidR="00723071" w:rsidRPr="00723071">
        <w:t xml:space="preserve">, zgodnie z wymaganiami określonymi </w:t>
      </w:r>
      <w:r w:rsidR="007E55C8">
        <w:t xml:space="preserve">w </w:t>
      </w:r>
      <w:r w:rsidR="00723071">
        <w:t>zał. 2 do SWZ</w:t>
      </w:r>
      <w:r w:rsidR="00723071" w:rsidRPr="00723071">
        <w:t xml:space="preserve"> oraz koszt przeprowadzenia szkolenia.</w:t>
      </w:r>
      <w:r w:rsidR="00723071">
        <w:t xml:space="preserve"> 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 xml:space="preserve">kwotę </w:t>
      </w:r>
      <w:r w:rsidR="00AD7B52">
        <w:lastRenderedPageBreak/>
        <w:t>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399C8ABF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124A15">
      <w:pPr>
        <w:pStyle w:val="Nagwek3"/>
        <w:numPr>
          <w:ilvl w:val="0"/>
          <w:numId w:val="26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432B95">
      <w:pPr>
        <w:pStyle w:val="Nagwek1"/>
        <w:keepNext w:val="0"/>
      </w:pPr>
      <w:bookmarkStart w:id="21" w:name="_Toc62396896"/>
      <w:r>
        <w:t>Sposób oraz termin składania ofert.</w:t>
      </w:r>
      <w:bookmarkEnd w:id="21"/>
    </w:p>
    <w:p w14:paraId="3FE1B093" w14:textId="7502386F" w:rsidR="0031115A" w:rsidRPr="00ED6871" w:rsidRDefault="0031115A" w:rsidP="00124A15">
      <w:pPr>
        <w:pStyle w:val="Nagwek2"/>
        <w:keepNext w:val="0"/>
        <w:numPr>
          <w:ilvl w:val="0"/>
          <w:numId w:val="27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0B7D3267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C3626D" w:rsidRPr="00C3626D">
        <w:rPr>
          <w:b/>
          <w:lang w:eastAsia="x-none"/>
        </w:rPr>
        <w:t>27.11.2023 r.</w:t>
      </w:r>
      <w:r w:rsidRPr="00C3626D">
        <w:rPr>
          <w:b/>
          <w:lang w:eastAsia="x-none"/>
        </w:rPr>
        <w:t xml:space="preserve"> do godziny </w:t>
      </w:r>
      <w:r w:rsidR="00195B0B" w:rsidRPr="00C3626D">
        <w:rPr>
          <w:b/>
          <w:lang w:eastAsia="x-none"/>
        </w:rPr>
        <w:t>10:00</w:t>
      </w:r>
      <w:r w:rsidR="00195B0B">
        <w:rPr>
          <w:lang w:eastAsia="x-none"/>
        </w:rPr>
        <w:t xml:space="preserve">.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1B7B63BD" w14:textId="77777777" w:rsidR="00BF67A6" w:rsidRDefault="00BF67A6">
      <w:pPr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rPr>
          <w:rFonts w:eastAsia="Calibri"/>
        </w:rPr>
        <w:br w:type="page"/>
      </w:r>
    </w:p>
    <w:p w14:paraId="6B72825F" w14:textId="1AA08783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lastRenderedPageBreak/>
        <w:t>Sposób złożenia oferty.</w:t>
      </w:r>
    </w:p>
    <w:p w14:paraId="0BEB3DAD" w14:textId="7E9DDAE1" w:rsidR="00B173C4" w:rsidRPr="00ED6871" w:rsidRDefault="00B173C4" w:rsidP="00124A15">
      <w:pPr>
        <w:pStyle w:val="Nagwek3"/>
        <w:numPr>
          <w:ilvl w:val="0"/>
          <w:numId w:val="28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8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30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32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3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22" w:name="_Toc62396897"/>
      <w:r w:rsidRPr="00E054BA">
        <w:t>Termin i tryb otwarcia ofert.</w:t>
      </w:r>
      <w:bookmarkEnd w:id="22"/>
    </w:p>
    <w:p w14:paraId="7D3146F9" w14:textId="4946C3EC" w:rsidR="0003593D" w:rsidRPr="00ED6871" w:rsidRDefault="0003593D" w:rsidP="00124A15">
      <w:pPr>
        <w:pStyle w:val="Nagwek2"/>
        <w:keepNext w:val="0"/>
        <w:numPr>
          <w:ilvl w:val="0"/>
          <w:numId w:val="29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4DE46AC8" w:rsidR="0003593D" w:rsidRPr="00ED6871" w:rsidRDefault="0003593D" w:rsidP="00124A15">
      <w:pPr>
        <w:pStyle w:val="Nagwek3"/>
        <w:numPr>
          <w:ilvl w:val="0"/>
          <w:numId w:val="30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C3626D">
        <w:rPr>
          <w:rFonts w:eastAsia="Calibri"/>
        </w:rPr>
        <w:t>27.11.2023 r.</w:t>
      </w:r>
      <w:r w:rsidR="009A7AB0" w:rsidRPr="00ED6871">
        <w:rPr>
          <w:rFonts w:eastAsia="Calibri"/>
        </w:rPr>
        <w:t xml:space="preserve"> o </w:t>
      </w:r>
      <w:r w:rsidR="009A7AB0" w:rsidRPr="00195B0B">
        <w:rPr>
          <w:rFonts w:eastAsia="Calibri"/>
        </w:rPr>
        <w:t xml:space="preserve">godz. </w:t>
      </w:r>
      <w:r w:rsidR="00195B0B" w:rsidRPr="00195B0B">
        <w:rPr>
          <w:rFonts w:eastAsia="Calibri"/>
        </w:rPr>
        <w:t>10:15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lastRenderedPageBreak/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124A15">
      <w:pPr>
        <w:pStyle w:val="Nagwek3"/>
        <w:numPr>
          <w:ilvl w:val="0"/>
          <w:numId w:val="31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124A15">
      <w:pPr>
        <w:pStyle w:val="Nagwek4"/>
        <w:numPr>
          <w:ilvl w:val="0"/>
          <w:numId w:val="51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772BFD96" w:rsidR="0003593D" w:rsidRPr="0003593D" w:rsidRDefault="00B1250E" w:rsidP="00432B95">
      <w:pPr>
        <w:pStyle w:val="Nagwek1"/>
        <w:keepNext w:val="0"/>
      </w:pPr>
      <w:bookmarkStart w:id="23" w:name="_Toc62396898"/>
      <w:r>
        <w:t>Termin związania ofertą.</w:t>
      </w:r>
      <w:bookmarkEnd w:id="23"/>
      <w:r>
        <w:t xml:space="preserve"> </w:t>
      </w:r>
    </w:p>
    <w:p w14:paraId="2B839405" w14:textId="0FA7F6F1" w:rsidR="00D06776" w:rsidRDefault="00D06776" w:rsidP="00124A15">
      <w:pPr>
        <w:pStyle w:val="Nagwek2"/>
        <w:keepNext w:val="0"/>
        <w:numPr>
          <w:ilvl w:val="0"/>
          <w:numId w:val="32"/>
        </w:numPr>
        <w:ind w:left="567" w:hanging="283"/>
      </w:pPr>
      <w:r>
        <w:t>Określenie terminu związania ofertą.</w:t>
      </w:r>
    </w:p>
    <w:p w14:paraId="39B93014" w14:textId="36847A89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C3626D">
        <w:t>26.12.2023 r.</w:t>
      </w:r>
      <w:bookmarkStart w:id="24" w:name="_GoBack"/>
      <w:bookmarkEnd w:id="24"/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Pr="00A52C27" w:rsidRDefault="00782008" w:rsidP="00124A15">
      <w:pPr>
        <w:pStyle w:val="Nagwek3"/>
        <w:numPr>
          <w:ilvl w:val="0"/>
          <w:numId w:val="33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</w:t>
      </w:r>
      <w:r w:rsidRPr="00A52C27">
        <w:t>jednokrotnie do wykonawców o wyrażenie zgody na przedłużenie tego terminu o wskazywany przez nieg</w:t>
      </w:r>
      <w:r w:rsidR="00C12F23" w:rsidRPr="00A52C27">
        <w:t>o okres, nie dłuższy niż 3</w:t>
      </w:r>
      <w:r w:rsidRPr="00A52C27">
        <w:t>0 dni;</w:t>
      </w:r>
    </w:p>
    <w:p w14:paraId="490F7727" w14:textId="720D8704" w:rsidR="00782008" w:rsidRPr="00A52C27" w:rsidRDefault="00782008" w:rsidP="00E93F00">
      <w:pPr>
        <w:pStyle w:val="Nagwek3"/>
        <w:ind w:left="851" w:hanging="284"/>
      </w:pPr>
      <w:r w:rsidRPr="00A52C27">
        <w:t>Przedłużenie terminu związania ofertą, o którym mowa w pkt 1, wymaga złożenia przez wykonawcę pisemnego oświadczenia o wyrażeniu zgody na przedłużenie terminu związania ofertą;</w:t>
      </w:r>
    </w:p>
    <w:p w14:paraId="4DBDD770" w14:textId="554F21B8" w:rsidR="003636A2" w:rsidRPr="00A52C27" w:rsidRDefault="003636A2" w:rsidP="00E93F00">
      <w:pPr>
        <w:pStyle w:val="Nagwek3"/>
        <w:ind w:left="851" w:hanging="284"/>
      </w:pPr>
      <w:r w:rsidRPr="00A52C27">
        <w:t>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14:paraId="1CC8CBDE" w14:textId="77777777" w:rsidR="00BF67A6" w:rsidRDefault="00BF67A6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5" w:name="_Toc62396899"/>
      <w:r>
        <w:br w:type="page"/>
      </w:r>
    </w:p>
    <w:p w14:paraId="655C953F" w14:textId="67AE1782" w:rsidR="00F85C46" w:rsidRPr="00E054BA" w:rsidRDefault="00F85C46" w:rsidP="00432B95">
      <w:pPr>
        <w:pStyle w:val="Nagwek1"/>
        <w:keepNext w:val="0"/>
      </w:pPr>
      <w:r w:rsidRPr="00E054BA">
        <w:lastRenderedPageBreak/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5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6189C259" w:rsidR="00F85C46" w:rsidRPr="00E054BA" w:rsidRDefault="003C094D" w:rsidP="00124A15">
      <w:pPr>
        <w:pStyle w:val="Nagwek3"/>
        <w:numPr>
          <w:ilvl w:val="0"/>
          <w:numId w:val="37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BF67A6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BF67A6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BF67A6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BF67A6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BF67A6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BF67A6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BF67A6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BF67A6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43A6CEBE" w:rsidR="003C3AC5" w:rsidRPr="00957C9F" w:rsidRDefault="001F487A" w:rsidP="00BF67A6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113C7A08" w:rsidR="003C3AC5" w:rsidRPr="00957C9F" w:rsidRDefault="001F487A" w:rsidP="00BF67A6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C71C5" w:rsidRPr="00E054BA" w14:paraId="096FAF38" w14:textId="77777777" w:rsidTr="00BF67A6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8A7F21B" w14:textId="09449568" w:rsidR="004C71C5" w:rsidRPr="00791BE2" w:rsidRDefault="001F487A" w:rsidP="00BF67A6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</w:t>
            </w:r>
            <w:r w:rsidR="004C71C5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DFFC143" w14:textId="24A2E9C5" w:rsidR="004C71C5" w:rsidRDefault="00BF67A6" w:rsidP="00BF67A6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Rozwiązania </w:t>
            </w:r>
            <w:r w:rsidRPr="00BF0EB7">
              <w:rPr>
                <w:rFonts w:cs="Arial"/>
                <w:szCs w:val="20"/>
              </w:rPr>
              <w:t>techniczne 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funkcjonalne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07A614D0" w14:textId="2106A589" w:rsidR="004C71C5" w:rsidRDefault="00723071" w:rsidP="00BF67A6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  <w:r w:rsidR="004C71C5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09793194" w14:textId="5F266CA6" w:rsidR="004C71C5" w:rsidRDefault="00723071" w:rsidP="00BF67A6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480E49C1" w:rsidR="00F85C46" w:rsidRPr="00E054BA" w:rsidRDefault="003C094D" w:rsidP="00124A15">
      <w:pPr>
        <w:pStyle w:val="Nagwek3"/>
        <w:numPr>
          <w:ilvl w:val="0"/>
          <w:numId w:val="34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124A15">
      <w:pPr>
        <w:pStyle w:val="Nagwek4"/>
        <w:numPr>
          <w:ilvl w:val="0"/>
          <w:numId w:val="36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124A15">
      <w:pPr>
        <w:pStyle w:val="Akapitzlist"/>
        <w:numPr>
          <w:ilvl w:val="0"/>
          <w:numId w:val="35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2306C6A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124A15">
      <w:pPr>
        <w:pStyle w:val="Akapitzlist"/>
        <w:numPr>
          <w:ilvl w:val="0"/>
          <w:numId w:val="35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738C8780" w:rsidR="00F85C46" w:rsidRPr="00CE4834" w:rsidRDefault="00F85C46" w:rsidP="00124A15">
      <w:pPr>
        <w:pStyle w:val="Akapitzlist"/>
        <w:numPr>
          <w:ilvl w:val="0"/>
          <w:numId w:val="3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1F487A">
        <w:rPr>
          <w:rFonts w:cs="Arial"/>
          <w:b/>
          <w:color w:val="000000" w:themeColor="text1"/>
          <w:szCs w:val="20"/>
          <w:lang w:eastAsia="pl-PL"/>
        </w:rPr>
        <w:t>60</w:t>
      </w:r>
      <w:r w:rsidRPr="00CE4834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2F441B4E" w14:textId="6DF16D01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</w:t>
      </w:r>
      <w:r w:rsidR="00BF67A6" w:rsidRPr="00BF67A6">
        <w:rPr>
          <w:b/>
          <w:color w:val="000000" w:themeColor="text1"/>
          <w:lang w:val="pl-PL"/>
        </w:rPr>
        <w:t>Rozwiązania techniczne i funkcjonalne</w:t>
      </w:r>
      <w:r w:rsidRPr="00CE4834">
        <w:rPr>
          <w:b/>
          <w:color w:val="000000" w:themeColor="text1"/>
        </w:rPr>
        <w:t>”:</w:t>
      </w:r>
    </w:p>
    <w:p w14:paraId="6B11B497" w14:textId="77777777" w:rsidR="00BF67A6" w:rsidRPr="00573A48" w:rsidRDefault="00BF67A6" w:rsidP="00BF67A6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</w:t>
      </w:r>
      <w:r w:rsidRPr="00EB104B">
        <w:rPr>
          <w:rFonts w:cs="Arial"/>
          <w:szCs w:val="20"/>
        </w:rPr>
        <w:t>rozwiązania</w:t>
      </w:r>
      <w:r>
        <w:rPr>
          <w:rFonts w:cs="Arial"/>
          <w:szCs w:val="20"/>
        </w:rPr>
        <w:t xml:space="preserve"> </w:t>
      </w:r>
      <w:r w:rsidRPr="00BF0EB7">
        <w:rPr>
          <w:rFonts w:cs="Arial"/>
          <w:szCs w:val="20"/>
        </w:rPr>
        <w:t>techniczne i funkcjonalne</w:t>
      </w:r>
      <w:r w:rsidRPr="00573A48">
        <w:rPr>
          <w:rFonts w:cs="Arial"/>
          <w:szCs w:val="20"/>
        </w:rPr>
        <w:t>” zostaną przyznane w następujący sposób:</w:t>
      </w:r>
    </w:p>
    <w:p w14:paraId="2149F09B" w14:textId="56ACB69D" w:rsidR="00BF67A6" w:rsidRPr="002F0627" w:rsidRDefault="00BF67A6" w:rsidP="00BF67A6">
      <w:pPr>
        <w:pStyle w:val="Tekstpodstawowywcity2"/>
        <w:widowControl w:val="0"/>
        <w:spacing w:line="360" w:lineRule="auto"/>
        <w:ind w:left="1418"/>
        <w:rPr>
          <w:rFonts w:ascii="Bahnschrift" w:hAnsi="Bahnschrift" w:cs="Arial"/>
          <w:szCs w:val="20"/>
          <w:lang w:val="pl-PL" w:eastAsia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1C4C3B">
        <w:rPr>
          <w:rFonts w:ascii="Bahnschrift" w:hAnsi="Bahnschrift" w:cs="Arial"/>
          <w:szCs w:val="20"/>
          <w:lang w:eastAsia="pl-PL"/>
        </w:rPr>
        <w:t xml:space="preserve">pkt. </w:t>
      </w:r>
      <w:r w:rsidR="002B332B">
        <w:rPr>
          <w:rFonts w:ascii="Bahnschrift" w:hAnsi="Bahnschrift" w:cs="Arial"/>
          <w:szCs w:val="20"/>
          <w:lang w:val="pl-PL" w:eastAsia="pl-PL"/>
        </w:rPr>
        <w:t>5</w:t>
      </w:r>
      <w:r w:rsidRPr="001C4C3B">
        <w:rPr>
          <w:rFonts w:ascii="Bahnschrift" w:hAnsi="Bahnschrift" w:cs="Arial"/>
          <w:szCs w:val="20"/>
          <w:lang w:eastAsia="pl-PL"/>
        </w:rPr>
        <w:t xml:space="preserve"> załącznika nr </w:t>
      </w:r>
      <w:r w:rsidRPr="00880B5E">
        <w:rPr>
          <w:rFonts w:ascii="Bahnschrift" w:hAnsi="Bahnschrift" w:cs="Arial"/>
          <w:szCs w:val="20"/>
          <w:lang w:eastAsia="pl-PL"/>
        </w:rPr>
        <w:t xml:space="preserve">1A </w:t>
      </w:r>
      <w:r w:rsidRPr="001E69C8">
        <w:rPr>
          <w:rFonts w:ascii="Bahnschrift" w:hAnsi="Bahnschrift" w:cs="Arial"/>
          <w:szCs w:val="20"/>
          <w:lang w:eastAsia="pl-PL"/>
        </w:rPr>
        <w:t>do SWZ).</w:t>
      </w:r>
    </w:p>
    <w:p w14:paraId="1952AA0E" w14:textId="0D88242F" w:rsidR="00BF67A6" w:rsidRDefault="00BF67A6" w:rsidP="00433626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szCs w:val="20"/>
          <w:lang w:eastAsia="pl-PL"/>
        </w:rPr>
        <w:t>j</w:t>
      </w:r>
      <w:r w:rsidRPr="00EB104B">
        <w:rPr>
          <w:rFonts w:cs="Arial"/>
          <w:szCs w:val="20"/>
          <w:lang w:eastAsia="pl-PL"/>
        </w:rPr>
        <w:t>eżeli Wykonawca zaoferuje dodatkowe rozwiązania funkcjonalne</w:t>
      </w:r>
      <w:r w:rsidR="00433626">
        <w:rPr>
          <w:rFonts w:cs="Arial"/>
          <w:szCs w:val="20"/>
          <w:lang w:eastAsia="pl-PL"/>
        </w:rPr>
        <w:t xml:space="preserve"> i techniczne</w:t>
      </w:r>
      <w:r w:rsidRPr="00EB104B">
        <w:rPr>
          <w:rFonts w:cs="Arial"/>
          <w:szCs w:val="20"/>
          <w:lang w:eastAsia="pl-PL"/>
        </w:rPr>
        <w:t>, tj.:</w:t>
      </w:r>
      <w:r w:rsidR="00433626">
        <w:rPr>
          <w:rFonts w:cs="Arial"/>
          <w:szCs w:val="20"/>
          <w:lang w:eastAsia="pl-PL"/>
        </w:rPr>
        <w:t xml:space="preserve"> </w:t>
      </w:r>
      <w:r w:rsidR="00433626">
        <w:rPr>
          <w:rStyle w:val="Pogrubienie"/>
        </w:rPr>
        <w:t>funkcjonalność „</w:t>
      </w:r>
      <w:proofErr w:type="spellStart"/>
      <w:r w:rsidR="00433626">
        <w:rPr>
          <w:rStyle w:val="Pogrubienie"/>
        </w:rPr>
        <w:t>sandbox</w:t>
      </w:r>
      <w:proofErr w:type="spellEnd"/>
      <w:r w:rsidR="00433626">
        <w:rPr>
          <w:rStyle w:val="Pogrubienie"/>
        </w:rPr>
        <w:t>”</w:t>
      </w:r>
      <w:r w:rsidR="00433626">
        <w:rPr>
          <w:b/>
          <w:color w:val="000000" w:themeColor="text1"/>
        </w:rPr>
        <w:t xml:space="preserve"> </w:t>
      </w:r>
      <w:r w:rsidR="00433626">
        <w:rPr>
          <w:rStyle w:val="Pogrubienie"/>
        </w:rPr>
        <w:t>w postaci maszyny wirtualnej, serwera lub chmury producenta</w:t>
      </w:r>
      <w:r w:rsidR="00433626" w:rsidRPr="00433626">
        <w:rPr>
          <w:rStyle w:val="Pogrubienie"/>
          <w:b w:val="0"/>
        </w:rPr>
        <w:t xml:space="preserve"> </w:t>
      </w:r>
      <w:r w:rsidR="00433626" w:rsidRPr="00B705F7">
        <w:rPr>
          <w:rStyle w:val="Pogrubienie"/>
          <w:b w:val="0"/>
        </w:rPr>
        <w:t>w środowisku zamawiającego</w:t>
      </w:r>
      <w:r w:rsidR="00433626">
        <w:rPr>
          <w:rStyle w:val="Pogrubienie"/>
          <w:b w:val="0"/>
        </w:rPr>
        <w:t xml:space="preserve"> otrzyma 40 pkt.</w:t>
      </w:r>
    </w:p>
    <w:p w14:paraId="4E79F7C2" w14:textId="4C237986" w:rsidR="00BF67A6" w:rsidRDefault="00BF67A6" w:rsidP="00BF67A6">
      <w:pPr>
        <w:ind w:left="1418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-  brak oświadczenia (brak wyboru opcji TAK/NIE) – Zamawiający uzna, że Wykonawca nie oferuje danego </w:t>
      </w:r>
      <w:r w:rsidRPr="00EB104B">
        <w:rPr>
          <w:rFonts w:cs="Arial"/>
          <w:szCs w:val="20"/>
        </w:rPr>
        <w:t>rozwiązania</w:t>
      </w:r>
      <w:r>
        <w:rPr>
          <w:rFonts w:cs="Arial"/>
          <w:szCs w:val="20"/>
        </w:rPr>
        <w:t xml:space="preserve"> </w:t>
      </w:r>
      <w:r w:rsidRPr="00BF0EB7">
        <w:rPr>
          <w:rFonts w:cs="Arial"/>
          <w:szCs w:val="20"/>
        </w:rPr>
        <w:t>techniczne</w:t>
      </w:r>
      <w:r>
        <w:rPr>
          <w:rFonts w:cs="Arial"/>
          <w:szCs w:val="20"/>
        </w:rPr>
        <w:t xml:space="preserve">go </w:t>
      </w:r>
      <w:r w:rsidR="00433626">
        <w:rPr>
          <w:rFonts w:cs="Arial"/>
          <w:szCs w:val="20"/>
        </w:rPr>
        <w:t>i</w:t>
      </w:r>
      <w:r w:rsidRPr="00BF0EB7">
        <w:rPr>
          <w:rFonts w:cs="Arial"/>
          <w:szCs w:val="20"/>
        </w:rPr>
        <w:t xml:space="preserve"> funkcjonalne</w:t>
      </w:r>
      <w:r>
        <w:rPr>
          <w:rFonts w:cs="Arial"/>
          <w:szCs w:val="20"/>
        </w:rPr>
        <w:t>go</w:t>
      </w:r>
      <w:r>
        <w:rPr>
          <w:rFonts w:cs="Arial"/>
          <w:szCs w:val="20"/>
          <w:lang w:eastAsia="pl-PL"/>
        </w:rPr>
        <w:t xml:space="preserve"> i przyzna 0pkt.</w:t>
      </w:r>
    </w:p>
    <w:p w14:paraId="3822AA64" w14:textId="6EDF09FA" w:rsidR="00BF67A6" w:rsidRPr="00CE4834" w:rsidRDefault="00BF67A6" w:rsidP="00BF67A6">
      <w:pPr>
        <w:pStyle w:val="Akapitzlist"/>
        <w:numPr>
          <w:ilvl w:val="0"/>
          <w:numId w:val="3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433626">
        <w:rPr>
          <w:rFonts w:cs="Arial"/>
          <w:b/>
          <w:color w:val="000000" w:themeColor="text1"/>
          <w:szCs w:val="20"/>
          <w:lang w:eastAsia="pl-PL"/>
        </w:rPr>
        <w:t>40</w:t>
      </w:r>
      <w:r w:rsidRPr="006967CD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329AAE53" w14:textId="398C10DC" w:rsidR="00F85C46" w:rsidRPr="00E054BA" w:rsidRDefault="000A37EA" w:rsidP="00DC07BF">
      <w:pPr>
        <w:pStyle w:val="Nagwek3"/>
        <w:ind w:left="851" w:hanging="284"/>
      </w:pPr>
      <w:r>
        <w:t>O</w:t>
      </w:r>
      <w:r w:rsidR="00F85C46" w:rsidRPr="00E054BA">
        <w:t xml:space="preserve">cena końcowa wyliczona zostanie po zsumowaniu punktów uzyskanych za ocenę kryterium: cena brutto </w:t>
      </w:r>
      <w:r w:rsidR="00F85C46" w:rsidRPr="006903FA">
        <w:t xml:space="preserve">+ </w:t>
      </w:r>
      <w:r w:rsidR="00433626">
        <w:rPr>
          <w:noProof/>
          <w:szCs w:val="20"/>
        </w:rPr>
        <w:t>r</w:t>
      </w:r>
      <w:r w:rsidR="00433626" w:rsidRPr="00433626">
        <w:rPr>
          <w:noProof/>
          <w:szCs w:val="20"/>
        </w:rPr>
        <w:t>ozwiązania techniczne i funkcjonalne</w:t>
      </w:r>
      <w:r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7190BF1C" w:rsidR="00F85C46" w:rsidRPr="000A37EA" w:rsidRDefault="000A37EA" w:rsidP="00DC07BF">
      <w:pPr>
        <w:pStyle w:val="Nagwek3"/>
        <w:ind w:left="851" w:hanging="284"/>
      </w:pPr>
      <w:r w:rsidRPr="000A37EA">
        <w:lastRenderedPageBreak/>
        <w:t>Z</w:t>
      </w:r>
      <w:r w:rsidR="00F85C46" w:rsidRPr="000A37EA">
        <w:t>a ofertę najkorzystniejszą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124A15">
      <w:pPr>
        <w:pStyle w:val="Nagwek2"/>
        <w:keepNext w:val="0"/>
        <w:numPr>
          <w:ilvl w:val="0"/>
          <w:numId w:val="38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124A15">
      <w:pPr>
        <w:pStyle w:val="Nagwek3"/>
        <w:numPr>
          <w:ilvl w:val="0"/>
          <w:numId w:val="39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124A15">
      <w:pPr>
        <w:pStyle w:val="Nagwek4"/>
        <w:numPr>
          <w:ilvl w:val="0"/>
          <w:numId w:val="52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4BD6ABF9" w:rsidR="00F85C46" w:rsidRPr="00E054BA" w:rsidRDefault="00F85C46" w:rsidP="00432B95">
      <w:pPr>
        <w:pStyle w:val="Nagwek1"/>
        <w:keepNext w:val="0"/>
      </w:pPr>
      <w:bookmarkStart w:id="26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6"/>
      <w:r w:rsidRPr="00E054BA">
        <w:t xml:space="preserve"> </w:t>
      </w:r>
    </w:p>
    <w:p w14:paraId="694895E2" w14:textId="3A5A6690" w:rsidR="00ED6871" w:rsidRDefault="00ED6871" w:rsidP="00124A15">
      <w:pPr>
        <w:pStyle w:val="Nagwek2"/>
        <w:keepNext w:val="0"/>
        <w:numPr>
          <w:ilvl w:val="0"/>
          <w:numId w:val="40"/>
        </w:numPr>
        <w:ind w:left="567" w:hanging="283"/>
      </w:pPr>
      <w:r>
        <w:t>Formalności niezbędne przed zawarciem umowy.</w:t>
      </w:r>
    </w:p>
    <w:p w14:paraId="2365E6A8" w14:textId="4004BEFD" w:rsidR="00F85C46" w:rsidRPr="00ED6871" w:rsidRDefault="00ED6871" w:rsidP="00124A15">
      <w:pPr>
        <w:pStyle w:val="Nagwek3"/>
        <w:numPr>
          <w:ilvl w:val="0"/>
          <w:numId w:val="41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124A15">
      <w:pPr>
        <w:pStyle w:val="Nagwek3"/>
        <w:numPr>
          <w:ilvl w:val="0"/>
          <w:numId w:val="41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lastRenderedPageBreak/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25A65A0D" w:rsidR="00F85C46" w:rsidRPr="00E054BA" w:rsidRDefault="00F85C46" w:rsidP="00432B95">
      <w:pPr>
        <w:pStyle w:val="Nagwek1"/>
        <w:keepNext w:val="0"/>
      </w:pPr>
      <w:bookmarkStart w:id="27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7"/>
    </w:p>
    <w:p w14:paraId="3BC5A71B" w14:textId="6B0D4612" w:rsidR="003E05AE" w:rsidRDefault="003E05AE" w:rsidP="00124A15">
      <w:pPr>
        <w:pStyle w:val="Nagwek2"/>
        <w:keepNext w:val="0"/>
        <w:numPr>
          <w:ilvl w:val="0"/>
          <w:numId w:val="42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124A15">
      <w:pPr>
        <w:pStyle w:val="Nagwek3"/>
        <w:numPr>
          <w:ilvl w:val="0"/>
          <w:numId w:val="43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124A15">
      <w:pPr>
        <w:pStyle w:val="Nagwek3"/>
        <w:numPr>
          <w:ilvl w:val="0"/>
          <w:numId w:val="44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124A15">
      <w:pPr>
        <w:pStyle w:val="Nagwek4"/>
        <w:numPr>
          <w:ilvl w:val="0"/>
          <w:numId w:val="53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lastRenderedPageBreak/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124A15">
      <w:pPr>
        <w:pStyle w:val="Nagwek4"/>
        <w:numPr>
          <w:ilvl w:val="0"/>
          <w:numId w:val="54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124A15">
      <w:pPr>
        <w:pStyle w:val="Nagwek3"/>
        <w:numPr>
          <w:ilvl w:val="0"/>
          <w:numId w:val="45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28" w:name="_Toc62396902"/>
      <w:r w:rsidRPr="00E054BA">
        <w:t>Informacje dodatkowe.</w:t>
      </w:r>
      <w:bookmarkEnd w:id="28"/>
    </w:p>
    <w:p w14:paraId="5B19376B" w14:textId="59623ABD" w:rsidR="00F85C46" w:rsidRPr="00743CB0" w:rsidRDefault="00FE10A7" w:rsidP="00124A15">
      <w:pPr>
        <w:pStyle w:val="Nagwek2"/>
        <w:keepNext w:val="0"/>
        <w:numPr>
          <w:ilvl w:val="0"/>
          <w:numId w:val="46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4943ADD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1FBEB988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124A15">
      <w:pPr>
        <w:pStyle w:val="Nagwek3"/>
        <w:numPr>
          <w:ilvl w:val="0"/>
          <w:numId w:val="55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124A15">
      <w:pPr>
        <w:pStyle w:val="Nagwek3"/>
        <w:numPr>
          <w:ilvl w:val="0"/>
          <w:numId w:val="47"/>
        </w:numPr>
        <w:ind w:left="851" w:hanging="284"/>
      </w:pPr>
      <w:r w:rsidRPr="00E054BA">
        <w:lastRenderedPageBreak/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124A15">
      <w:pPr>
        <w:pStyle w:val="Nagwek4"/>
        <w:numPr>
          <w:ilvl w:val="0"/>
          <w:numId w:val="56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6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6B54A0DA" w:rsidR="00F85C46" w:rsidRPr="00BA4B90" w:rsidRDefault="00F85C46" w:rsidP="00283AD0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3216E3" w:rsidRPr="003216E3">
        <w:rPr>
          <w:b/>
        </w:rPr>
        <w:t xml:space="preserve">DZP.382.1. </w:t>
      </w:r>
      <w:r w:rsidR="00136C26">
        <w:rPr>
          <w:b/>
          <w:lang w:val="pl-PL"/>
        </w:rPr>
        <w:t>78</w:t>
      </w:r>
      <w:r w:rsidR="003216E3" w:rsidRPr="003216E3">
        <w:rPr>
          <w:b/>
        </w:rPr>
        <w:t>.2023</w:t>
      </w:r>
      <w:r w:rsidRPr="00BA4B90">
        <w:rPr>
          <w:b/>
        </w:rPr>
        <w:t>,</w:t>
      </w:r>
      <w:r w:rsidRPr="00BA4B90">
        <w:t xml:space="preserve"> o nazwie </w:t>
      </w:r>
      <w:r w:rsidR="00136C26" w:rsidRPr="00136C26">
        <w:rPr>
          <w:b/>
          <w:lang w:val="pl-PL"/>
        </w:rPr>
        <w:t>Dostawa przedłużenia licencji posiadanego oprogramowania antywirusowego</w:t>
      </w:r>
      <w:r w:rsidR="00136C26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4110347A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</w:t>
      </w:r>
      <w:r w:rsidR="004203A7">
        <w:rPr>
          <w:lang w:val="pl-PL"/>
        </w:rPr>
        <w:t>02</w:t>
      </w:r>
      <w:r w:rsidR="0060710F">
        <w:rPr>
          <w:lang w:val="pl-PL"/>
        </w:rPr>
        <w:t>3</w:t>
      </w:r>
      <w:r w:rsidR="0061008C" w:rsidRPr="007F153F">
        <w:t xml:space="preserve"> r. poz. </w:t>
      </w:r>
      <w:r w:rsidR="0060710F">
        <w:rPr>
          <w:lang w:val="pl-PL"/>
        </w:rPr>
        <w:t>1605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</w:t>
      </w:r>
      <w:r w:rsidR="0060710F">
        <w:rPr>
          <w:lang w:val="pl-PL"/>
        </w:rPr>
        <w:t>2</w:t>
      </w:r>
      <w:r w:rsidR="007F153F" w:rsidRPr="007F153F">
        <w:t xml:space="preserve"> r. poz. </w:t>
      </w:r>
      <w:r w:rsidR="0060710F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lastRenderedPageBreak/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1806AA21" w:rsidR="00F85C46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4F9C9863" w14:textId="21469B55" w:rsidR="006903FA" w:rsidRPr="006C0314" w:rsidRDefault="006903FA" w:rsidP="006903FA">
      <w:pPr>
        <w:pStyle w:val="Nagwek3"/>
        <w:numPr>
          <w:ilvl w:val="0"/>
          <w:numId w:val="12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6C0314">
        <w:rPr>
          <w:rFonts w:cs="Arial"/>
          <w:b/>
          <w:szCs w:val="20"/>
          <w:lang w:eastAsia="ar-SA"/>
        </w:rPr>
        <w:t>Obowiązki informacyjne wykonawcy wynikające z RODO.</w:t>
      </w:r>
    </w:p>
    <w:p w14:paraId="458EED46" w14:textId="77777777" w:rsidR="006903FA" w:rsidRPr="006C0314" w:rsidRDefault="006903FA" w:rsidP="006903FA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C0314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osobowe dotyczą i od których dane te wykonawca bezpośrednio pozyskał (będą to w szczególności osoby fizyczne: skierowane do realizacji zamówienia, podwykonawcy, podmioty udostępniające zasoby,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17317212" w14:textId="77777777" w:rsidR="006903FA" w:rsidRDefault="006903FA" w:rsidP="006903FA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 w:rsidRPr="006C0314">
        <w:rPr>
          <w:rFonts w:cs="Arial"/>
          <w:szCs w:val="20"/>
          <w:lang w:eastAsia="ar-SA"/>
        </w:rPr>
        <w:t xml:space="preserve">Ponadto wykonawca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 W celu zapewnienia, że wykonawca wypełnił ww. obowiązki informacyjne oraz ochrony prawnie uzasadnionych interesów osoby trzeciej, której dane zostały przekazane w związku z udziałem Wykonawcy w postępowaniu, Zamawiający zobowiązuje wykonawcę do złożenia oświadczenia o wypełnieniu przez niego obowiązków informacyjnych przewidzianych w art. 13 lub art. 14 RODO. </w:t>
      </w:r>
      <w:r w:rsidRPr="006C0314">
        <w:rPr>
          <w:rFonts w:cs="Arial"/>
          <w:b/>
          <w:szCs w:val="20"/>
          <w:lang w:eastAsia="ar-SA"/>
        </w:rPr>
        <w:t>Wzór stosownego oświadczenia został przewidziany w formularzu oferty stanowiącego załącznik nr 1A do SWZ</w:t>
      </w:r>
      <w:r>
        <w:rPr>
          <w:rFonts w:cs="Arial"/>
          <w:b/>
          <w:szCs w:val="20"/>
          <w:lang w:eastAsia="ar-SA"/>
        </w:rPr>
        <w:t>.</w:t>
      </w:r>
    </w:p>
    <w:sectPr w:rsidR="006903FA" w:rsidSect="000A77DA">
      <w:headerReference w:type="default" r:id="rId37"/>
      <w:footerReference w:type="default" r:id="rId38"/>
      <w:footerReference w:type="first" r:id="rId39"/>
      <w:pgSz w:w="11906" w:h="16838" w:code="9"/>
      <w:pgMar w:top="1702" w:right="1134" w:bottom="1985" w:left="1134" w:header="0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1DDF6" w14:textId="77777777" w:rsidR="006A0A64" w:rsidRDefault="006A0A64" w:rsidP="005D63CD">
      <w:pPr>
        <w:spacing w:line="240" w:lineRule="auto"/>
      </w:pPr>
      <w:r>
        <w:separator/>
      </w:r>
    </w:p>
  </w:endnote>
  <w:endnote w:type="continuationSeparator" w:id="0">
    <w:p w14:paraId="7E9F592B" w14:textId="77777777" w:rsidR="006A0A64" w:rsidRDefault="006A0A64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2BB78" w14:textId="77777777" w:rsidR="00BF67A6" w:rsidRPr="00F84EF3" w:rsidRDefault="00BF67A6" w:rsidP="00D01E45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1072" behindDoc="1" locked="0" layoutInCell="1" allowOverlap="1" wp14:anchorId="113FF86F" wp14:editId="5E2A78BD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3120" behindDoc="1" locked="0" layoutInCell="1" allowOverlap="1" wp14:anchorId="1E66D044" wp14:editId="69507FDE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4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B0EC1A8" w14:textId="77777777" w:rsidR="00BF67A6" w:rsidRPr="00602A59" w:rsidRDefault="00BF67A6" w:rsidP="00D01E45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0464635" wp14:editId="330041F0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5AF4B" w14:textId="77777777" w:rsidR="00BF67A6" w:rsidRPr="00554026" w:rsidRDefault="00BF67A6" w:rsidP="00D01E45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30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464635" id="Prostokąt 3" o:spid="_x0000_s1026" style="position:absolute;left:0;text-align:left;margin-left:2.05pt;margin-top:695.4pt;width:45.7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4E15AF4B" w14:textId="77777777" w:rsidR="00BF67A6" w:rsidRPr="00554026" w:rsidRDefault="00BF67A6" w:rsidP="00D01E45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30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0284CC8" w14:textId="77777777" w:rsidR="00BF67A6" w:rsidRPr="00602A59" w:rsidRDefault="00BF67A6" w:rsidP="00D01E45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5166D26" w14:textId="77777777" w:rsidR="00BF67A6" w:rsidRPr="00602A59" w:rsidRDefault="00BF67A6" w:rsidP="00D01E45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18661224" w14:textId="77777777" w:rsidR="00BF67A6" w:rsidRDefault="00BF67A6" w:rsidP="00D01E45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BABFABF" w14:textId="35BE10FF" w:rsidR="00BF67A6" w:rsidRPr="00D01E45" w:rsidRDefault="006A0A64" w:rsidP="00D01E45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BF67A6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BF67A6" w:rsidRPr="00F84EF3" w:rsidRDefault="00BF67A6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240" behindDoc="1" locked="0" layoutInCell="1" allowOverlap="1" wp14:anchorId="26C8BA69" wp14:editId="4F824161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1B4BBAFE" wp14:editId="43515E71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BF67A6" w:rsidRPr="00602A59" w:rsidRDefault="00BF67A6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BF67A6" w:rsidRPr="00602A59" w:rsidRDefault="00BF67A6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77777777" w:rsidR="00BF67A6" w:rsidRPr="00602A59" w:rsidRDefault="00BF67A6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D963FDF" wp14:editId="681D2740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BF67A6" w:rsidRPr="003A2237" w:rsidRDefault="00BF67A6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7" style="position:absolute;left:0;text-align:left;margin-left:20.9pt;margin-top:694.4pt;width:23.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1C1119F" w14:textId="77777777" w:rsidR="00BF67A6" w:rsidRPr="003A2237" w:rsidRDefault="00BF67A6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BF67A6" w:rsidRDefault="00BF67A6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BF67A6" w:rsidRPr="00E7107F" w:rsidRDefault="006A0A64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BF67A6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8A6EC" w14:textId="77777777" w:rsidR="006A0A64" w:rsidRDefault="006A0A64" w:rsidP="005D63CD">
      <w:pPr>
        <w:spacing w:line="240" w:lineRule="auto"/>
      </w:pPr>
      <w:r>
        <w:separator/>
      </w:r>
    </w:p>
  </w:footnote>
  <w:footnote w:type="continuationSeparator" w:id="0">
    <w:p w14:paraId="2A6B368C" w14:textId="77777777" w:rsidR="006A0A64" w:rsidRDefault="006A0A64" w:rsidP="005D63CD">
      <w:pPr>
        <w:spacing w:line="240" w:lineRule="auto"/>
      </w:pPr>
      <w:r>
        <w:continuationSeparator/>
      </w:r>
    </w:p>
  </w:footnote>
  <w:footnote w:id="1">
    <w:p w14:paraId="554458EF" w14:textId="6FDD063C" w:rsidR="00BF67A6" w:rsidRPr="009F7EAF" w:rsidRDefault="00BF67A6" w:rsidP="000A77DA">
      <w:pPr>
        <w:pStyle w:val="Tekstprzypisudolnego"/>
        <w:rPr>
          <w:rFonts w:ascii="Bahnschrift" w:hAnsi="Bahnschrift"/>
          <w:i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9F7EAF">
        <w:rPr>
          <w:rFonts w:ascii="Bahnschrift" w:hAnsi="Bahnschrift" w:cs="Arial"/>
          <w:sz w:val="18"/>
          <w:szCs w:val="18"/>
        </w:rPr>
        <w:t xml:space="preserve">Wdrożenie oferowanego rozwiązania – dotyczy wyłącznie przypadku zaoferowania przez Wykonawcę oprogramowania równoważnego w stosunku do oprogramowania opisanego przez Zamawiającego w SWZ, </w:t>
      </w:r>
      <w:r w:rsidRPr="009F7EAF">
        <w:rPr>
          <w:rFonts w:ascii="Bahnschrift" w:hAnsi="Bahnschrift" w:cs="Arial"/>
          <w:i/>
          <w:sz w:val="18"/>
          <w:szCs w:val="18"/>
        </w:rPr>
        <w:t>zgodnie z wymaganiami określonymi w rozdziale II, ust. 1 pkt 5) lit. d) SWZ. Wdrożenie oprogramowania obejmuje wszystkie czynności opisane przez Zamawiającego w załączniku nr 2 do SWZ.</w:t>
      </w:r>
    </w:p>
  </w:footnote>
  <w:footnote w:id="2">
    <w:p w14:paraId="3A14B625" w14:textId="0D4526FB" w:rsidR="00BF67A6" w:rsidRDefault="00BF67A6" w:rsidP="000A77DA">
      <w:pPr>
        <w:pStyle w:val="Tekstprzypisudolnego"/>
        <w:rPr>
          <w:i/>
          <w:sz w:val="18"/>
          <w:szCs w:val="18"/>
        </w:rPr>
      </w:pPr>
      <w:r w:rsidRPr="009F7EAF">
        <w:rPr>
          <w:rStyle w:val="Odwoanieprzypisudolnego"/>
          <w:rFonts w:ascii="Bahnschrift" w:eastAsia="Calibri" w:hAnsi="Bahnschrift" w:cs="Arial"/>
          <w:sz w:val="18"/>
          <w:szCs w:val="18"/>
        </w:rPr>
        <w:footnoteRef/>
      </w:r>
      <w:r w:rsidRPr="009F7EAF">
        <w:rPr>
          <w:rFonts w:ascii="Bahnschrift" w:hAnsi="Bahnschrift" w:cs="Arial"/>
          <w:sz w:val="18"/>
          <w:szCs w:val="18"/>
        </w:rPr>
        <w:t xml:space="preserve"> Przeprowadzenie szkolenia – dotyczy wyłącznie przypadku zaoferowania przez Wykonawcę oprogramowania innego niż wskazane przez Zamawiającego w SWZ.</w:t>
      </w:r>
      <w:r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1579F" w14:textId="351F7599" w:rsidR="00BF67A6" w:rsidRPr="000A77DA" w:rsidRDefault="00BF67A6" w:rsidP="000A77DA">
    <w:pPr>
      <w:pStyle w:val="Nagwek"/>
    </w:pPr>
    <w:bookmarkStart w:id="29" w:name="_Hlk110416385"/>
    <w:bookmarkStart w:id="30" w:name="_Hlk110416386"/>
    <w:bookmarkStart w:id="31" w:name="_Hlk110416603"/>
    <w:bookmarkStart w:id="32" w:name="_Hlk110416604"/>
    <w:bookmarkStart w:id="33" w:name="_Hlk110416654"/>
    <w:bookmarkStart w:id="34" w:name="_Hlk110416655"/>
    <w:bookmarkStart w:id="35" w:name="_Hlk110416697"/>
    <w:bookmarkStart w:id="36" w:name="_Hlk110416698"/>
    <w:bookmarkStart w:id="37" w:name="_Hlk110416793"/>
    <w:bookmarkStart w:id="38" w:name="_Hlk110416794"/>
    <w:bookmarkStart w:id="39" w:name="_Hlk110416895"/>
    <w:bookmarkStart w:id="40" w:name="_Hlk110416896"/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2EF33BE" wp14:editId="0C1DA49A">
          <wp:simplePos x="0" y="0"/>
          <wp:positionH relativeFrom="column">
            <wp:posOffset>0</wp:posOffset>
          </wp:positionH>
          <wp:positionV relativeFrom="page">
            <wp:posOffset>0</wp:posOffset>
          </wp:positionV>
          <wp:extent cx="6120130" cy="956310"/>
          <wp:effectExtent l="0" t="0" r="0" b="0"/>
          <wp:wrapSquare wrapText="bothSides"/>
          <wp:docPr id="39" name="Obraz 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5007BBE"/>
    <w:multiLevelType w:val="hybridMultilevel"/>
    <w:tmpl w:val="257415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E2254A1"/>
    <w:multiLevelType w:val="hybridMultilevel"/>
    <w:tmpl w:val="D3947A36"/>
    <w:lvl w:ilvl="0" w:tplc="C6FA2224">
      <w:start w:val="65535"/>
      <w:numFmt w:val="bullet"/>
      <w:lvlText w:val="-"/>
      <w:lvlJc w:val="left"/>
      <w:pPr>
        <w:ind w:left="1854" w:hanging="360"/>
      </w:pPr>
      <w:rPr>
        <w:rFonts w:ascii="Arial" w:hAnsi="Arial" w:cs="Arial" w:hint="default"/>
      </w:rPr>
    </w:lvl>
    <w:lvl w:ilvl="1" w:tplc="C6FA2224">
      <w:start w:val="65535"/>
      <w:numFmt w:val="bullet"/>
      <w:lvlText w:val="-"/>
      <w:lvlJc w:val="left"/>
      <w:pPr>
        <w:ind w:left="2574" w:hanging="360"/>
      </w:pPr>
      <w:rPr>
        <w:rFonts w:ascii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7EA0F40"/>
    <w:multiLevelType w:val="hybridMultilevel"/>
    <w:tmpl w:val="4932957E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BD54A41"/>
    <w:multiLevelType w:val="hybridMultilevel"/>
    <w:tmpl w:val="D688C260"/>
    <w:lvl w:ilvl="0" w:tplc="78000EF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6C3CE0"/>
    <w:multiLevelType w:val="hybridMultilevel"/>
    <w:tmpl w:val="2F761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05E7B"/>
    <w:multiLevelType w:val="hybridMultilevel"/>
    <w:tmpl w:val="D15C2C0C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2B720AEE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1080617"/>
    <w:multiLevelType w:val="hybridMultilevel"/>
    <w:tmpl w:val="7E609CD8"/>
    <w:lvl w:ilvl="0" w:tplc="1EC4AB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44F83"/>
    <w:multiLevelType w:val="multilevel"/>
    <w:tmpl w:val="E4B0C80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5926965"/>
    <w:multiLevelType w:val="hybridMultilevel"/>
    <w:tmpl w:val="257415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FB6BE3"/>
    <w:multiLevelType w:val="multilevel"/>
    <w:tmpl w:val="892C03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D510D0D"/>
    <w:multiLevelType w:val="hybridMultilevel"/>
    <w:tmpl w:val="2272DB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8"/>
  </w:num>
  <w:num w:numId="5">
    <w:abstractNumId w:val="17"/>
  </w:num>
  <w:num w:numId="6">
    <w:abstractNumId w:val="25"/>
  </w:num>
  <w:num w:numId="7">
    <w:abstractNumId w:val="8"/>
  </w:num>
  <w:num w:numId="8">
    <w:abstractNumId w:val="8"/>
    <w:lvlOverride w:ilvl="0">
      <w:startOverride w:val="1"/>
    </w:lvlOverride>
  </w:num>
  <w:num w:numId="9">
    <w:abstractNumId w:val="21"/>
  </w:num>
  <w:num w:numId="10">
    <w:abstractNumId w:val="6"/>
  </w:num>
  <w:num w:numId="11">
    <w:abstractNumId w:val="20"/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6"/>
    <w:lvlOverride w:ilvl="0">
      <w:startOverride w:val="2"/>
    </w:lvlOverride>
  </w:num>
  <w:num w:numId="18">
    <w:abstractNumId w:val="6"/>
    <w:lvlOverride w:ilvl="0">
      <w:startOverride w:val="1"/>
    </w:lvlOverride>
  </w:num>
  <w:num w:numId="19">
    <w:abstractNumId w:val="20"/>
    <w:lvlOverride w:ilvl="0">
      <w:startOverride w:val="1"/>
    </w:lvlOverride>
  </w:num>
  <w:num w:numId="20">
    <w:abstractNumId w:val="20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6"/>
    <w:lvlOverride w:ilvl="0">
      <w:startOverride w:val="2"/>
    </w:lvlOverride>
  </w:num>
  <w:num w:numId="35">
    <w:abstractNumId w:val="7"/>
  </w:num>
  <w:num w:numId="36">
    <w:abstractNumId w:val="20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8"/>
    <w:lvlOverride w:ilvl="0">
      <w:startOverride w:val="2"/>
    </w:lvlOverride>
  </w:num>
  <w:num w:numId="39">
    <w:abstractNumId w:val="6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6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6"/>
    <w:lvlOverride w:ilvl="0">
      <w:startOverride w:val="1"/>
    </w:lvlOverride>
  </w:num>
  <w:num w:numId="44">
    <w:abstractNumId w:val="6"/>
    <w:lvlOverride w:ilvl="0">
      <w:startOverride w:val="1"/>
    </w:lvlOverride>
  </w:num>
  <w:num w:numId="45">
    <w:abstractNumId w:val="6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6"/>
    <w:lvlOverride w:ilvl="0">
      <w:startOverride w:val="1"/>
    </w:lvlOverride>
  </w:num>
  <w:num w:numId="49">
    <w:abstractNumId w:val="15"/>
  </w:num>
  <w:num w:numId="50">
    <w:abstractNumId w:val="6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20"/>
    <w:lvlOverride w:ilvl="0">
      <w:startOverride w:val="1"/>
    </w:lvlOverride>
  </w:num>
  <w:num w:numId="53">
    <w:abstractNumId w:val="20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6"/>
    <w:lvlOverride w:ilvl="0">
      <w:startOverride w:val="1"/>
    </w:lvlOverride>
  </w:num>
  <w:num w:numId="56">
    <w:abstractNumId w:val="20"/>
    <w:lvlOverride w:ilvl="0">
      <w:startOverride w:val="1"/>
    </w:lvlOverride>
  </w:num>
  <w:num w:numId="57">
    <w:abstractNumId w:val="6"/>
    <w:lvlOverride w:ilvl="0">
      <w:startOverride w:val="1"/>
    </w:lvlOverride>
  </w:num>
  <w:num w:numId="58">
    <w:abstractNumId w:val="3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0"/>
  </w:num>
  <w:num w:numId="62">
    <w:abstractNumId w:val="12"/>
  </w:num>
  <w:num w:numId="6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"/>
    <w:lvlOverride w:ilvl="0">
      <w:startOverride w:val="1"/>
    </w:lvlOverride>
  </w:num>
  <w:num w:numId="65">
    <w:abstractNumId w:val="6"/>
    <w:lvlOverride w:ilvl="0">
      <w:startOverride w:val="1"/>
    </w:lvlOverride>
  </w:num>
  <w:num w:numId="66">
    <w:abstractNumId w:val="6"/>
    <w:lvlOverride w:ilvl="0">
      <w:startOverride w:val="1"/>
    </w:lvlOverride>
  </w:num>
  <w:num w:numId="67">
    <w:abstractNumId w:val="6"/>
    <w:lvlOverride w:ilvl="0">
      <w:startOverride w:val="1"/>
    </w:lvlOverride>
  </w:num>
  <w:num w:numId="68">
    <w:abstractNumId w:val="6"/>
    <w:lvlOverride w:ilvl="0">
      <w:startOverride w:val="1"/>
    </w:lvlOverride>
  </w:num>
  <w:num w:numId="69">
    <w:abstractNumId w:val="6"/>
    <w:lvlOverride w:ilvl="0">
      <w:startOverride w:val="1"/>
    </w:lvlOverride>
  </w:num>
  <w:num w:numId="70">
    <w:abstractNumId w:val="26"/>
  </w:num>
  <w:num w:numId="71">
    <w:abstractNumId w:val="22"/>
  </w:num>
  <w:num w:numId="72">
    <w:abstractNumId w:val="23"/>
  </w:num>
  <w:num w:numId="73">
    <w:abstractNumId w:val="1"/>
  </w:num>
  <w:num w:numId="74">
    <w:abstractNumId w:val="2"/>
  </w:num>
  <w:num w:numId="75">
    <w:abstractNumId w:val="19"/>
  </w:num>
  <w:num w:numId="76">
    <w:abstractNumId w:val="9"/>
  </w:num>
  <w:num w:numId="77">
    <w:abstractNumId w:val="8"/>
    <w:lvlOverride w:ilvl="0">
      <w:startOverride w:val="1"/>
    </w:lvlOverride>
  </w:num>
  <w:num w:numId="78">
    <w:abstractNumId w:val="6"/>
    <w:lvlOverride w:ilvl="0">
      <w:startOverride w:val="1"/>
    </w:lvlOverride>
  </w:num>
  <w:num w:numId="79">
    <w:abstractNumId w:val="4"/>
  </w:num>
  <w:num w:numId="80">
    <w:abstractNumId w:val="13"/>
  </w:num>
  <w:num w:numId="81">
    <w:abstractNumId w:val="24"/>
  </w:num>
  <w:num w:numId="82">
    <w:abstractNumId w:val="20"/>
    <w:lvlOverride w:ilvl="0">
      <w:startOverride w:val="1"/>
    </w:lvlOverride>
  </w:num>
  <w:num w:numId="83">
    <w:abstractNumId w:val="16"/>
  </w:num>
  <w:num w:numId="84">
    <w:abstractNumId w:val="8"/>
    <w:lvlOverride w:ilvl="0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0D80"/>
    <w:rsid w:val="00002F1C"/>
    <w:rsid w:val="00004E96"/>
    <w:rsid w:val="0001285D"/>
    <w:rsid w:val="00012A76"/>
    <w:rsid w:val="00014A25"/>
    <w:rsid w:val="00015985"/>
    <w:rsid w:val="00017990"/>
    <w:rsid w:val="00021C6F"/>
    <w:rsid w:val="00023CE7"/>
    <w:rsid w:val="000321FC"/>
    <w:rsid w:val="00034894"/>
    <w:rsid w:val="0003593D"/>
    <w:rsid w:val="000418CC"/>
    <w:rsid w:val="000479C6"/>
    <w:rsid w:val="000518A0"/>
    <w:rsid w:val="00052289"/>
    <w:rsid w:val="00062715"/>
    <w:rsid w:val="000649CD"/>
    <w:rsid w:val="00065E6E"/>
    <w:rsid w:val="00066CCC"/>
    <w:rsid w:val="00070C25"/>
    <w:rsid w:val="00070F25"/>
    <w:rsid w:val="000729DF"/>
    <w:rsid w:val="000745B4"/>
    <w:rsid w:val="000763E3"/>
    <w:rsid w:val="00080C23"/>
    <w:rsid w:val="00081949"/>
    <w:rsid w:val="00083060"/>
    <w:rsid w:val="000836B7"/>
    <w:rsid w:val="000A2883"/>
    <w:rsid w:val="000A37EA"/>
    <w:rsid w:val="000A3D64"/>
    <w:rsid w:val="000A5BCB"/>
    <w:rsid w:val="000A77DA"/>
    <w:rsid w:val="000B0AAE"/>
    <w:rsid w:val="000C4B47"/>
    <w:rsid w:val="000C5ABC"/>
    <w:rsid w:val="000D1F37"/>
    <w:rsid w:val="000E4CD6"/>
    <w:rsid w:val="000E587B"/>
    <w:rsid w:val="000F60D0"/>
    <w:rsid w:val="00100217"/>
    <w:rsid w:val="00103256"/>
    <w:rsid w:val="00105BD6"/>
    <w:rsid w:val="00110217"/>
    <w:rsid w:val="001119A0"/>
    <w:rsid w:val="00111FD4"/>
    <w:rsid w:val="00113823"/>
    <w:rsid w:val="00120996"/>
    <w:rsid w:val="00124A15"/>
    <w:rsid w:val="00125460"/>
    <w:rsid w:val="00125FCF"/>
    <w:rsid w:val="00132DCD"/>
    <w:rsid w:val="001347B6"/>
    <w:rsid w:val="00136C26"/>
    <w:rsid w:val="001463E7"/>
    <w:rsid w:val="00147280"/>
    <w:rsid w:val="001509D7"/>
    <w:rsid w:val="00155256"/>
    <w:rsid w:val="001561D1"/>
    <w:rsid w:val="001567CC"/>
    <w:rsid w:val="0017021E"/>
    <w:rsid w:val="00170642"/>
    <w:rsid w:val="001814C5"/>
    <w:rsid w:val="001863EA"/>
    <w:rsid w:val="001902EC"/>
    <w:rsid w:val="00195B0B"/>
    <w:rsid w:val="00195C5C"/>
    <w:rsid w:val="00197885"/>
    <w:rsid w:val="00197CBB"/>
    <w:rsid w:val="001A0C84"/>
    <w:rsid w:val="001A1DB9"/>
    <w:rsid w:val="001A32D7"/>
    <w:rsid w:val="001A6F1B"/>
    <w:rsid w:val="001B1AC0"/>
    <w:rsid w:val="001B6A6B"/>
    <w:rsid w:val="001C280E"/>
    <w:rsid w:val="001C43D0"/>
    <w:rsid w:val="001C5BF5"/>
    <w:rsid w:val="001D05CD"/>
    <w:rsid w:val="001E0A1D"/>
    <w:rsid w:val="001E75E7"/>
    <w:rsid w:val="001F487A"/>
    <w:rsid w:val="001F5366"/>
    <w:rsid w:val="00200A27"/>
    <w:rsid w:val="0020120E"/>
    <w:rsid w:val="00203B5C"/>
    <w:rsid w:val="00203D55"/>
    <w:rsid w:val="00206BF5"/>
    <w:rsid w:val="00206E09"/>
    <w:rsid w:val="00214C04"/>
    <w:rsid w:val="00215CD0"/>
    <w:rsid w:val="00221638"/>
    <w:rsid w:val="00226310"/>
    <w:rsid w:val="00230DE9"/>
    <w:rsid w:val="002318AB"/>
    <w:rsid w:val="00241D9C"/>
    <w:rsid w:val="00244022"/>
    <w:rsid w:val="00250A42"/>
    <w:rsid w:val="002516FB"/>
    <w:rsid w:val="002674C0"/>
    <w:rsid w:val="00272E3F"/>
    <w:rsid w:val="00273803"/>
    <w:rsid w:val="00273DD9"/>
    <w:rsid w:val="002767DF"/>
    <w:rsid w:val="00283AD0"/>
    <w:rsid w:val="002862F0"/>
    <w:rsid w:val="00290CF4"/>
    <w:rsid w:val="00297EB3"/>
    <w:rsid w:val="002A3574"/>
    <w:rsid w:val="002A50F6"/>
    <w:rsid w:val="002B20B0"/>
    <w:rsid w:val="002B332B"/>
    <w:rsid w:val="002B3B39"/>
    <w:rsid w:val="002B5872"/>
    <w:rsid w:val="002B6782"/>
    <w:rsid w:val="002C5936"/>
    <w:rsid w:val="002D273D"/>
    <w:rsid w:val="002D2F12"/>
    <w:rsid w:val="002D64F0"/>
    <w:rsid w:val="002E4CF0"/>
    <w:rsid w:val="002E4D53"/>
    <w:rsid w:val="002F5524"/>
    <w:rsid w:val="002F56CF"/>
    <w:rsid w:val="00301EA8"/>
    <w:rsid w:val="00305D5C"/>
    <w:rsid w:val="0031115A"/>
    <w:rsid w:val="00314338"/>
    <w:rsid w:val="003144B0"/>
    <w:rsid w:val="00314F42"/>
    <w:rsid w:val="00317F1D"/>
    <w:rsid w:val="003216E3"/>
    <w:rsid w:val="00321B53"/>
    <w:rsid w:val="003224D3"/>
    <w:rsid w:val="00325C11"/>
    <w:rsid w:val="003322E2"/>
    <w:rsid w:val="003327C2"/>
    <w:rsid w:val="003439DD"/>
    <w:rsid w:val="00343E5A"/>
    <w:rsid w:val="00354EEE"/>
    <w:rsid w:val="00357D01"/>
    <w:rsid w:val="003636A2"/>
    <w:rsid w:val="00364DC0"/>
    <w:rsid w:val="0037783F"/>
    <w:rsid w:val="00382315"/>
    <w:rsid w:val="00384DA3"/>
    <w:rsid w:val="003851AE"/>
    <w:rsid w:val="00385E23"/>
    <w:rsid w:val="003925AC"/>
    <w:rsid w:val="003A663E"/>
    <w:rsid w:val="003B3416"/>
    <w:rsid w:val="003C094D"/>
    <w:rsid w:val="003C3AC5"/>
    <w:rsid w:val="003C461B"/>
    <w:rsid w:val="003C6D2D"/>
    <w:rsid w:val="003C6FE1"/>
    <w:rsid w:val="003E05AE"/>
    <w:rsid w:val="003E1DB0"/>
    <w:rsid w:val="003E3BDD"/>
    <w:rsid w:val="003E647B"/>
    <w:rsid w:val="003F0AA5"/>
    <w:rsid w:val="003F2C51"/>
    <w:rsid w:val="003F308F"/>
    <w:rsid w:val="003F61EF"/>
    <w:rsid w:val="00404C44"/>
    <w:rsid w:val="00410DFD"/>
    <w:rsid w:val="00416D5A"/>
    <w:rsid w:val="00417B44"/>
    <w:rsid w:val="004203A7"/>
    <w:rsid w:val="00430D9E"/>
    <w:rsid w:val="0043134E"/>
    <w:rsid w:val="00431379"/>
    <w:rsid w:val="00432B95"/>
    <w:rsid w:val="00433214"/>
    <w:rsid w:val="00433626"/>
    <w:rsid w:val="00436F8D"/>
    <w:rsid w:val="00443AE6"/>
    <w:rsid w:val="004452FE"/>
    <w:rsid w:val="004516FA"/>
    <w:rsid w:val="00455B33"/>
    <w:rsid w:val="00457D79"/>
    <w:rsid w:val="00461700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6AD"/>
    <w:rsid w:val="004A2BDB"/>
    <w:rsid w:val="004B3854"/>
    <w:rsid w:val="004B4CE9"/>
    <w:rsid w:val="004B7101"/>
    <w:rsid w:val="004C0E1D"/>
    <w:rsid w:val="004C1B2D"/>
    <w:rsid w:val="004C28D5"/>
    <w:rsid w:val="004C4112"/>
    <w:rsid w:val="004C6B89"/>
    <w:rsid w:val="004C71C5"/>
    <w:rsid w:val="004D22E3"/>
    <w:rsid w:val="004D2D43"/>
    <w:rsid w:val="004E0BD8"/>
    <w:rsid w:val="004E2A7B"/>
    <w:rsid w:val="004F088D"/>
    <w:rsid w:val="004F19BB"/>
    <w:rsid w:val="004F280C"/>
    <w:rsid w:val="005061DF"/>
    <w:rsid w:val="005149DB"/>
    <w:rsid w:val="00515101"/>
    <w:rsid w:val="00516D7E"/>
    <w:rsid w:val="00530CAA"/>
    <w:rsid w:val="00543F66"/>
    <w:rsid w:val="0055317F"/>
    <w:rsid w:val="00553D74"/>
    <w:rsid w:val="00557CB8"/>
    <w:rsid w:val="005625C2"/>
    <w:rsid w:val="00584E90"/>
    <w:rsid w:val="00586657"/>
    <w:rsid w:val="00593C25"/>
    <w:rsid w:val="005968E9"/>
    <w:rsid w:val="005A19CF"/>
    <w:rsid w:val="005A269D"/>
    <w:rsid w:val="005B34FE"/>
    <w:rsid w:val="005B5871"/>
    <w:rsid w:val="005B5BA7"/>
    <w:rsid w:val="005B5BF4"/>
    <w:rsid w:val="005C6DF8"/>
    <w:rsid w:val="005D2930"/>
    <w:rsid w:val="005D39C5"/>
    <w:rsid w:val="005D4825"/>
    <w:rsid w:val="005D4855"/>
    <w:rsid w:val="005D63CD"/>
    <w:rsid w:val="005D7EA1"/>
    <w:rsid w:val="005E0FE6"/>
    <w:rsid w:val="005E7B56"/>
    <w:rsid w:val="005F0C33"/>
    <w:rsid w:val="005F2A5F"/>
    <w:rsid w:val="005F4F70"/>
    <w:rsid w:val="00602A59"/>
    <w:rsid w:val="0060710F"/>
    <w:rsid w:val="0061008C"/>
    <w:rsid w:val="00610A45"/>
    <w:rsid w:val="00614792"/>
    <w:rsid w:val="0061721E"/>
    <w:rsid w:val="00621A35"/>
    <w:rsid w:val="00621EAA"/>
    <w:rsid w:val="006277AA"/>
    <w:rsid w:val="00635695"/>
    <w:rsid w:val="006364F5"/>
    <w:rsid w:val="006378CF"/>
    <w:rsid w:val="00642C54"/>
    <w:rsid w:val="00660EB4"/>
    <w:rsid w:val="0066172A"/>
    <w:rsid w:val="00661DC9"/>
    <w:rsid w:val="00663D66"/>
    <w:rsid w:val="00665F0F"/>
    <w:rsid w:val="006675AE"/>
    <w:rsid w:val="006727FE"/>
    <w:rsid w:val="00672F1B"/>
    <w:rsid w:val="00673F0B"/>
    <w:rsid w:val="00683D48"/>
    <w:rsid w:val="00686B74"/>
    <w:rsid w:val="00687243"/>
    <w:rsid w:val="00687DFC"/>
    <w:rsid w:val="006903FA"/>
    <w:rsid w:val="00696973"/>
    <w:rsid w:val="006973C7"/>
    <w:rsid w:val="006A0A64"/>
    <w:rsid w:val="006A1250"/>
    <w:rsid w:val="006A2CEB"/>
    <w:rsid w:val="006A5F11"/>
    <w:rsid w:val="006A784F"/>
    <w:rsid w:val="006B0821"/>
    <w:rsid w:val="006B318B"/>
    <w:rsid w:val="006C1419"/>
    <w:rsid w:val="006C251D"/>
    <w:rsid w:val="006C5845"/>
    <w:rsid w:val="006D3219"/>
    <w:rsid w:val="006D4E1B"/>
    <w:rsid w:val="006D6009"/>
    <w:rsid w:val="006D609B"/>
    <w:rsid w:val="006D69B4"/>
    <w:rsid w:val="006E049E"/>
    <w:rsid w:val="006E2700"/>
    <w:rsid w:val="006E33C4"/>
    <w:rsid w:val="006E5BE6"/>
    <w:rsid w:val="006F19AB"/>
    <w:rsid w:val="006F2450"/>
    <w:rsid w:val="0070662F"/>
    <w:rsid w:val="0071379B"/>
    <w:rsid w:val="00715211"/>
    <w:rsid w:val="007206AE"/>
    <w:rsid w:val="00720988"/>
    <w:rsid w:val="007213C6"/>
    <w:rsid w:val="00722392"/>
    <w:rsid w:val="00723071"/>
    <w:rsid w:val="00733EB6"/>
    <w:rsid w:val="007347EC"/>
    <w:rsid w:val="00741AC3"/>
    <w:rsid w:val="00743CB0"/>
    <w:rsid w:val="00747C84"/>
    <w:rsid w:val="00753946"/>
    <w:rsid w:val="00761087"/>
    <w:rsid w:val="00763158"/>
    <w:rsid w:val="00765CD8"/>
    <w:rsid w:val="007667C8"/>
    <w:rsid w:val="007736C6"/>
    <w:rsid w:val="00774987"/>
    <w:rsid w:val="00780FB6"/>
    <w:rsid w:val="00781509"/>
    <w:rsid w:val="007817D9"/>
    <w:rsid w:val="00781B28"/>
    <w:rsid w:val="00782008"/>
    <w:rsid w:val="00791BE2"/>
    <w:rsid w:val="0079207F"/>
    <w:rsid w:val="00794699"/>
    <w:rsid w:val="00794879"/>
    <w:rsid w:val="007A06EE"/>
    <w:rsid w:val="007A3EF9"/>
    <w:rsid w:val="007B1224"/>
    <w:rsid w:val="007B3CA5"/>
    <w:rsid w:val="007B551E"/>
    <w:rsid w:val="007B66D6"/>
    <w:rsid w:val="007B7E57"/>
    <w:rsid w:val="007C4CB1"/>
    <w:rsid w:val="007C52C3"/>
    <w:rsid w:val="007C7952"/>
    <w:rsid w:val="007D67F0"/>
    <w:rsid w:val="007D7F55"/>
    <w:rsid w:val="007E1600"/>
    <w:rsid w:val="007E1EB6"/>
    <w:rsid w:val="007E55C8"/>
    <w:rsid w:val="007F153F"/>
    <w:rsid w:val="007F1CC6"/>
    <w:rsid w:val="007F728E"/>
    <w:rsid w:val="00801A5D"/>
    <w:rsid w:val="0080582A"/>
    <w:rsid w:val="00815FE8"/>
    <w:rsid w:val="0082259F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B5EAF"/>
    <w:rsid w:val="008C0FA1"/>
    <w:rsid w:val="008C3D7F"/>
    <w:rsid w:val="008C4F7E"/>
    <w:rsid w:val="008C561F"/>
    <w:rsid w:val="008D171A"/>
    <w:rsid w:val="008D5BF0"/>
    <w:rsid w:val="008D5E0B"/>
    <w:rsid w:val="008D6FBC"/>
    <w:rsid w:val="008E2981"/>
    <w:rsid w:val="008E4420"/>
    <w:rsid w:val="008E7BEC"/>
    <w:rsid w:val="008F1477"/>
    <w:rsid w:val="008F2B8E"/>
    <w:rsid w:val="00903638"/>
    <w:rsid w:val="00907E2D"/>
    <w:rsid w:val="00912E09"/>
    <w:rsid w:val="009146A7"/>
    <w:rsid w:val="009159B0"/>
    <w:rsid w:val="00915A9C"/>
    <w:rsid w:val="0091618D"/>
    <w:rsid w:val="009161D6"/>
    <w:rsid w:val="00923402"/>
    <w:rsid w:val="00925CE2"/>
    <w:rsid w:val="00930B8C"/>
    <w:rsid w:val="0093436C"/>
    <w:rsid w:val="00953442"/>
    <w:rsid w:val="00956290"/>
    <w:rsid w:val="00957171"/>
    <w:rsid w:val="00957C9F"/>
    <w:rsid w:val="00961D5D"/>
    <w:rsid w:val="00966254"/>
    <w:rsid w:val="00972BC3"/>
    <w:rsid w:val="0098442D"/>
    <w:rsid w:val="009844D9"/>
    <w:rsid w:val="00985869"/>
    <w:rsid w:val="00990E43"/>
    <w:rsid w:val="0099161D"/>
    <w:rsid w:val="00996376"/>
    <w:rsid w:val="009A1C4B"/>
    <w:rsid w:val="009A3127"/>
    <w:rsid w:val="009A7AB0"/>
    <w:rsid w:val="009B4095"/>
    <w:rsid w:val="009B5DBA"/>
    <w:rsid w:val="009B64C5"/>
    <w:rsid w:val="009B6DB8"/>
    <w:rsid w:val="009C40E6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9F7EAF"/>
    <w:rsid w:val="00A0368D"/>
    <w:rsid w:val="00A2561E"/>
    <w:rsid w:val="00A41E20"/>
    <w:rsid w:val="00A52C27"/>
    <w:rsid w:val="00A54F00"/>
    <w:rsid w:val="00A54F1C"/>
    <w:rsid w:val="00A57F79"/>
    <w:rsid w:val="00A57FC2"/>
    <w:rsid w:val="00A62353"/>
    <w:rsid w:val="00A62983"/>
    <w:rsid w:val="00A62DD6"/>
    <w:rsid w:val="00A638B1"/>
    <w:rsid w:val="00A63A3E"/>
    <w:rsid w:val="00A8536A"/>
    <w:rsid w:val="00A859E4"/>
    <w:rsid w:val="00A867B7"/>
    <w:rsid w:val="00A953DB"/>
    <w:rsid w:val="00AA08C1"/>
    <w:rsid w:val="00AA2AC6"/>
    <w:rsid w:val="00AB6BBC"/>
    <w:rsid w:val="00AC0B26"/>
    <w:rsid w:val="00AD1DEF"/>
    <w:rsid w:val="00AD2BC6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41D6"/>
    <w:rsid w:val="00B262D1"/>
    <w:rsid w:val="00B3055B"/>
    <w:rsid w:val="00B32F08"/>
    <w:rsid w:val="00B3356E"/>
    <w:rsid w:val="00B35F93"/>
    <w:rsid w:val="00B36687"/>
    <w:rsid w:val="00B376D2"/>
    <w:rsid w:val="00B4569B"/>
    <w:rsid w:val="00B57718"/>
    <w:rsid w:val="00B61F3A"/>
    <w:rsid w:val="00B66BD4"/>
    <w:rsid w:val="00B73B67"/>
    <w:rsid w:val="00B7608D"/>
    <w:rsid w:val="00B76598"/>
    <w:rsid w:val="00B85F4B"/>
    <w:rsid w:val="00B9217A"/>
    <w:rsid w:val="00B945EF"/>
    <w:rsid w:val="00BA4B90"/>
    <w:rsid w:val="00BA4C2B"/>
    <w:rsid w:val="00BA4FE0"/>
    <w:rsid w:val="00BA7E0B"/>
    <w:rsid w:val="00BB33A4"/>
    <w:rsid w:val="00BB50C1"/>
    <w:rsid w:val="00BC2C0F"/>
    <w:rsid w:val="00BD1DFF"/>
    <w:rsid w:val="00BE07E2"/>
    <w:rsid w:val="00BE7EB1"/>
    <w:rsid w:val="00BF120E"/>
    <w:rsid w:val="00BF34BD"/>
    <w:rsid w:val="00BF43DB"/>
    <w:rsid w:val="00BF4BB9"/>
    <w:rsid w:val="00BF67A6"/>
    <w:rsid w:val="00BF6C37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2198"/>
    <w:rsid w:val="00C325E2"/>
    <w:rsid w:val="00C35ECC"/>
    <w:rsid w:val="00C3626D"/>
    <w:rsid w:val="00C42A4D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91AA9"/>
    <w:rsid w:val="00C93082"/>
    <w:rsid w:val="00CA3460"/>
    <w:rsid w:val="00CC1292"/>
    <w:rsid w:val="00CD1C73"/>
    <w:rsid w:val="00CD4E3C"/>
    <w:rsid w:val="00CD5AEB"/>
    <w:rsid w:val="00CD6350"/>
    <w:rsid w:val="00CE1DAC"/>
    <w:rsid w:val="00CE4834"/>
    <w:rsid w:val="00CE519E"/>
    <w:rsid w:val="00CE7E76"/>
    <w:rsid w:val="00CF4850"/>
    <w:rsid w:val="00CF6A08"/>
    <w:rsid w:val="00D0074D"/>
    <w:rsid w:val="00D00A2F"/>
    <w:rsid w:val="00D00D00"/>
    <w:rsid w:val="00D014C3"/>
    <w:rsid w:val="00D01E45"/>
    <w:rsid w:val="00D04029"/>
    <w:rsid w:val="00D052E5"/>
    <w:rsid w:val="00D05F0F"/>
    <w:rsid w:val="00D06776"/>
    <w:rsid w:val="00D23569"/>
    <w:rsid w:val="00D265FF"/>
    <w:rsid w:val="00D310A4"/>
    <w:rsid w:val="00D31A33"/>
    <w:rsid w:val="00D52789"/>
    <w:rsid w:val="00D54C1C"/>
    <w:rsid w:val="00D61394"/>
    <w:rsid w:val="00D623DA"/>
    <w:rsid w:val="00D6386D"/>
    <w:rsid w:val="00D65CB7"/>
    <w:rsid w:val="00D7283E"/>
    <w:rsid w:val="00D749C0"/>
    <w:rsid w:val="00D77D1A"/>
    <w:rsid w:val="00D80172"/>
    <w:rsid w:val="00D83EC3"/>
    <w:rsid w:val="00D9319B"/>
    <w:rsid w:val="00D93E0B"/>
    <w:rsid w:val="00D963CD"/>
    <w:rsid w:val="00DA216F"/>
    <w:rsid w:val="00DA74F9"/>
    <w:rsid w:val="00DB261B"/>
    <w:rsid w:val="00DB655D"/>
    <w:rsid w:val="00DC07BF"/>
    <w:rsid w:val="00DC2D61"/>
    <w:rsid w:val="00DD4546"/>
    <w:rsid w:val="00DE1639"/>
    <w:rsid w:val="00DE720A"/>
    <w:rsid w:val="00E02054"/>
    <w:rsid w:val="00E054BA"/>
    <w:rsid w:val="00E14392"/>
    <w:rsid w:val="00E1454C"/>
    <w:rsid w:val="00E1641F"/>
    <w:rsid w:val="00E23287"/>
    <w:rsid w:val="00E25C1E"/>
    <w:rsid w:val="00E34B9F"/>
    <w:rsid w:val="00E40EC4"/>
    <w:rsid w:val="00E43E5F"/>
    <w:rsid w:val="00E47936"/>
    <w:rsid w:val="00E50E74"/>
    <w:rsid w:val="00E52E6F"/>
    <w:rsid w:val="00E553E4"/>
    <w:rsid w:val="00E57DC0"/>
    <w:rsid w:val="00E60D50"/>
    <w:rsid w:val="00E645F3"/>
    <w:rsid w:val="00E65319"/>
    <w:rsid w:val="00E654E3"/>
    <w:rsid w:val="00E7107F"/>
    <w:rsid w:val="00E7441E"/>
    <w:rsid w:val="00E818A5"/>
    <w:rsid w:val="00E81D74"/>
    <w:rsid w:val="00E91836"/>
    <w:rsid w:val="00E92181"/>
    <w:rsid w:val="00E93D14"/>
    <w:rsid w:val="00E93F00"/>
    <w:rsid w:val="00E95261"/>
    <w:rsid w:val="00EA3288"/>
    <w:rsid w:val="00EA3EE7"/>
    <w:rsid w:val="00EA4FE5"/>
    <w:rsid w:val="00EA5094"/>
    <w:rsid w:val="00ED5508"/>
    <w:rsid w:val="00ED57DE"/>
    <w:rsid w:val="00ED6871"/>
    <w:rsid w:val="00EE14B3"/>
    <w:rsid w:val="00EE380D"/>
    <w:rsid w:val="00EE444D"/>
    <w:rsid w:val="00EE6932"/>
    <w:rsid w:val="00EF1CE9"/>
    <w:rsid w:val="00F01E4E"/>
    <w:rsid w:val="00F0343C"/>
    <w:rsid w:val="00F1351F"/>
    <w:rsid w:val="00F16680"/>
    <w:rsid w:val="00F17680"/>
    <w:rsid w:val="00F20C86"/>
    <w:rsid w:val="00F23144"/>
    <w:rsid w:val="00F26A09"/>
    <w:rsid w:val="00F41A36"/>
    <w:rsid w:val="00F43774"/>
    <w:rsid w:val="00F54060"/>
    <w:rsid w:val="00F56AF1"/>
    <w:rsid w:val="00F659AD"/>
    <w:rsid w:val="00F65A36"/>
    <w:rsid w:val="00F74455"/>
    <w:rsid w:val="00F814E5"/>
    <w:rsid w:val="00F81CA1"/>
    <w:rsid w:val="00F82455"/>
    <w:rsid w:val="00F8247C"/>
    <w:rsid w:val="00F84EF3"/>
    <w:rsid w:val="00F85C46"/>
    <w:rsid w:val="00F94A87"/>
    <w:rsid w:val="00F95986"/>
    <w:rsid w:val="00F96B4C"/>
    <w:rsid w:val="00F9784B"/>
    <w:rsid w:val="00FB0199"/>
    <w:rsid w:val="00FB1D1B"/>
    <w:rsid w:val="00FB3F58"/>
    <w:rsid w:val="00FC3A95"/>
    <w:rsid w:val="00FD74D0"/>
    <w:rsid w:val="00FE10A7"/>
    <w:rsid w:val="00FE2B3F"/>
    <w:rsid w:val="00FE7B95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4DC32"/>
  <w15:docId w15:val="{82A82359-9835-4AED-9D8C-A979030E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660EB4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us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zp@us.edu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mailto:iod@us.edu.pl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dzp@us.edu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pn/us" TargetMode="External"/><Relationship Id="rId35" Type="http://schemas.openxmlformats.org/officeDocument/2006/relationships/hyperlink" Target="mailto:administrator.danych@us.edu.pl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www.dzp.us.edu.pl" TargetMode="External"/><Relationship Id="rId17" Type="http://schemas.openxmlformats.org/officeDocument/2006/relationships/hyperlink" Target="https://platformazakupowa.pl/pn/us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5" ma:contentTypeDescription="Create a new document." ma:contentTypeScope="" ma:versionID="b95d77465c1dc5969037394779989e62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bbec52abc8fdb67e9e3800be210cb65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78742-FB79-4792-AE9C-69A8D299D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B54A2-80C2-4E7D-812C-3D8F54228663}">
  <ds:schemaRefs>
    <ds:schemaRef ds:uri="http://schemas.microsoft.com/office/2006/metadata/properties"/>
    <ds:schemaRef ds:uri="http://schemas.microsoft.com/office/infopath/2007/PartnerControls"/>
    <ds:schemaRef ds:uri="45a4fce0-ad7c-4e92-9cc1-67ed3b11a31f"/>
  </ds:schemaRefs>
</ds:datastoreItem>
</file>

<file path=customXml/itemProps3.xml><?xml version="1.0" encoding="utf-8"?>
<ds:datastoreItem xmlns:ds="http://schemas.openxmlformats.org/officeDocument/2006/customXml" ds:itemID="{45B99281-B0C4-47B4-A0B8-43A8750E0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683694-3E3B-4D81-8C7C-F6F42077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7020</TotalTime>
  <Pages>27</Pages>
  <Words>9115</Words>
  <Characters>54696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Damian Ludwikowski</cp:lastModifiedBy>
  <cp:revision>18</cp:revision>
  <cp:lastPrinted>2021-02-22T07:55:00Z</cp:lastPrinted>
  <dcterms:created xsi:type="dcterms:W3CDTF">2020-01-24T10:28:00Z</dcterms:created>
  <dcterms:modified xsi:type="dcterms:W3CDTF">2023-11-17T14:06:00Z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