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D4982F4" w14:textId="52024713" w:rsidR="001A7546" w:rsidRPr="001A7546" w:rsidRDefault="001A7546" w:rsidP="001A7546">
      <w:pPr>
        <w:suppressAutoHyphens/>
        <w:autoSpaceDN w:val="0"/>
        <w:spacing w:line="319" w:lineRule="auto"/>
        <w:jc w:val="center"/>
        <w:textAlignment w:val="baseline"/>
        <w:rPr>
          <w:rFonts w:asciiTheme="majorHAnsi" w:eastAsia="Calibri" w:hAnsiTheme="majorHAnsi" w:cstheme="majorHAnsi"/>
          <w:b/>
          <w:bCs/>
          <w:kern w:val="3"/>
        </w:rPr>
      </w:pPr>
      <w:r w:rsidRPr="001A7546">
        <w:rPr>
          <w:rFonts w:asciiTheme="majorHAnsi" w:eastAsia="Times New Roman" w:hAnsiTheme="majorHAnsi" w:cstheme="majorHAnsi"/>
          <w:b/>
        </w:rPr>
        <w:t>„P</w:t>
      </w:r>
      <w:r w:rsidRPr="001A7546">
        <w:rPr>
          <w:rFonts w:asciiTheme="majorHAnsi" w:eastAsia="Calibri" w:hAnsiTheme="majorHAnsi" w:cstheme="majorHAnsi"/>
          <w:b/>
          <w:bCs/>
          <w:kern w:val="3"/>
        </w:rPr>
        <w:t>rzebudowa ul. Słonecznej w Palędziu wraz z przebudową przepustu drogowego i budową kanalizacji deszczowej oraz budowa oświetlenia drogowego w ul. Słonecznej w Palędziu”.</w:t>
      </w:r>
    </w:p>
    <w:p w14:paraId="0000000F" w14:textId="028B6A2C" w:rsidR="001C5D72" w:rsidRPr="001A7546" w:rsidRDefault="001C5D72" w:rsidP="001A7546">
      <w:pPr>
        <w:spacing w:line="319" w:lineRule="auto"/>
        <w:jc w:val="center"/>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52AB2F18"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1A7546">
        <w:rPr>
          <w:rFonts w:asciiTheme="majorHAnsi" w:hAnsiTheme="majorHAnsi" w:cstheme="majorHAnsi"/>
          <w:b/>
          <w:bCs/>
        </w:rPr>
        <w:t>2</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3AB9B984"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1A7546">
        <w:rPr>
          <w:rFonts w:asciiTheme="majorHAnsi" w:eastAsia="Times New Roman" w:hAnsiTheme="majorHAnsi" w:cstheme="majorHAnsi"/>
          <w:b/>
          <w:bCs/>
        </w:rPr>
        <w:t>8</w:t>
      </w:r>
      <w:r w:rsidRPr="00A258D6">
        <w:rPr>
          <w:rFonts w:asciiTheme="majorHAnsi" w:eastAsia="Times New Roman" w:hAnsiTheme="majorHAnsi" w:cstheme="majorHAnsi"/>
          <w:b/>
          <w:bCs/>
        </w:rPr>
        <w:t>.</w:t>
      </w:r>
      <w:r w:rsidR="0011041E">
        <w:rPr>
          <w:rFonts w:asciiTheme="majorHAnsi" w:eastAsia="Times New Roman" w:hAnsiTheme="majorHAnsi" w:cstheme="majorHAnsi"/>
          <w:b/>
          <w:bCs/>
        </w:rPr>
        <w:t>1</w:t>
      </w:r>
      <w:r w:rsidR="00727307">
        <w:rPr>
          <w:rFonts w:asciiTheme="majorHAnsi" w:eastAsia="Times New Roman" w:hAnsiTheme="majorHAnsi" w:cstheme="majorHAnsi"/>
          <w:b/>
          <w:bCs/>
        </w:rPr>
        <w:t>1</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5D2B3EF3"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62936CA" w:rsidR="003A3FBD" w:rsidRPr="00A258D6" w:rsidRDefault="00F24EB6">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535E42A5" w:rsidR="003A3FBD" w:rsidRPr="00A258D6" w:rsidRDefault="00F24EB6">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58951E57" w:rsidR="003A3FBD" w:rsidRPr="00A258D6" w:rsidRDefault="00F24EB6"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52F8DA7F" w:rsidR="003A3FBD" w:rsidRPr="00A258D6" w:rsidRDefault="00F24EB6">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37B59625" w:rsidR="003A3FBD" w:rsidRPr="00A258D6" w:rsidRDefault="00F24EB6">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62B35739" w:rsidR="003A3FBD" w:rsidRPr="00A258D6" w:rsidRDefault="00F24EB6">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7178451C" w:rsidR="003A3FBD" w:rsidRPr="00A258D6" w:rsidRDefault="00F24EB6">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59BB5BEA" w:rsidR="003A3FBD" w:rsidRPr="00A258D6" w:rsidRDefault="00F24EB6">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47A87CD1" w:rsidR="003A3FBD" w:rsidRPr="00A258D6" w:rsidRDefault="00F24EB6">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34A0BE0A" w:rsidR="003A3FBD" w:rsidRPr="00A258D6" w:rsidRDefault="00F24EB6">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4E1DF820" w:rsidR="003A3FBD" w:rsidRPr="00A258D6" w:rsidRDefault="00F24EB6">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0B8E7C73" w:rsidR="003A3FBD" w:rsidRPr="00A258D6" w:rsidRDefault="00F24EB6">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31376321" w:rsidR="003A3FBD" w:rsidRPr="00A258D6" w:rsidRDefault="00F24EB6">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18</w:t>
            </w:r>
            <w:r w:rsidR="003A3FBD" w:rsidRPr="00A258D6">
              <w:rPr>
                <w:rFonts w:asciiTheme="majorHAnsi" w:hAnsiTheme="majorHAnsi" w:cstheme="majorHAnsi"/>
                <w:noProof/>
                <w:webHidden/>
              </w:rPr>
              <w:fldChar w:fldCharType="end"/>
            </w:r>
          </w:hyperlink>
        </w:p>
        <w:p w14:paraId="354C7D0A" w14:textId="7711B673" w:rsidR="003A3FBD" w:rsidRPr="00A258D6" w:rsidRDefault="00F24EB6">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48812E9C" w:rsidR="003A3FBD" w:rsidRPr="00A258D6" w:rsidRDefault="00F24EB6">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741AFC59" w:rsidR="003A3FBD" w:rsidRPr="00A258D6" w:rsidRDefault="00F24EB6">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74B57EE5" w:rsidR="003A3FBD" w:rsidRPr="00A258D6" w:rsidRDefault="00F24EB6">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755B4219" w14:textId="21AD887A" w:rsidR="003A3FBD" w:rsidRPr="00A258D6" w:rsidRDefault="00F24EB6">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15D4D518" w:rsidR="003A3FBD" w:rsidRPr="00A258D6" w:rsidRDefault="00F24EB6">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0D255782" w:rsidR="003A3FBD" w:rsidRPr="00A258D6" w:rsidRDefault="00F24EB6">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0CA2A8C0" w:rsidR="003A3FBD" w:rsidRPr="00A258D6" w:rsidRDefault="00F24EB6">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7CC8C97F" w:rsidR="003A3FBD" w:rsidRPr="00A258D6" w:rsidRDefault="00F24EB6">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6128F4AF" w:rsidR="003A3FBD" w:rsidRPr="00A258D6" w:rsidRDefault="00F24EB6">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56918D7F" w:rsidR="003A3FBD" w:rsidRPr="00A258D6" w:rsidRDefault="00F24EB6">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606806">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F24EB6"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4"/>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39496C">
        <w:rPr>
          <w:rFonts w:asciiTheme="majorHAnsi" w:hAnsiTheme="majorHAnsi" w:cstheme="majorHAnsi"/>
          <w:b/>
          <w:bCs/>
          <w:sz w:val="24"/>
          <w:szCs w:val="24"/>
        </w:rPr>
        <w:t>II. Ochrona danych osobowych</w:t>
      </w:r>
      <w:bookmarkEnd w:id="5"/>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7" w:name="_Toc65495846"/>
      <w:bookmarkStart w:id="8" w:name="_Hlk66787009"/>
      <w:r w:rsidRPr="0039496C">
        <w:rPr>
          <w:rFonts w:asciiTheme="majorHAnsi" w:hAnsiTheme="majorHAnsi" w:cstheme="majorHAnsi"/>
          <w:b/>
          <w:bCs/>
          <w:sz w:val="24"/>
          <w:szCs w:val="24"/>
        </w:rPr>
        <w:lastRenderedPageBreak/>
        <w:t>IV. Opis przedmiotu zamówienia</w:t>
      </w:r>
      <w:bookmarkEnd w:id="7"/>
    </w:p>
    <w:p w14:paraId="74F07AF7" w14:textId="53CDA1FB" w:rsidR="001A7546" w:rsidRDefault="00572DD9" w:rsidP="001A7546">
      <w:pPr>
        <w:suppressAutoHyphens/>
        <w:autoSpaceDN w:val="0"/>
        <w:spacing w:line="319" w:lineRule="auto"/>
        <w:jc w:val="both"/>
        <w:textAlignment w:val="baseline"/>
        <w:rPr>
          <w:rFonts w:asciiTheme="majorHAnsi" w:eastAsia="Calibri" w:hAnsiTheme="majorHAnsi" w:cstheme="majorHAnsi"/>
          <w:b/>
          <w:bCs/>
        </w:rPr>
      </w:pPr>
      <w:r w:rsidRPr="001A7546">
        <w:rPr>
          <w:rFonts w:asciiTheme="majorHAnsi" w:hAnsiTheme="majorHAnsi" w:cstheme="majorHAnsi"/>
          <w:b/>
          <w:bCs/>
        </w:rPr>
        <w:t>1.</w:t>
      </w:r>
      <w:r w:rsidRPr="001A7546">
        <w:rPr>
          <w:rFonts w:asciiTheme="majorHAnsi" w:hAnsiTheme="majorHAnsi" w:cstheme="majorHAnsi"/>
        </w:rPr>
        <w:t xml:space="preserve"> </w:t>
      </w:r>
      <w:r w:rsidR="00091CFF" w:rsidRPr="001A7546">
        <w:rPr>
          <w:rFonts w:asciiTheme="majorHAnsi" w:hAnsiTheme="majorHAnsi" w:cstheme="majorHAnsi"/>
        </w:rPr>
        <w:t>Przedmiotem zamówienia jest</w:t>
      </w:r>
      <w:bookmarkStart w:id="9" w:name="_Hlk66431482"/>
      <w:r w:rsidR="001A7546" w:rsidRPr="001A7546">
        <w:rPr>
          <w:rFonts w:asciiTheme="majorHAnsi" w:hAnsiTheme="majorHAnsi" w:cstheme="majorHAnsi"/>
        </w:rPr>
        <w:t xml:space="preserve"> </w:t>
      </w:r>
      <w:r w:rsidR="001A7546" w:rsidRPr="001A7546">
        <w:rPr>
          <w:rFonts w:asciiTheme="majorHAnsi" w:eastAsia="Calibri" w:hAnsiTheme="majorHAnsi" w:cstheme="majorHAnsi"/>
          <w:b/>
          <w:bCs/>
        </w:rPr>
        <w:t xml:space="preserve">przebudowa ul. Słonecznej w Palędziu wraz z przebudową przepustu drogowego i budową kanalizacji deszczowej, </w:t>
      </w:r>
      <w:r w:rsidR="001A7546" w:rsidRPr="001A7546">
        <w:rPr>
          <w:rFonts w:asciiTheme="majorHAnsi" w:hAnsiTheme="majorHAnsi" w:cstheme="majorHAnsi"/>
          <w:b/>
          <w:bCs/>
        </w:rPr>
        <w:t>oraz</w:t>
      </w:r>
      <w:r w:rsidR="001A7546" w:rsidRPr="001A7546">
        <w:rPr>
          <w:rFonts w:asciiTheme="majorHAnsi" w:hAnsiTheme="majorHAnsi" w:cstheme="majorHAnsi"/>
        </w:rPr>
        <w:t xml:space="preserve"> </w:t>
      </w:r>
      <w:r w:rsidR="001A7546" w:rsidRPr="001A7546">
        <w:rPr>
          <w:rFonts w:asciiTheme="majorHAnsi" w:eastAsia="Calibri" w:hAnsiTheme="majorHAnsi" w:cstheme="majorHAnsi"/>
          <w:b/>
          <w:bCs/>
        </w:rPr>
        <w:t xml:space="preserve">budowa oświetlenia drogowego w </w:t>
      </w:r>
      <w:r w:rsidR="00845968">
        <w:rPr>
          <w:rFonts w:asciiTheme="majorHAnsi" w:eastAsia="Calibri" w:hAnsiTheme="majorHAnsi" w:cstheme="majorHAnsi"/>
          <w:b/>
          <w:bCs/>
        </w:rPr>
        <w:t xml:space="preserve">                       </w:t>
      </w:r>
      <w:r w:rsidR="001A7546" w:rsidRPr="001A7546">
        <w:rPr>
          <w:rFonts w:asciiTheme="majorHAnsi" w:eastAsia="Calibri" w:hAnsiTheme="majorHAnsi" w:cstheme="majorHAnsi"/>
          <w:b/>
          <w:bCs/>
        </w:rPr>
        <w:t>ul. Słonecznej w Palędziu</w:t>
      </w:r>
      <w:bookmarkEnd w:id="9"/>
      <w:r w:rsidR="001A7546" w:rsidRPr="001A7546">
        <w:rPr>
          <w:rFonts w:asciiTheme="majorHAnsi" w:eastAsia="Calibri" w:hAnsiTheme="majorHAnsi" w:cstheme="majorHAnsi"/>
          <w:b/>
          <w:bCs/>
        </w:rPr>
        <w:t>.</w:t>
      </w:r>
    </w:p>
    <w:p w14:paraId="63570684" w14:textId="24196079" w:rsidR="001A7546" w:rsidRDefault="001A7546" w:rsidP="001A7546">
      <w:pPr>
        <w:suppressAutoHyphens/>
        <w:autoSpaceDN w:val="0"/>
        <w:spacing w:line="319" w:lineRule="auto"/>
        <w:jc w:val="both"/>
        <w:textAlignment w:val="baseline"/>
        <w:rPr>
          <w:rFonts w:asciiTheme="majorHAnsi" w:eastAsia="Calibri" w:hAnsiTheme="majorHAnsi" w:cstheme="majorHAnsi"/>
          <w:b/>
          <w:bCs/>
        </w:rPr>
      </w:pPr>
      <w:r>
        <w:rPr>
          <w:rFonts w:asciiTheme="majorHAnsi" w:eastAsia="Calibri" w:hAnsiTheme="majorHAnsi" w:cstheme="majorHAnsi"/>
          <w:b/>
          <w:bCs/>
        </w:rPr>
        <w:t>Krótki opis przedmiotu zamówieniu:</w:t>
      </w:r>
    </w:p>
    <w:p w14:paraId="23FAF2A7" w14:textId="6AFD293A" w:rsidR="001A7546" w:rsidRDefault="00845968"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Pr>
          <w:rFonts w:asciiTheme="majorHAnsi" w:hAnsiTheme="majorHAnsi" w:cstheme="majorHAnsi"/>
        </w:rPr>
        <w:t>b</w:t>
      </w:r>
      <w:r w:rsidR="001A7546">
        <w:rPr>
          <w:rFonts w:asciiTheme="majorHAnsi" w:hAnsiTheme="majorHAnsi" w:cstheme="majorHAnsi"/>
        </w:rPr>
        <w:t>udowa pieszo</w:t>
      </w:r>
      <w:r>
        <w:rPr>
          <w:rFonts w:asciiTheme="majorHAnsi" w:hAnsiTheme="majorHAnsi" w:cstheme="majorHAnsi"/>
        </w:rPr>
        <w:t>-</w:t>
      </w:r>
      <w:r w:rsidR="001A7546">
        <w:rPr>
          <w:rFonts w:asciiTheme="majorHAnsi" w:hAnsiTheme="majorHAnsi" w:cstheme="majorHAnsi"/>
        </w:rPr>
        <w:t>jezdni z kostki betonowej</w:t>
      </w:r>
      <w:r w:rsidR="005B5213">
        <w:rPr>
          <w:rFonts w:asciiTheme="majorHAnsi" w:hAnsiTheme="majorHAnsi" w:cstheme="majorHAnsi"/>
        </w:rPr>
        <w:t xml:space="preserve"> szer. 7,74 m i długość 815,59 m,</w:t>
      </w:r>
    </w:p>
    <w:p w14:paraId="0D238F62" w14:textId="4489F437" w:rsidR="005B5213" w:rsidRDefault="005B5213"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Pr>
          <w:rFonts w:asciiTheme="majorHAnsi" w:hAnsiTheme="majorHAnsi" w:cstheme="majorHAnsi"/>
        </w:rPr>
        <w:t>budowa kanału deszczowego z rur PP-</w:t>
      </w:r>
      <w:r w:rsidR="00352F09">
        <w:rPr>
          <w:rFonts w:asciiTheme="majorHAnsi" w:hAnsiTheme="majorHAnsi" w:cstheme="majorHAnsi"/>
        </w:rPr>
        <w:t xml:space="preserve">B </w:t>
      </w:r>
      <w:r>
        <w:rPr>
          <w:rFonts w:asciiTheme="majorHAnsi" w:hAnsiTheme="majorHAnsi" w:cstheme="majorHAnsi"/>
        </w:rPr>
        <w:t>SN8</w:t>
      </w:r>
      <w:r w:rsidR="004825C2">
        <w:rPr>
          <w:rFonts w:asciiTheme="majorHAnsi" w:hAnsiTheme="majorHAnsi" w:cstheme="majorHAnsi"/>
        </w:rPr>
        <w:t xml:space="preserve"> </w:t>
      </w:r>
      <w:r w:rsidR="00352F09">
        <w:rPr>
          <w:rFonts w:asciiTheme="majorHAnsi" w:hAnsiTheme="majorHAnsi" w:cstheme="majorHAnsi"/>
        </w:rPr>
        <w:t>o średnicy fi 315, 400 i 500, długość 775,90 m,</w:t>
      </w:r>
    </w:p>
    <w:p w14:paraId="0CDDC3D5" w14:textId="05F5F61A" w:rsidR="00352F09" w:rsidRDefault="00352F09"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Pr>
          <w:rFonts w:asciiTheme="majorHAnsi" w:hAnsiTheme="majorHAnsi" w:cstheme="majorHAnsi"/>
        </w:rPr>
        <w:t>przebudowa przepustu drogowego polegająca na rozbiórce istniejącego i budowie nowego żelbetowego o długości 8,38 m,</w:t>
      </w:r>
    </w:p>
    <w:p w14:paraId="40D119A4" w14:textId="7B6AC82E" w:rsidR="001A7546" w:rsidRPr="00352F09" w:rsidRDefault="00352F09" w:rsidP="001A7546">
      <w:pPr>
        <w:pStyle w:val="Akapitzlist"/>
        <w:numPr>
          <w:ilvl w:val="0"/>
          <w:numId w:val="42"/>
        </w:numPr>
        <w:suppressAutoHyphens/>
        <w:autoSpaceDN w:val="0"/>
        <w:spacing w:line="319" w:lineRule="auto"/>
        <w:jc w:val="both"/>
        <w:textAlignment w:val="baseline"/>
        <w:rPr>
          <w:rFonts w:asciiTheme="majorHAnsi" w:hAnsiTheme="majorHAnsi" w:cstheme="majorHAnsi"/>
        </w:rPr>
      </w:pPr>
      <w:r>
        <w:rPr>
          <w:rFonts w:asciiTheme="majorHAnsi" w:hAnsiTheme="majorHAnsi" w:cstheme="majorHAnsi"/>
        </w:rPr>
        <w:t>wymiana eksploatacyjna słupów oświetlenia drogowego – demontaż i montaż słupów wraz z wysięgnikiem i oprawą sz</w:t>
      </w:r>
      <w:r w:rsidR="004825C2">
        <w:rPr>
          <w:rFonts w:asciiTheme="majorHAnsi" w:hAnsiTheme="majorHAnsi" w:cstheme="majorHAnsi"/>
        </w:rPr>
        <w:t>t</w:t>
      </w:r>
      <w:r>
        <w:rPr>
          <w:rFonts w:asciiTheme="majorHAnsi" w:hAnsiTheme="majorHAnsi" w:cstheme="majorHAnsi"/>
        </w:rPr>
        <w:t>. 10.</w:t>
      </w:r>
    </w:p>
    <w:p w14:paraId="48AA50FD" w14:textId="77777777" w:rsidR="001A7546" w:rsidRPr="00845968" w:rsidRDefault="001A7546" w:rsidP="001A7546">
      <w:pPr>
        <w:spacing w:line="319" w:lineRule="auto"/>
        <w:jc w:val="both"/>
        <w:rPr>
          <w:rFonts w:asciiTheme="majorHAnsi" w:eastAsia="Times New Roman" w:hAnsiTheme="majorHAnsi" w:cstheme="majorHAnsi"/>
          <w:lang w:eastAsia="zh-CN"/>
        </w:rPr>
      </w:pPr>
      <w:r w:rsidRPr="00845968">
        <w:rPr>
          <w:rFonts w:asciiTheme="majorHAnsi" w:eastAsia="Times New Roman" w:hAnsiTheme="majorHAnsi" w:cstheme="majorHAnsi"/>
          <w:lang w:eastAsia="zh-CN"/>
        </w:rPr>
        <w:t>2. Niniejsza umowa jest realizowana w ramach zdania budżetowego:</w:t>
      </w:r>
    </w:p>
    <w:p w14:paraId="48F1CC1B" w14:textId="77777777" w:rsidR="001A7546" w:rsidRPr="00845968" w:rsidRDefault="001A7546" w:rsidP="001A7546">
      <w:pPr>
        <w:spacing w:line="319" w:lineRule="auto"/>
        <w:jc w:val="both"/>
        <w:rPr>
          <w:rFonts w:asciiTheme="majorHAnsi" w:eastAsia="Times New Roman" w:hAnsiTheme="majorHAnsi" w:cstheme="majorHAnsi"/>
        </w:rPr>
      </w:pPr>
      <w:r w:rsidRPr="00845968">
        <w:rPr>
          <w:rFonts w:asciiTheme="majorHAnsi" w:eastAsia="Times New Roman" w:hAnsiTheme="majorHAnsi" w:cstheme="majorHAnsi"/>
          <w:lang w:eastAsia="zh-CN"/>
        </w:rPr>
        <w:t xml:space="preserve"> </w:t>
      </w:r>
      <w:r w:rsidRPr="00845968">
        <w:rPr>
          <w:rFonts w:asciiTheme="majorHAnsi" w:eastAsia="Calibri" w:hAnsiTheme="majorHAnsi" w:cstheme="majorHAnsi"/>
        </w:rPr>
        <w:t xml:space="preserve">- </w:t>
      </w:r>
      <w:r w:rsidRPr="00845968">
        <w:rPr>
          <w:rFonts w:asciiTheme="majorHAnsi" w:eastAsia="Calibri" w:hAnsiTheme="majorHAnsi" w:cstheme="majorHAnsi"/>
          <w:b/>
          <w:bCs/>
        </w:rPr>
        <w:t>pn. „</w:t>
      </w:r>
      <w:r w:rsidRPr="00845968">
        <w:rPr>
          <w:rFonts w:asciiTheme="majorHAnsi" w:eastAsia="Times New Roman" w:hAnsiTheme="majorHAnsi" w:cstheme="majorHAnsi"/>
          <w:b/>
          <w:bCs/>
        </w:rPr>
        <w:t>Palędzie – przebudowa ul. Słonecznej wraz z przebudową przepustu drogowego                               i budową kanalizacji deszczowej”</w:t>
      </w:r>
      <w:r w:rsidRPr="00845968">
        <w:rPr>
          <w:rFonts w:asciiTheme="majorHAnsi" w:eastAsia="Times New Roman" w:hAnsiTheme="majorHAnsi" w:cstheme="majorHAnsi"/>
        </w:rPr>
        <w:t>,</w:t>
      </w:r>
    </w:p>
    <w:p w14:paraId="7F300B9C" w14:textId="77777777" w:rsidR="001A7546" w:rsidRPr="00845968" w:rsidRDefault="001A7546" w:rsidP="001A7546">
      <w:pPr>
        <w:spacing w:line="319" w:lineRule="auto"/>
        <w:jc w:val="both"/>
        <w:rPr>
          <w:rFonts w:asciiTheme="majorHAnsi" w:eastAsia="Times New Roman" w:hAnsiTheme="majorHAnsi" w:cstheme="majorHAnsi"/>
          <w:b/>
          <w:bCs/>
        </w:rPr>
      </w:pPr>
      <w:r w:rsidRPr="00845968">
        <w:rPr>
          <w:rFonts w:asciiTheme="majorHAnsi" w:eastAsia="Times New Roman" w:hAnsiTheme="majorHAnsi" w:cstheme="majorHAnsi"/>
        </w:rPr>
        <w:t xml:space="preserve">- </w:t>
      </w:r>
      <w:r w:rsidRPr="00845968">
        <w:rPr>
          <w:rFonts w:asciiTheme="majorHAnsi" w:eastAsia="Times New Roman" w:hAnsiTheme="majorHAnsi" w:cstheme="majorHAnsi"/>
          <w:b/>
          <w:bCs/>
        </w:rPr>
        <w:t>pn. „Palędzie – budowa oświetlenia drogowego w ul. Słonecznej”.</w:t>
      </w:r>
    </w:p>
    <w:p w14:paraId="5086BE77" w14:textId="713A5DC6" w:rsidR="00572DD9" w:rsidRPr="00845968" w:rsidRDefault="00572DD9" w:rsidP="001A7546">
      <w:pPr>
        <w:autoSpaceDE w:val="0"/>
        <w:autoSpaceDN w:val="0"/>
        <w:spacing w:line="319" w:lineRule="auto"/>
        <w:jc w:val="both"/>
        <w:rPr>
          <w:rFonts w:asciiTheme="majorHAnsi" w:eastAsia="Times New Roman" w:hAnsiTheme="majorHAnsi" w:cstheme="majorHAnsi"/>
          <w:b/>
        </w:rPr>
      </w:pPr>
    </w:p>
    <w:p w14:paraId="55FCC132" w14:textId="5025ADBB" w:rsidR="00D012B4" w:rsidRPr="004D51CB" w:rsidRDefault="00572DD9" w:rsidP="00572DD9">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5C6119AA" w14:textId="25FC37EE" w:rsidR="00572DD9"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45100000-8 Przygotowanie terenu pod budowę,</w:t>
      </w:r>
    </w:p>
    <w:p w14:paraId="57FA666C" w14:textId="0D94F1BF"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45110000-1 Roboty w zakresie burzenia i rozbiórki obiektów budowlanych, roboty ziemne,</w:t>
      </w:r>
    </w:p>
    <w:p w14:paraId="31F3D636" w14:textId="585D4140"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45111000-8 Roboty w zakresie burzenia, roboty ziemne,</w:t>
      </w:r>
    </w:p>
    <w:p w14:paraId="0C9D14B0" w14:textId="7C404232"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45221000-2 Roboty budowlane w zakresie budowy mostów i tuneli, szybów i kolei podziemnej,</w:t>
      </w:r>
    </w:p>
    <w:p w14:paraId="48386542" w14:textId="4084C861"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45230000-8 Roboty budowlane w zakresie budowy rurociągów, linii komunikacyjnych i elektroenergetycznych, autostrad, dróg, lotnisk i kolei, wyrównanie terenu,</w:t>
      </w:r>
    </w:p>
    <w:p w14:paraId="5C95B881" w14:textId="77CB4EDA"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45231000-5 Roboty budowlane w zakresie budowy rurociągów, ciągów komunikacyjnych i linii energetycznych,</w:t>
      </w:r>
    </w:p>
    <w:p w14:paraId="4D9CE693" w14:textId="795C44F6"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45233252-0 Roboty w zakresie nawierzchni ulic,</w:t>
      </w:r>
    </w:p>
    <w:p w14:paraId="63CE905E" w14:textId="5CF76F72"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45233253-7 Roboty w zakresie nawierzchni dróg dla pieszych,</w:t>
      </w:r>
    </w:p>
    <w:p w14:paraId="1B7B4F98" w14:textId="0817EE38" w:rsidR="004825C2" w:rsidRDefault="004825C2" w:rsidP="00572DD9">
      <w:pPr>
        <w:spacing w:line="240" w:lineRule="auto"/>
        <w:jc w:val="both"/>
        <w:rPr>
          <w:rFonts w:asciiTheme="majorHAnsi" w:eastAsia="Lucida Sans Unicode" w:hAnsiTheme="majorHAnsi" w:cstheme="majorHAnsi"/>
          <w:kern w:val="1"/>
          <w:szCs w:val="24"/>
        </w:rPr>
      </w:pPr>
      <w:r>
        <w:rPr>
          <w:rFonts w:asciiTheme="majorHAnsi" w:eastAsia="Lucida Sans Unicode" w:hAnsiTheme="majorHAnsi" w:cstheme="majorHAnsi"/>
          <w:kern w:val="1"/>
          <w:szCs w:val="24"/>
        </w:rPr>
        <w:t>45316110-9 Instalowanie oświetlenia drogowego.</w:t>
      </w:r>
    </w:p>
    <w:p w14:paraId="7AD92773" w14:textId="77777777" w:rsidR="004825C2" w:rsidRPr="00572DD9" w:rsidRDefault="004825C2" w:rsidP="00572DD9">
      <w:pPr>
        <w:spacing w:line="240" w:lineRule="auto"/>
        <w:jc w:val="both"/>
        <w:rPr>
          <w:rFonts w:asciiTheme="majorHAnsi" w:eastAsia="Lucida Sans Unicode" w:hAnsiTheme="majorHAnsi" w:cstheme="majorHAnsi"/>
          <w:kern w:val="1"/>
          <w:szCs w:val="24"/>
        </w:rPr>
      </w:pPr>
    </w:p>
    <w:p w14:paraId="7F9720BD" w14:textId="77777777" w:rsidR="00572DD9" w:rsidRPr="00572DD9"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7F020B9B"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1A7546">
        <w:rPr>
          <w:rFonts w:asciiTheme="majorHAnsi" w:eastAsia="Times New Roman" w:hAnsiTheme="majorHAnsi"/>
          <w:b/>
          <w:szCs w:val="24"/>
        </w:rPr>
        <w:t>60</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1A7546">
        <w:rPr>
          <w:rFonts w:asciiTheme="majorHAnsi" w:eastAsia="Times New Roman" w:hAnsiTheme="majorHAnsi"/>
          <w:b/>
          <w:szCs w:val="24"/>
        </w:rPr>
        <w:t>60</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3ABC5832"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1A7546">
        <w:rPr>
          <w:rFonts w:asciiTheme="majorHAnsi" w:eastAsia="Times New Roman" w:hAnsiTheme="majorHAnsi"/>
          <w:b/>
          <w:bCs/>
          <w:szCs w:val="24"/>
        </w:rPr>
        <w:t>84</w:t>
      </w:r>
      <w:r w:rsidRPr="009B7036">
        <w:rPr>
          <w:rFonts w:asciiTheme="majorHAnsi" w:eastAsia="Times New Roman" w:hAnsiTheme="majorHAnsi"/>
          <w:b/>
          <w:bCs/>
          <w:szCs w:val="24"/>
        </w:rPr>
        <w:t xml:space="preserve"> miesi</w:t>
      </w:r>
      <w:r w:rsidR="001A7546">
        <w:rPr>
          <w:rFonts w:asciiTheme="majorHAnsi" w:eastAsia="Times New Roman" w:hAnsiTheme="majorHAnsi"/>
          <w:b/>
          <w:bCs/>
          <w:szCs w:val="24"/>
        </w:rPr>
        <w:t>ące.</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0D9F58B7" w:rsidR="0044546B"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bookmarkStart w:id="10" w:name="_Hlk66442564"/>
      <w:r w:rsidRPr="00572DD9">
        <w:rPr>
          <w:rFonts w:asciiTheme="majorHAnsi" w:hAnsiTheme="majorHAnsi" w:cstheme="majorHAnsi"/>
          <w:b/>
          <w:bCs/>
        </w:rPr>
        <w:t>5.</w:t>
      </w:r>
      <w:r>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8"/>
      <w:bookmarkEnd w:id="10"/>
    </w:p>
    <w:p w14:paraId="732E3FA0" w14:textId="315A934C" w:rsidR="00C9460E" w:rsidRPr="0044546B" w:rsidRDefault="00C9460E" w:rsidP="0044546B">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504BC2BA" w14:textId="0559285B" w:rsidR="00C9460E" w:rsidRPr="0044546B" w:rsidRDefault="00C9460E" w:rsidP="0044546B">
      <w:pPr>
        <w:spacing w:line="319" w:lineRule="auto"/>
        <w:jc w:val="both"/>
        <w:rPr>
          <w:rFonts w:asciiTheme="majorHAnsi" w:hAnsiTheme="majorHAnsi" w:cstheme="majorHAnsi"/>
        </w:rPr>
      </w:pPr>
      <w:r w:rsidRPr="0044546B">
        <w:rPr>
          <w:rFonts w:asciiTheme="majorHAnsi" w:hAnsiTheme="majorHAnsi" w:cstheme="majorHAnsi"/>
        </w:rPr>
        <w:lastRenderedPageBreak/>
        <w:t xml:space="preserve">Zdaniem Zamawiającego podział zakresu niniejszego postępowania na części,  nie jest uzasadniony, a przeciwnie powodowałby nadmierne trudności techniczne </w:t>
      </w:r>
      <w:r w:rsidR="00D576E9" w:rsidRPr="0044546B">
        <w:rPr>
          <w:rFonts w:asciiTheme="majorHAnsi" w:hAnsiTheme="majorHAnsi" w:cstheme="majorHAnsi"/>
        </w:rPr>
        <w:t xml:space="preserve">i organizacyjne </w:t>
      </w:r>
      <w:r w:rsidRPr="0044546B">
        <w:rPr>
          <w:rFonts w:asciiTheme="majorHAnsi" w:hAnsiTheme="majorHAnsi" w:cstheme="majorHAnsi"/>
        </w:rPr>
        <w:t>związane z realizacją zamówienia</w:t>
      </w:r>
      <w:r w:rsidR="00782C76" w:rsidRPr="0044546B">
        <w:rPr>
          <w:rFonts w:asciiTheme="majorHAnsi" w:hAnsiTheme="majorHAnsi" w:cstheme="majorHAnsi"/>
        </w:rPr>
        <w:t>.</w:t>
      </w:r>
    </w:p>
    <w:p w14:paraId="3AF4927A" w14:textId="01DD3D4F" w:rsidR="001D44A4" w:rsidRPr="0044546B" w:rsidRDefault="001D44A4" w:rsidP="00C9460E">
      <w:pPr>
        <w:spacing w:line="312" w:lineRule="auto"/>
        <w:jc w:val="both"/>
        <w:rPr>
          <w:rFonts w:asciiTheme="majorHAnsi" w:hAnsiTheme="majorHAnsi" w:cstheme="majorHAnsi"/>
        </w:rPr>
      </w:pPr>
      <w:r w:rsidRPr="0044546B">
        <w:rPr>
          <w:rFonts w:asciiTheme="majorHAnsi" w:hAnsiTheme="majorHAnsi" w:cstheme="majorHAnsi"/>
        </w:rPr>
        <w:t xml:space="preserve">Przedmiotowa robota budowlana ze względu na swój zakres oraz specyfikę musi być wykonana </w:t>
      </w:r>
      <w:r w:rsidR="0044546B">
        <w:rPr>
          <w:rFonts w:asciiTheme="majorHAnsi" w:hAnsiTheme="majorHAnsi" w:cstheme="majorHAnsi"/>
        </w:rPr>
        <w:t xml:space="preserve">                             </w:t>
      </w:r>
      <w:r w:rsidRPr="0044546B">
        <w:rPr>
          <w:rFonts w:asciiTheme="majorHAnsi" w:hAnsiTheme="majorHAnsi" w:cstheme="majorHAnsi"/>
        </w:rPr>
        <w:t>i dostarczana w całości jako kompletna</w:t>
      </w:r>
      <w:r w:rsidR="00572DD9">
        <w:rPr>
          <w:rFonts w:asciiTheme="majorHAnsi" w:hAnsiTheme="majorHAnsi" w:cstheme="majorHAnsi"/>
        </w:rPr>
        <w:t>, ponieważ jest to jedno zamierzenie budowlane</w:t>
      </w:r>
      <w:r w:rsidR="00D318FB">
        <w:rPr>
          <w:rFonts w:asciiTheme="majorHAnsi" w:hAnsiTheme="majorHAnsi" w:cstheme="majorHAnsi"/>
        </w:rPr>
        <w:t>, ściśle ze sobą powiązane</w:t>
      </w:r>
      <w:r w:rsidR="00EC1E9C">
        <w:rPr>
          <w:rFonts w:asciiTheme="majorHAnsi" w:hAnsiTheme="majorHAnsi" w:cstheme="majorHAnsi"/>
        </w:rPr>
        <w:t xml:space="preserve"> technicznie oraz wizualnie.</w:t>
      </w:r>
      <w:r w:rsidRPr="0044546B">
        <w:rPr>
          <w:rFonts w:asciiTheme="majorHAnsi" w:hAnsiTheme="majorHAnsi" w:cstheme="majorHAnsi"/>
        </w:rPr>
        <w:t xml:space="preserve"> W związku z powyższym brak jest podstaw podziału zamówienia na części, gdyż wymagałoby to skoordynowania większej ilości wykonawców </w:t>
      </w:r>
      <w:r w:rsidR="0044546B">
        <w:rPr>
          <w:rFonts w:asciiTheme="majorHAnsi" w:hAnsiTheme="majorHAnsi" w:cstheme="majorHAnsi"/>
        </w:rPr>
        <w:t xml:space="preserve"> </w:t>
      </w:r>
      <w:r w:rsidRPr="0044546B">
        <w:rPr>
          <w:rFonts w:asciiTheme="majorHAnsi" w:hAnsiTheme="majorHAnsi" w:cstheme="majorHAnsi"/>
        </w:rPr>
        <w:t>i podrożyłoby to koszty wykonania zamówienia</w:t>
      </w:r>
      <w:r w:rsidR="00EC1E9C">
        <w:rPr>
          <w:rFonts w:asciiTheme="majorHAnsi" w:hAnsiTheme="majorHAnsi" w:cstheme="majorHAnsi"/>
        </w:rPr>
        <w:t>.</w:t>
      </w:r>
    </w:p>
    <w:p w14:paraId="057A3F1A" w14:textId="0D5CC4BF" w:rsidR="00C9460E" w:rsidRPr="0044546B" w:rsidRDefault="00C9460E" w:rsidP="00C9460E">
      <w:pPr>
        <w:spacing w:line="312" w:lineRule="auto"/>
        <w:jc w:val="both"/>
        <w:rPr>
          <w:rFonts w:asciiTheme="majorHAnsi" w:hAnsiTheme="majorHAnsi" w:cstheme="majorHAnsi"/>
        </w:rPr>
      </w:pPr>
      <w:r w:rsidRPr="0044546B">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782C76" w:rsidRPr="0044546B">
        <w:rPr>
          <w:rFonts w:asciiTheme="majorHAnsi" w:hAnsiTheme="majorHAnsi" w:cstheme="majorHAnsi"/>
        </w:rPr>
        <w:t>ej</w:t>
      </w:r>
      <w:r w:rsidRPr="0044546B">
        <w:rPr>
          <w:rFonts w:asciiTheme="majorHAnsi" w:hAnsiTheme="majorHAnsi" w:cstheme="majorHAnsi"/>
        </w:rPr>
        <w:t xml:space="preserve"> i stanu faktycznego potwierdzonego wizją w terenie, mogłoby mieć miejsce.</w:t>
      </w:r>
    </w:p>
    <w:p w14:paraId="282DE37F" w14:textId="2A3A0FD1" w:rsidR="002D62DD" w:rsidRPr="00463891"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00000075" w14:textId="7B35A7B8"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9E49857" w14:textId="0ED8DF50" w:rsidR="00831210" w:rsidRPr="000D10E1"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w:t>
      </w:r>
      <w:r>
        <w:rPr>
          <w:rFonts w:asciiTheme="majorHAnsi" w:hAnsiTheme="majorHAnsi" w:cstheme="majorHAnsi"/>
        </w:rPr>
        <w:lastRenderedPageBreak/>
        <w:t>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14D6D4E2"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3" w:name="_Toc65495852"/>
      <w:r w:rsidRPr="00A258D6">
        <w:rPr>
          <w:rFonts w:asciiTheme="majorHAnsi" w:hAnsiTheme="majorHAnsi" w:cstheme="majorHAnsi"/>
          <w:b/>
          <w:bCs/>
          <w:sz w:val="24"/>
          <w:szCs w:val="24"/>
        </w:rPr>
        <w:t>VII. Termin wykonania zamówienia</w:t>
      </w:r>
      <w:bookmarkEnd w:id="13"/>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E6274F">
        <w:rPr>
          <w:rFonts w:asciiTheme="majorHAnsi" w:eastAsia="Times New Roman" w:hAnsiTheme="majorHAnsi" w:cstheme="majorHAnsi"/>
          <w:b/>
          <w:sz w:val="24"/>
          <w:szCs w:val="24"/>
        </w:rPr>
        <w:t>11</w:t>
      </w:r>
      <w:r w:rsidR="006B6890" w:rsidRPr="00A258D6">
        <w:rPr>
          <w:rFonts w:asciiTheme="majorHAnsi" w:eastAsia="Times New Roman" w:hAnsiTheme="majorHAnsi" w:cstheme="majorHAnsi"/>
          <w:b/>
          <w:sz w:val="24"/>
          <w:szCs w:val="24"/>
        </w:rPr>
        <w:t xml:space="preserve"> miesięcy od daty podpisania umowy</w:t>
      </w:r>
      <w:r w:rsidR="00FD5FF7">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A258D6">
        <w:rPr>
          <w:rFonts w:asciiTheme="majorHAnsi" w:hAnsiTheme="majorHAnsi" w:cstheme="majorHAnsi"/>
          <w:b/>
          <w:bCs/>
          <w:sz w:val="24"/>
          <w:szCs w:val="24"/>
        </w:rPr>
        <w:t>VIII. Warunki udziału w postępowaniu</w:t>
      </w:r>
      <w:bookmarkEnd w:id="14"/>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915697D" w14:textId="10B1AAC9" w:rsidR="00D51A9B" w:rsidRPr="00463891" w:rsidRDefault="00A258D6" w:rsidP="00463891">
      <w:pPr>
        <w:pStyle w:val="Akapitzlist"/>
        <w:numPr>
          <w:ilvl w:val="1"/>
          <w:numId w:val="18"/>
        </w:numPr>
        <w:spacing w:line="240" w:lineRule="auto"/>
        <w:jc w:val="both"/>
        <w:rPr>
          <w:rFonts w:asciiTheme="majorHAnsi" w:eastAsia="Times New Roman" w:hAnsiTheme="majorHAnsi" w:cstheme="majorHAnsi"/>
          <w:b/>
          <w:bCs/>
          <w:szCs w:val="24"/>
        </w:rPr>
      </w:pPr>
      <w:bookmarkStart w:id="15" w:name="_Hlk72163517"/>
      <w:bookmarkStart w:id="16" w:name="_Hlk5877927"/>
      <w:r w:rsidRPr="00463891">
        <w:rPr>
          <w:rFonts w:asciiTheme="majorHAnsi" w:eastAsia="Times New Roman" w:hAnsiTheme="majorHAnsi" w:cstheme="majorHAnsi"/>
          <w:bCs/>
        </w:rPr>
        <w:t xml:space="preserve">Wykonawca spełni warunek jeżeli wykaże, że w okresie </w:t>
      </w:r>
      <w:r w:rsidR="00463891" w:rsidRPr="00463891">
        <w:rPr>
          <w:rFonts w:asciiTheme="majorHAnsi" w:eastAsia="Times New Roman" w:hAnsiTheme="majorHAnsi" w:cstheme="majorHAnsi"/>
          <w:bCs/>
        </w:rPr>
        <w:t xml:space="preserve">ostatnich </w:t>
      </w:r>
      <w:r w:rsidRPr="00463891">
        <w:rPr>
          <w:rFonts w:asciiTheme="majorHAnsi" w:eastAsia="Times New Roman" w:hAnsiTheme="majorHAnsi" w:cstheme="majorHAnsi"/>
          <w:bCs/>
        </w:rPr>
        <w:t xml:space="preserve">5 lat przed upływem terminu składania ofert, a jeżeli okres prowadzenia działalności jest krótszy – w tym okresie, </w:t>
      </w:r>
      <w:r w:rsidRPr="00463891">
        <w:rPr>
          <w:rFonts w:asciiTheme="majorHAnsi" w:eastAsia="Times New Roman" w:hAnsiTheme="majorHAnsi" w:cstheme="majorHAnsi"/>
          <w:b/>
          <w:bCs/>
        </w:rPr>
        <w:t xml:space="preserve"> </w:t>
      </w:r>
      <w:r w:rsidR="00D51A9B" w:rsidRPr="00463891">
        <w:rPr>
          <w:rFonts w:asciiTheme="majorHAnsi" w:eastAsia="Times New Roman" w:hAnsiTheme="majorHAnsi" w:cstheme="majorHAnsi"/>
          <w:b/>
          <w:bCs/>
          <w:szCs w:val="24"/>
        </w:rPr>
        <w:t xml:space="preserve">należycie wykonał </w:t>
      </w:r>
      <w:bookmarkStart w:id="17" w:name="_Hlk26960414"/>
      <w:r w:rsidR="00D51A9B" w:rsidRPr="00463891">
        <w:rPr>
          <w:rFonts w:asciiTheme="majorHAnsi" w:eastAsia="Times New Roman" w:hAnsiTheme="majorHAnsi" w:cstheme="majorHAnsi"/>
          <w:b/>
          <w:bCs/>
          <w:szCs w:val="24"/>
        </w:rPr>
        <w:t xml:space="preserve">co najmniej jedną robotę budowlaną o wartości co najmniej </w:t>
      </w:r>
      <w:r w:rsidR="001A7546">
        <w:rPr>
          <w:rFonts w:asciiTheme="majorHAnsi" w:eastAsia="Times New Roman" w:hAnsiTheme="majorHAnsi" w:cstheme="majorHAnsi"/>
          <w:b/>
          <w:bCs/>
          <w:szCs w:val="24"/>
        </w:rPr>
        <w:t>2.0</w:t>
      </w:r>
      <w:r w:rsidR="006E5EFD" w:rsidRPr="00463891">
        <w:rPr>
          <w:rFonts w:asciiTheme="majorHAnsi" w:eastAsia="Times New Roman" w:hAnsiTheme="majorHAnsi" w:cstheme="majorHAnsi"/>
          <w:b/>
          <w:bCs/>
          <w:szCs w:val="24"/>
        </w:rPr>
        <w:t>00</w:t>
      </w:r>
      <w:r w:rsidR="00D51A9B" w:rsidRPr="00463891">
        <w:rPr>
          <w:rFonts w:asciiTheme="majorHAnsi" w:eastAsia="Times New Roman" w:hAnsiTheme="majorHAnsi" w:cstheme="majorHAnsi"/>
          <w:b/>
          <w:bCs/>
          <w:szCs w:val="24"/>
        </w:rPr>
        <w:t>.000,00 zł brutto, obejmującą co</w:t>
      </w:r>
      <w:r w:rsidR="0057137E" w:rsidRPr="00463891">
        <w:rPr>
          <w:rFonts w:asciiTheme="majorHAnsi" w:eastAsia="Times New Roman" w:hAnsiTheme="majorHAnsi" w:cstheme="majorHAnsi"/>
          <w:b/>
          <w:bCs/>
          <w:szCs w:val="24"/>
        </w:rPr>
        <w:t xml:space="preserve"> </w:t>
      </w:r>
      <w:r w:rsidR="00D51A9B" w:rsidRPr="00463891">
        <w:rPr>
          <w:rFonts w:asciiTheme="majorHAnsi" w:eastAsia="Times New Roman" w:hAnsiTheme="majorHAnsi" w:cstheme="majorHAnsi"/>
          <w:b/>
          <w:bCs/>
          <w:szCs w:val="24"/>
        </w:rPr>
        <w:t>najmniej</w:t>
      </w:r>
      <w:bookmarkEnd w:id="17"/>
      <w:r w:rsidR="006E5EFD" w:rsidRPr="00463891">
        <w:rPr>
          <w:rFonts w:asciiTheme="majorHAnsi" w:eastAsia="Times New Roman" w:hAnsiTheme="majorHAnsi" w:cstheme="majorHAnsi"/>
          <w:b/>
          <w:bCs/>
          <w:szCs w:val="24"/>
        </w:rPr>
        <w:t xml:space="preserve"> </w:t>
      </w:r>
      <w:r w:rsidR="00463891" w:rsidRPr="00463891">
        <w:rPr>
          <w:rFonts w:asciiTheme="majorHAnsi" w:eastAsia="Times New Roman" w:hAnsiTheme="majorHAnsi" w:cstheme="majorHAnsi"/>
          <w:b/>
          <w:bCs/>
          <w:szCs w:val="24"/>
        </w:rPr>
        <w:t xml:space="preserve">budowę lub przebudowę: drogi lub ciągu pieszego lub chodnika lub pieszo-jezdni o długości min. </w:t>
      </w:r>
      <w:r w:rsidR="00606806">
        <w:rPr>
          <w:rFonts w:asciiTheme="majorHAnsi" w:eastAsia="Times New Roman" w:hAnsiTheme="majorHAnsi" w:cstheme="majorHAnsi"/>
          <w:b/>
          <w:bCs/>
          <w:szCs w:val="24"/>
        </w:rPr>
        <w:t xml:space="preserve"> 700 </w:t>
      </w:r>
      <w:proofErr w:type="spellStart"/>
      <w:r w:rsidR="00463891" w:rsidRPr="00463891">
        <w:rPr>
          <w:rFonts w:asciiTheme="majorHAnsi" w:eastAsia="Times New Roman" w:hAnsiTheme="majorHAnsi" w:cstheme="majorHAnsi"/>
          <w:b/>
          <w:bCs/>
          <w:szCs w:val="24"/>
        </w:rPr>
        <w:t>mb</w:t>
      </w:r>
      <w:proofErr w:type="spellEnd"/>
      <w:r w:rsidR="00463891" w:rsidRPr="00463891">
        <w:rPr>
          <w:rFonts w:asciiTheme="majorHAnsi" w:eastAsia="Times New Roman" w:hAnsiTheme="majorHAnsi" w:cstheme="majorHAnsi"/>
          <w:b/>
          <w:bCs/>
          <w:szCs w:val="24"/>
        </w:rPr>
        <w:t xml:space="preserve"> o nawierzchni z kostki brukowej lub masy asfaltowej</w:t>
      </w:r>
      <w:r w:rsidR="00606806">
        <w:rPr>
          <w:rFonts w:asciiTheme="majorHAnsi" w:eastAsia="Times New Roman" w:hAnsiTheme="majorHAnsi" w:cstheme="majorHAnsi"/>
          <w:b/>
          <w:bCs/>
          <w:szCs w:val="24"/>
        </w:rPr>
        <w:t xml:space="preserve"> wraz z budową </w:t>
      </w:r>
      <w:r w:rsidR="00845968">
        <w:rPr>
          <w:rFonts w:asciiTheme="majorHAnsi" w:eastAsia="Times New Roman" w:hAnsiTheme="majorHAnsi" w:cstheme="majorHAnsi"/>
          <w:b/>
          <w:bCs/>
          <w:szCs w:val="24"/>
        </w:rPr>
        <w:t xml:space="preserve">lub przebudową </w:t>
      </w:r>
      <w:r w:rsidR="00606806">
        <w:rPr>
          <w:rFonts w:asciiTheme="majorHAnsi" w:eastAsia="Times New Roman" w:hAnsiTheme="majorHAnsi" w:cstheme="majorHAnsi"/>
          <w:b/>
          <w:bCs/>
          <w:szCs w:val="24"/>
        </w:rPr>
        <w:t xml:space="preserve">kanału deszczowego o długości min. 600 </w:t>
      </w:r>
      <w:proofErr w:type="spellStart"/>
      <w:r w:rsidR="00606806">
        <w:rPr>
          <w:rFonts w:asciiTheme="majorHAnsi" w:eastAsia="Times New Roman" w:hAnsiTheme="majorHAnsi" w:cstheme="majorHAnsi"/>
          <w:b/>
          <w:bCs/>
          <w:szCs w:val="24"/>
        </w:rPr>
        <w:t>mb</w:t>
      </w:r>
      <w:proofErr w:type="spellEnd"/>
      <w:r w:rsidR="00E6274F">
        <w:rPr>
          <w:rFonts w:asciiTheme="majorHAnsi" w:eastAsia="Times New Roman" w:hAnsiTheme="majorHAnsi" w:cstheme="majorHAnsi"/>
          <w:b/>
          <w:bCs/>
          <w:szCs w:val="24"/>
        </w:rPr>
        <w:t>.</w:t>
      </w:r>
    </w:p>
    <w:p w14:paraId="23218774" w14:textId="77777777" w:rsidR="0044546B" w:rsidRDefault="0044546B" w:rsidP="00D51A9B">
      <w:pPr>
        <w:spacing w:line="240" w:lineRule="auto"/>
        <w:ind w:left="567"/>
        <w:jc w:val="both"/>
        <w:rPr>
          <w:rFonts w:asciiTheme="majorHAnsi" w:eastAsia="Times New Roman" w:hAnsiTheme="majorHAnsi" w:cstheme="majorHAnsi"/>
          <w:szCs w:val="24"/>
        </w:rPr>
      </w:pPr>
    </w:p>
    <w:p w14:paraId="193386C4" w14:textId="2D3D48E0" w:rsidR="00D51A9B" w:rsidRDefault="00D51A9B" w:rsidP="00D51A9B">
      <w:pPr>
        <w:spacing w:line="240"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bookmarkEnd w:id="15"/>
    <w:p w14:paraId="63A0E8DA" w14:textId="2F11E6BC" w:rsidR="00EF4BB5" w:rsidRDefault="00EF4BB5" w:rsidP="00D51A9B">
      <w:pPr>
        <w:spacing w:line="240" w:lineRule="auto"/>
        <w:ind w:left="567"/>
        <w:jc w:val="both"/>
        <w:rPr>
          <w:rFonts w:asciiTheme="majorHAnsi" w:eastAsia="Times New Roman" w:hAnsiTheme="majorHAnsi" w:cstheme="majorHAnsi"/>
          <w:szCs w:val="24"/>
        </w:rPr>
      </w:pPr>
    </w:p>
    <w:p w14:paraId="563D0E70" w14:textId="008CC7C1" w:rsid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a)</w:t>
      </w:r>
      <w:r w:rsidRPr="00EF4BB5">
        <w:rPr>
          <w:rFonts w:asciiTheme="majorHAnsi" w:eastAsia="Times New Roman" w:hAnsiTheme="majorHAnsi" w:cstheme="majorHAnsi"/>
          <w:szCs w:val="24"/>
        </w:rPr>
        <w:t xml:space="preserve"> SWZ zostanie spełniony wyłącznie, </w:t>
      </w:r>
      <w:r w:rsidRPr="00EF4BB5">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33D7E100" w14:textId="7BDF8514" w:rsidR="00636197" w:rsidRDefault="00636197" w:rsidP="00EF4BB5">
      <w:pPr>
        <w:spacing w:line="240" w:lineRule="auto"/>
        <w:ind w:left="567"/>
        <w:jc w:val="both"/>
        <w:rPr>
          <w:rFonts w:asciiTheme="majorHAnsi" w:eastAsia="Times New Roman" w:hAnsiTheme="majorHAnsi" w:cstheme="majorHAnsi"/>
          <w:szCs w:val="24"/>
          <w:u w:val="single"/>
        </w:rPr>
      </w:pPr>
    </w:p>
    <w:p w14:paraId="343891DE" w14:textId="175F45A1" w:rsid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A258D6" w:rsidRDefault="00463891" w:rsidP="00A258D6">
      <w:pPr>
        <w:ind w:left="540"/>
        <w:jc w:val="both"/>
        <w:rPr>
          <w:rFonts w:asciiTheme="majorHAnsi" w:eastAsia="Times New Roman" w:hAnsiTheme="majorHAnsi" w:cstheme="majorHAnsi"/>
        </w:rPr>
      </w:pPr>
    </w:p>
    <w:bookmarkEnd w:id="16"/>
    <w:p w14:paraId="690A3846"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b/>
        </w:rPr>
        <w:t xml:space="preserve">b) </w:t>
      </w:r>
      <w:r w:rsidRPr="00463891">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481DD123" w14:textId="44D970E0" w:rsidR="00463891" w:rsidRDefault="00463891" w:rsidP="00463891">
      <w:pPr>
        <w:pStyle w:val="Akapitzlist"/>
        <w:spacing w:after="0" w:line="319" w:lineRule="auto"/>
        <w:ind w:left="454"/>
        <w:jc w:val="both"/>
        <w:rPr>
          <w:rFonts w:asciiTheme="majorHAnsi" w:eastAsia="Times New Roman" w:hAnsiTheme="majorHAnsi" w:cstheme="majorHAnsi"/>
          <w:b/>
          <w:szCs w:val="24"/>
        </w:rPr>
      </w:pPr>
      <w:r w:rsidRPr="00463891">
        <w:rPr>
          <w:rFonts w:asciiTheme="majorHAnsi" w:eastAsia="Times New Roman" w:hAnsiTheme="majorHAnsi" w:cstheme="majorHAnsi"/>
          <w:szCs w:val="24"/>
        </w:rPr>
        <w:t xml:space="preserve">- </w:t>
      </w:r>
      <w:r w:rsidRPr="00463891">
        <w:rPr>
          <w:rFonts w:asciiTheme="majorHAnsi" w:eastAsia="Times New Roman" w:hAnsiTheme="majorHAnsi" w:cstheme="majorHAnsi"/>
          <w:b/>
          <w:szCs w:val="24"/>
        </w:rPr>
        <w:t xml:space="preserve">kierownikiem budowy - </w:t>
      </w:r>
      <w:r w:rsidRPr="00463891">
        <w:rPr>
          <w:rFonts w:asciiTheme="majorHAnsi" w:eastAsia="Times New Roman" w:hAnsiTheme="majorHAnsi" w:cstheme="majorHAnsi"/>
          <w:b/>
          <w:bCs/>
          <w:szCs w:val="24"/>
        </w:rPr>
        <w:t>min. jedna osoba posiadająca</w:t>
      </w:r>
      <w:r w:rsidRPr="00463891">
        <w:rPr>
          <w:rFonts w:asciiTheme="majorHAnsi" w:eastAsia="Times New Roman" w:hAnsiTheme="majorHAnsi" w:cstheme="majorHAnsi"/>
          <w:b/>
          <w:szCs w:val="24"/>
        </w:rPr>
        <w:t xml:space="preserve"> wymagane uprawnienia budowlane w specjalności drogowej</w:t>
      </w:r>
      <w:r w:rsidR="00E6274F">
        <w:rPr>
          <w:rFonts w:asciiTheme="majorHAnsi" w:eastAsia="Times New Roman" w:hAnsiTheme="majorHAnsi" w:cstheme="majorHAnsi"/>
          <w:b/>
          <w:szCs w:val="24"/>
        </w:rPr>
        <w:t>,</w:t>
      </w:r>
    </w:p>
    <w:p w14:paraId="0D926601" w14:textId="2908316B" w:rsidR="00E6274F" w:rsidRDefault="00E6274F" w:rsidP="00E6274F">
      <w:pPr>
        <w:pStyle w:val="Akapitzlist"/>
        <w:spacing w:after="0" w:line="319" w:lineRule="auto"/>
        <w:ind w:left="454"/>
        <w:jc w:val="both"/>
        <w:rPr>
          <w:rFonts w:asciiTheme="majorHAnsi" w:eastAsia="Times New Roman" w:hAnsiTheme="majorHAnsi" w:cstheme="majorHAnsi"/>
          <w:b/>
          <w:szCs w:val="24"/>
        </w:rPr>
      </w:pPr>
      <w:r>
        <w:rPr>
          <w:rFonts w:asciiTheme="majorHAnsi" w:eastAsia="Times New Roman" w:hAnsiTheme="majorHAnsi" w:cstheme="majorHAnsi"/>
          <w:b/>
          <w:szCs w:val="24"/>
        </w:rPr>
        <w:t xml:space="preserve">- kierownikiem robót - </w:t>
      </w:r>
      <w:r w:rsidRPr="00463891">
        <w:rPr>
          <w:rFonts w:asciiTheme="majorHAnsi" w:eastAsia="Times New Roman" w:hAnsiTheme="majorHAnsi" w:cstheme="majorHAnsi"/>
          <w:b/>
          <w:bCs/>
          <w:szCs w:val="24"/>
        </w:rPr>
        <w:t>min. jedna osoba posiadająca</w:t>
      </w:r>
      <w:r w:rsidRPr="00463891">
        <w:rPr>
          <w:rFonts w:asciiTheme="majorHAnsi" w:eastAsia="Times New Roman" w:hAnsiTheme="majorHAnsi" w:cstheme="majorHAnsi"/>
          <w:b/>
          <w:szCs w:val="24"/>
        </w:rPr>
        <w:t xml:space="preserve"> wymagane uprawnienia budowlane w specjalności </w:t>
      </w:r>
      <w:r>
        <w:rPr>
          <w:rFonts w:asciiTheme="majorHAnsi" w:eastAsia="Times New Roman" w:hAnsiTheme="majorHAnsi" w:cstheme="majorHAnsi"/>
          <w:b/>
          <w:szCs w:val="24"/>
        </w:rPr>
        <w:t>instalacyjnej w zakresie sieci, instalacji i urządzeń kanalizacyjnych</w:t>
      </w:r>
      <w:r w:rsidR="00C32114">
        <w:rPr>
          <w:rFonts w:asciiTheme="majorHAnsi" w:eastAsia="Times New Roman" w:hAnsiTheme="majorHAnsi" w:cstheme="majorHAnsi"/>
          <w:b/>
          <w:szCs w:val="24"/>
        </w:rPr>
        <w:t>.</w:t>
      </w:r>
    </w:p>
    <w:p w14:paraId="315711A1" w14:textId="17E120D7" w:rsidR="00463891" w:rsidRDefault="00463891" w:rsidP="00463891">
      <w:pPr>
        <w:pStyle w:val="Akapitzlist"/>
        <w:spacing w:after="0" w:line="319" w:lineRule="auto"/>
        <w:ind w:left="454"/>
        <w:jc w:val="both"/>
        <w:rPr>
          <w:rFonts w:asciiTheme="majorHAnsi" w:eastAsia="Times New Roman" w:hAnsiTheme="majorHAnsi" w:cstheme="majorHAnsi"/>
          <w:b/>
        </w:rPr>
      </w:pPr>
    </w:p>
    <w:p w14:paraId="74052870" w14:textId="41135B77" w:rsidR="00E60DC4" w:rsidRPr="00E60DC4" w:rsidRDefault="00E60DC4" w:rsidP="00E60DC4">
      <w:pPr>
        <w:spacing w:line="240" w:lineRule="auto"/>
        <w:ind w:left="426"/>
        <w:jc w:val="both"/>
        <w:rPr>
          <w:rFonts w:asciiTheme="majorHAnsi" w:eastAsia="Times New Roman" w:hAnsiTheme="majorHAnsi" w:cstheme="majorHAnsi"/>
        </w:rPr>
      </w:pPr>
      <w:r w:rsidRPr="00E60DC4">
        <w:rPr>
          <w:rFonts w:asciiTheme="majorHAnsi" w:eastAsia="Times New Roman" w:hAnsiTheme="majorHAnsi" w:cstheme="majorHAnsi"/>
        </w:rPr>
        <w:t xml:space="preserve">Zamawiający uzna powyższy warunek za spełniony również w przypadku, gdy Wykonawca będzie dysponował </w:t>
      </w:r>
      <w:r w:rsidR="00790B69">
        <w:rPr>
          <w:rFonts w:asciiTheme="majorHAnsi" w:eastAsia="Times New Roman" w:hAnsiTheme="majorHAnsi" w:cstheme="majorHAnsi"/>
          <w:u w:val="single"/>
        </w:rPr>
        <w:t>mniejszą ilością</w:t>
      </w:r>
      <w:r w:rsidRPr="00E60DC4">
        <w:rPr>
          <w:rFonts w:asciiTheme="majorHAnsi" w:eastAsia="Times New Roman" w:hAnsiTheme="majorHAnsi" w:cstheme="majorHAnsi"/>
          <w:u w:val="single"/>
        </w:rPr>
        <w:t xml:space="preserve"> os</w:t>
      </w:r>
      <w:r w:rsidR="00790B69">
        <w:rPr>
          <w:rFonts w:asciiTheme="majorHAnsi" w:eastAsia="Times New Roman" w:hAnsiTheme="majorHAnsi" w:cstheme="majorHAnsi"/>
          <w:u w:val="single"/>
        </w:rPr>
        <w:t>ób</w:t>
      </w:r>
      <w:r w:rsidRPr="00E60DC4">
        <w:rPr>
          <w:rFonts w:asciiTheme="majorHAnsi" w:eastAsia="Times New Roman" w:hAnsiTheme="majorHAnsi" w:cstheme="majorHAnsi"/>
        </w:rPr>
        <w:t xml:space="preserve"> posiadając</w:t>
      </w:r>
      <w:r w:rsidR="00790B69">
        <w:rPr>
          <w:rFonts w:asciiTheme="majorHAnsi" w:eastAsia="Times New Roman" w:hAnsiTheme="majorHAnsi" w:cstheme="majorHAnsi"/>
        </w:rPr>
        <w:t>ych</w:t>
      </w:r>
      <w:r w:rsidRPr="00E60DC4">
        <w:rPr>
          <w:rFonts w:asciiTheme="majorHAnsi" w:eastAsia="Times New Roman" w:hAnsiTheme="majorHAnsi" w:cstheme="majorHAnsi"/>
        </w:rPr>
        <w:t xml:space="preserve">  uprawnienia określone powyżej</w:t>
      </w:r>
      <w:r w:rsidR="00790B69">
        <w:rPr>
          <w:rFonts w:asciiTheme="majorHAnsi" w:eastAsia="Times New Roman" w:hAnsiTheme="majorHAnsi" w:cstheme="majorHAnsi"/>
        </w:rPr>
        <w:t xml:space="preserve"> (np. </w:t>
      </w:r>
      <w:r w:rsidR="00D029F6">
        <w:rPr>
          <w:rFonts w:asciiTheme="majorHAnsi" w:eastAsia="Times New Roman" w:hAnsiTheme="majorHAnsi" w:cstheme="majorHAnsi"/>
        </w:rPr>
        <w:t>w</w:t>
      </w:r>
      <w:r w:rsidR="00790B69">
        <w:rPr>
          <w:rFonts w:asciiTheme="majorHAnsi" w:eastAsia="Times New Roman" w:hAnsiTheme="majorHAnsi" w:cstheme="majorHAnsi"/>
        </w:rPr>
        <w:t xml:space="preserve"> sytuacj</w:t>
      </w:r>
      <w:r w:rsidR="00D029F6">
        <w:rPr>
          <w:rFonts w:asciiTheme="majorHAnsi" w:eastAsia="Times New Roman" w:hAnsiTheme="majorHAnsi" w:cstheme="majorHAnsi"/>
        </w:rPr>
        <w:t>i</w:t>
      </w:r>
      <w:r w:rsidR="00790B69">
        <w:rPr>
          <w:rFonts w:asciiTheme="majorHAnsi" w:eastAsia="Times New Roman" w:hAnsiTheme="majorHAnsi" w:cstheme="majorHAnsi"/>
        </w:rPr>
        <w:t xml:space="preserve"> gdy jedna osoba</w:t>
      </w:r>
      <w:r w:rsidR="00D029F6">
        <w:rPr>
          <w:rFonts w:asciiTheme="majorHAnsi" w:eastAsia="Times New Roman" w:hAnsiTheme="majorHAnsi" w:cstheme="majorHAnsi"/>
        </w:rPr>
        <w:t xml:space="preserve">, którą dysponuje Wykonawca, </w:t>
      </w:r>
      <w:r w:rsidR="00790B69">
        <w:rPr>
          <w:rFonts w:asciiTheme="majorHAnsi" w:eastAsia="Times New Roman" w:hAnsiTheme="majorHAnsi" w:cstheme="majorHAnsi"/>
        </w:rPr>
        <w:t xml:space="preserve">posiada więcej niż jedno z wymaganych </w:t>
      </w:r>
      <w:r w:rsidR="00D029F6">
        <w:rPr>
          <w:rFonts w:asciiTheme="majorHAnsi" w:eastAsia="Times New Roman" w:hAnsiTheme="majorHAnsi" w:cstheme="majorHAnsi"/>
        </w:rPr>
        <w:t xml:space="preserve">powyżej </w:t>
      </w:r>
      <w:r w:rsidR="00790B69">
        <w:rPr>
          <w:rFonts w:asciiTheme="majorHAnsi" w:eastAsia="Times New Roman" w:hAnsiTheme="majorHAnsi" w:cstheme="majorHAnsi"/>
        </w:rPr>
        <w:t>uprawnień</w:t>
      </w:r>
      <w:r w:rsidR="00D029F6">
        <w:rPr>
          <w:rFonts w:asciiTheme="majorHAnsi" w:eastAsia="Times New Roman" w:hAnsiTheme="majorHAnsi" w:cstheme="majorHAnsi"/>
        </w:rPr>
        <w:t xml:space="preserve"> budowlanych</w:t>
      </w:r>
      <w:r w:rsidR="00790B69">
        <w:rPr>
          <w:rFonts w:asciiTheme="majorHAnsi" w:eastAsia="Times New Roman" w:hAnsiTheme="majorHAnsi" w:cstheme="majorHAnsi"/>
        </w:rPr>
        <w:t>)</w:t>
      </w:r>
      <w:r w:rsidR="00D029F6">
        <w:rPr>
          <w:rFonts w:asciiTheme="majorHAnsi" w:eastAsia="Times New Roman" w:hAnsiTheme="majorHAnsi" w:cstheme="majorHAnsi"/>
        </w:rPr>
        <w:t>.</w:t>
      </w:r>
    </w:p>
    <w:p w14:paraId="32B58A02" w14:textId="77777777" w:rsidR="00E60DC4" w:rsidRPr="00463891" w:rsidRDefault="00E60DC4" w:rsidP="00463891">
      <w:pPr>
        <w:pStyle w:val="Akapitzlist"/>
        <w:spacing w:after="0" w:line="319" w:lineRule="auto"/>
        <w:ind w:left="454"/>
        <w:jc w:val="both"/>
        <w:rPr>
          <w:rFonts w:asciiTheme="majorHAnsi" w:eastAsia="Times New Roman" w:hAnsiTheme="majorHAnsi" w:cstheme="majorHAnsi"/>
          <w:b/>
        </w:rPr>
      </w:pPr>
    </w:p>
    <w:p w14:paraId="744C2B98"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xml:space="preserve">. U. z 2020 r., poz. 220 z </w:t>
      </w:r>
      <w:proofErr w:type="spellStart"/>
      <w:r w:rsidRPr="00463891">
        <w:rPr>
          <w:rFonts w:asciiTheme="majorHAnsi" w:eastAsia="Times New Roman" w:hAnsiTheme="majorHAnsi" w:cstheme="majorHAnsi"/>
        </w:rPr>
        <w:t>późn</w:t>
      </w:r>
      <w:proofErr w:type="spellEnd"/>
      <w:r w:rsidRPr="00463891">
        <w:rPr>
          <w:rFonts w:asciiTheme="majorHAnsi" w:eastAsia="Times New Roman" w:hAnsiTheme="majorHAnsi" w:cstheme="majorHAnsi"/>
        </w:rPr>
        <w:t xml:space="preserve">. </w:t>
      </w:r>
      <w:proofErr w:type="spellStart"/>
      <w:r w:rsidRPr="00463891">
        <w:rPr>
          <w:rFonts w:asciiTheme="majorHAnsi" w:eastAsia="Times New Roman" w:hAnsiTheme="majorHAnsi" w:cstheme="majorHAnsi"/>
        </w:rPr>
        <w:t>zm</w:t>
      </w:r>
      <w:proofErr w:type="spellEnd"/>
      <w:r w:rsidRPr="00463891">
        <w:rPr>
          <w:rFonts w:asciiTheme="majorHAnsi" w:eastAsia="Times New Roman" w:hAnsiTheme="majorHAnsi" w:cstheme="majorHAnsi"/>
        </w:rPr>
        <w:t xml:space="preserve">), umożliwiające realizację niniejszego zamówienia. </w:t>
      </w:r>
    </w:p>
    <w:p w14:paraId="29316BD1"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rPr>
      </w:pPr>
      <w:bookmarkStart w:id="18" w:name="_Hlk53567073"/>
    </w:p>
    <w:p w14:paraId="680205AB" w14:textId="068231D3"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u w:val="single"/>
        </w:rPr>
      </w:pPr>
      <w:r w:rsidRPr="00463891">
        <w:rPr>
          <w:rFonts w:asciiTheme="majorHAnsi" w:eastAsia="Times New Roman" w:hAnsiTheme="majorHAnsi" w:cstheme="majorHAnsi"/>
          <w:szCs w:val="24"/>
        </w:rPr>
        <w:lastRenderedPageBreak/>
        <w:t xml:space="preserve">W przypadku wykonawców wspólnie ubiegających się o udzielnie zamówienia warunek dotyczący zdolności technicznej i zawodowej, o którym mowa powyżej w ust. 2 pkt.4 b) SWZ, </w:t>
      </w:r>
      <w:r w:rsidRPr="00463891">
        <w:rPr>
          <w:rFonts w:asciiTheme="majorHAnsi" w:eastAsia="Times New Roman" w:hAnsiTheme="majorHAnsi" w:cstheme="majorHAnsi"/>
          <w:szCs w:val="24"/>
          <w:u w:val="single"/>
        </w:rPr>
        <w:t>może zostać spełniony łącznie przez Wykonawców.</w:t>
      </w:r>
    </w:p>
    <w:bookmarkEnd w:id="18"/>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6B04A117" w:rsidR="005864EA" w:rsidRPr="0021144F"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9" w:name="_Toc65495854"/>
      <w:r w:rsidRPr="0039496C">
        <w:rPr>
          <w:rFonts w:asciiTheme="majorHAnsi" w:hAnsiTheme="majorHAnsi" w:cstheme="majorHAnsi"/>
          <w:b/>
          <w:bCs/>
          <w:sz w:val="24"/>
          <w:szCs w:val="24"/>
        </w:rPr>
        <w:t>IX. Podstawy wykluczenia z postępowania</w:t>
      </w:r>
      <w:bookmarkEnd w:id="19"/>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0"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0"/>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lastRenderedPageBreak/>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DFB897" w14:textId="58562AF5" w:rsidR="00BE5227" w:rsidRDefault="00BE5227" w:rsidP="00BE5227">
      <w:pPr>
        <w:spacing w:line="319" w:lineRule="auto"/>
        <w:jc w:val="both"/>
        <w:rPr>
          <w:rFonts w:asciiTheme="majorHAnsi" w:hAnsiTheme="majorHAnsi" w:cstheme="majorHAnsi"/>
        </w:rPr>
      </w:pP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5938AA78"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ykaz robót budowlanych</w:t>
      </w:r>
      <w:r w:rsidR="00826B05" w:rsidRPr="00BE5227">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p>
    <w:p w14:paraId="156DE820" w14:textId="77777777"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2BA4DD47" w:rsidR="00826B05" w:rsidRDefault="00826B05" w:rsidP="00BE5227">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4CB36790"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ykazu osób</w:t>
      </w:r>
      <w:r w:rsidR="00AB3572"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lastRenderedPageBreak/>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1" w:name="_Toc65495856"/>
      <w:r w:rsidRPr="00A258D6">
        <w:rPr>
          <w:rFonts w:asciiTheme="majorHAnsi" w:hAnsiTheme="majorHAnsi" w:cstheme="majorHAnsi"/>
          <w:b/>
          <w:bCs/>
          <w:sz w:val="22"/>
          <w:szCs w:val="22"/>
        </w:rPr>
        <w:t>XI. Poleganie na zasobach innych podmiotów</w:t>
      </w:r>
      <w:bookmarkEnd w:id="21"/>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lastRenderedPageBreak/>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2" w:name="_Hlk65499459"/>
      <w:r w:rsidRPr="00A258D6">
        <w:rPr>
          <w:rFonts w:asciiTheme="majorHAnsi" w:hAnsiTheme="majorHAnsi" w:cstheme="majorHAnsi"/>
        </w:rPr>
        <w:t xml:space="preserve">Wykonawca powołuje się na jego zasoby, </w:t>
      </w:r>
      <w:bookmarkEnd w:id="22"/>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3"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3"/>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B315DF7"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4" w:name="_Hlk63772459"/>
      <w:r w:rsidRPr="00A258D6">
        <w:rPr>
          <w:rFonts w:asciiTheme="majorHAnsi" w:hAnsiTheme="majorHAnsi" w:cstheme="majorHAnsi"/>
        </w:rPr>
        <w:lastRenderedPageBreak/>
        <w:t xml:space="preserve">Wykonawcy wspólnie ubiegający się o udzielenie zamówienia dołączają do oferty </w:t>
      </w:r>
      <w:bookmarkStart w:id="25"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4"/>
    <w:bookmarkEnd w:id="25"/>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6" w:name="_Toc65495858"/>
      <w:bookmarkStart w:id="27"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6"/>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8"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9"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9"/>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lastRenderedPageBreak/>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0"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xml:space="preserve">, znajdującego się w </w:t>
      </w:r>
      <w:r w:rsidR="00954767">
        <w:rPr>
          <w:rFonts w:asciiTheme="majorHAnsi" w:hAnsiTheme="majorHAnsi" w:cstheme="majorHAnsi"/>
        </w:rPr>
        <w:lastRenderedPageBreak/>
        <w:t>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0"/>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66729C4B" w:rsidR="00E7717C" w:rsidRDefault="00E7717C" w:rsidP="00EA572A">
      <w:pPr>
        <w:pBdr>
          <w:top w:val="nil"/>
          <w:left w:val="nil"/>
          <w:bottom w:val="nil"/>
          <w:right w:val="nil"/>
          <w:between w:val="nil"/>
        </w:pBdr>
        <w:spacing w:line="319" w:lineRule="auto"/>
        <w:jc w:val="both"/>
        <w:rPr>
          <w:rFonts w:asciiTheme="majorHAnsi" w:eastAsia="Calibri" w:hAnsiTheme="majorHAnsi" w:cstheme="majorHAnsi"/>
        </w:rPr>
      </w:pP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8"/>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31" w:name="_Toc65495859"/>
      <w:bookmarkStart w:id="32" w:name="_Hlk66110879"/>
      <w:r w:rsidRPr="00897FAC">
        <w:rPr>
          <w:rFonts w:asciiTheme="majorHAnsi" w:hAnsiTheme="majorHAnsi" w:cstheme="majorHAnsi"/>
          <w:b/>
          <w:bCs/>
          <w:sz w:val="24"/>
          <w:szCs w:val="24"/>
        </w:rPr>
        <w:t>XIV. Opis sposobu przygotowania ofert oraz dokumentów wymaganych przez Zamawiającego w SWZ</w:t>
      </w:r>
      <w:bookmarkEnd w:id="31"/>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niepodleganiu wykluczeniu składa </w:t>
      </w:r>
      <w:bookmarkEnd w:id="33"/>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4292B40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4"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5"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2"/>
    <w:bookmarkEnd w:id="34"/>
    <w:bookmarkEnd w:id="35"/>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F24EB6"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6" w:name="_Toc65495860"/>
      <w:bookmarkEnd w:id="27"/>
      <w:r w:rsidRPr="000A6F80">
        <w:rPr>
          <w:rFonts w:asciiTheme="majorHAnsi" w:hAnsiTheme="majorHAnsi" w:cstheme="majorHAnsi"/>
          <w:b/>
          <w:bCs/>
          <w:sz w:val="24"/>
          <w:szCs w:val="24"/>
        </w:rPr>
        <w:t>XV. Sposób obliczania ceny oferty</w:t>
      </w:r>
      <w:bookmarkEnd w:id="36"/>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6E00DA6"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w:t>
      </w:r>
      <w:r w:rsidRPr="0013799C">
        <w:rPr>
          <w:rFonts w:asciiTheme="majorHAnsi" w:eastAsia="Times New Roman" w:hAnsiTheme="majorHAnsi" w:cstheme="majorHAnsi"/>
        </w:rPr>
        <w:lastRenderedPageBreak/>
        <w:t xml:space="preserve">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7"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8"/>
    </w:p>
    <w:bookmarkEnd w:id="37"/>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553BD52C"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39" w:name="_Toc65495861"/>
      <w:r w:rsidRPr="00C32114">
        <w:rPr>
          <w:rFonts w:asciiTheme="majorHAnsi" w:hAnsiTheme="majorHAnsi" w:cstheme="majorHAnsi"/>
          <w:b/>
          <w:bCs/>
          <w:sz w:val="22"/>
          <w:szCs w:val="22"/>
        </w:rPr>
        <w:t>XVI. Wymagania dotyczące wadium</w:t>
      </w:r>
      <w:bookmarkEnd w:id="39"/>
      <w:r w:rsidR="00C32114" w:rsidRPr="00C32114">
        <w:rPr>
          <w:rFonts w:asciiTheme="majorHAnsi" w:hAnsiTheme="majorHAnsi" w:cstheme="majorHAnsi"/>
          <w:b/>
          <w:bCs/>
          <w:sz w:val="22"/>
          <w:szCs w:val="22"/>
        </w:rPr>
        <w:t>.</w:t>
      </w:r>
    </w:p>
    <w:p w14:paraId="120A5F2E" w14:textId="4F61E0B4" w:rsidR="00C32114" w:rsidRPr="00A258D6" w:rsidRDefault="00C32114" w:rsidP="00C32114">
      <w:pPr>
        <w:numPr>
          <w:ilvl w:val="3"/>
          <w:numId w:val="2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Pr>
          <w:rFonts w:asciiTheme="majorHAnsi" w:hAnsiTheme="majorHAnsi" w:cstheme="majorHAnsi"/>
          <w:b/>
          <w:bCs/>
        </w:rPr>
        <w:t>30</w:t>
      </w:r>
      <w:r w:rsidRPr="0013799C">
        <w:rPr>
          <w:rFonts w:asciiTheme="majorHAnsi" w:hAnsiTheme="majorHAnsi" w:cstheme="majorHAnsi"/>
          <w:b/>
          <w:bCs/>
        </w:rPr>
        <w:t>.000,00 zł</w:t>
      </w:r>
      <w:r>
        <w:rPr>
          <w:rFonts w:asciiTheme="majorHAnsi" w:hAnsiTheme="majorHAnsi" w:cstheme="majorHAnsi"/>
        </w:rPr>
        <w:t xml:space="preserve"> </w:t>
      </w:r>
    </w:p>
    <w:p w14:paraId="32F21D96" w14:textId="77777777" w:rsidR="00C32114" w:rsidRPr="00A258D6" w:rsidRDefault="00C32114" w:rsidP="00C32114">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lastRenderedPageBreak/>
        <w:t>Wadium wnosi się przed upływem terminu składania ofert.</w:t>
      </w:r>
    </w:p>
    <w:p w14:paraId="0D65CDF9" w14:textId="77777777" w:rsidR="00C32114" w:rsidRPr="00A258D6" w:rsidRDefault="00C32114" w:rsidP="00C32114">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159B9211"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0C3F4A08"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7307BCB1"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0ADEBD74" w14:textId="77777777" w:rsidR="00C32114" w:rsidRPr="00A258D6" w:rsidRDefault="00C32114" w:rsidP="00C32114">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1E16B507" w14:textId="3F925216" w:rsidR="00C32114" w:rsidRPr="00A258D6" w:rsidRDefault="00C32114" w:rsidP="00C32114">
      <w:pPr>
        <w:numPr>
          <w:ilvl w:val="3"/>
          <w:numId w:val="2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12</w:t>
      </w:r>
      <w:r w:rsidRPr="00A258D6">
        <w:rPr>
          <w:rFonts w:asciiTheme="majorHAnsi" w:hAnsiTheme="majorHAnsi" w:cstheme="majorHAnsi"/>
          <w:b/>
          <w:bCs/>
        </w:rPr>
        <w:t xml:space="preserve">.2021 </w:t>
      </w:r>
      <w:r>
        <w:rPr>
          <w:rFonts w:asciiTheme="majorHAnsi" w:hAnsiTheme="majorHAnsi" w:cstheme="majorHAnsi"/>
          <w:b/>
          <w:bCs/>
        </w:rPr>
        <w:t>Palędzie  - przebudowa ul. Słonecznej</w:t>
      </w:r>
      <w:r w:rsidRPr="00A258D6">
        <w:rPr>
          <w:rFonts w:asciiTheme="majorHAnsi" w:hAnsiTheme="majorHAnsi" w:cstheme="majorHAnsi"/>
          <w:b/>
          <w:bCs/>
        </w:rPr>
        <w:t>”.</w:t>
      </w:r>
    </w:p>
    <w:p w14:paraId="682B959F" w14:textId="77777777" w:rsidR="00C32114" w:rsidRPr="00A258D6" w:rsidRDefault="00C32114" w:rsidP="00C32114">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6B17EAEC" w14:textId="77777777" w:rsidR="00C32114" w:rsidRPr="00A258D6" w:rsidRDefault="00C32114" w:rsidP="00C32114">
      <w:pPr>
        <w:spacing w:line="319" w:lineRule="auto"/>
        <w:jc w:val="both"/>
        <w:rPr>
          <w:rFonts w:asciiTheme="majorHAnsi" w:hAnsiTheme="majorHAnsi" w:cstheme="majorHAnsi"/>
          <w:strike/>
        </w:rPr>
      </w:pPr>
    </w:p>
    <w:p w14:paraId="0F9C4ABC"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79EBD075"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66A90140"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7CA1F20D"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6BCFDBF3" w14:textId="77777777" w:rsidR="00C32114" w:rsidRPr="00571FA8" w:rsidRDefault="00C32114" w:rsidP="00C32114">
      <w:pPr>
        <w:spacing w:line="319" w:lineRule="auto"/>
        <w:jc w:val="both"/>
        <w:rPr>
          <w:rFonts w:asciiTheme="majorHAnsi" w:hAnsiTheme="majorHAnsi" w:cstheme="majorHAnsi"/>
          <w:b/>
          <w:bCs/>
          <w:strike/>
        </w:rPr>
      </w:pPr>
      <w:r w:rsidRPr="00A258D6">
        <w:rPr>
          <w:rFonts w:asciiTheme="majorHAnsi" w:hAnsiTheme="majorHAnsi" w:cstheme="majorHAnsi"/>
        </w:rPr>
        <w:t xml:space="preserve">d) </w:t>
      </w:r>
      <w:r w:rsidRPr="00571FA8">
        <w:rPr>
          <w:rFonts w:asciiTheme="majorHAnsi" w:hAnsiTheme="majorHAnsi" w:cstheme="maj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35E39A"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4E695B31"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ADC553F"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1BF21B0"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0C7C2193"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1120C691" w14:textId="77777777" w:rsidR="00C32114" w:rsidRPr="00874229" w:rsidRDefault="00C32114" w:rsidP="00C32114">
      <w:pPr>
        <w:spacing w:line="319" w:lineRule="auto"/>
        <w:jc w:val="both"/>
        <w:rPr>
          <w:rFonts w:asciiTheme="majorHAnsi" w:hAnsiTheme="majorHAnsi" w:cstheme="majorHAnsi"/>
          <w:color w:val="000000" w:themeColor="text1"/>
          <w:u w:val="single"/>
        </w:rPr>
      </w:pPr>
      <w:r w:rsidRPr="00A258D6">
        <w:rPr>
          <w:rFonts w:asciiTheme="majorHAnsi" w:hAnsiTheme="majorHAnsi" w:cstheme="majorHAnsi"/>
          <w:color w:val="000000" w:themeColor="text1"/>
        </w:rPr>
        <w:t xml:space="preserve">j) </w:t>
      </w:r>
      <w:r w:rsidRPr="00874229">
        <w:rPr>
          <w:rFonts w:asciiTheme="majorHAnsi" w:hAnsiTheme="majorHAnsi" w:cstheme="maj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874229">
        <w:rPr>
          <w:rFonts w:asciiTheme="majorHAnsi" w:hAnsiTheme="majorHAnsi" w:cstheme="majorHAnsi"/>
          <w:color w:val="000000" w:themeColor="text1"/>
          <w:u w:val="single"/>
        </w:rPr>
        <w:t>Pzp</w:t>
      </w:r>
      <w:proofErr w:type="spellEnd"/>
      <w:r w:rsidRPr="00874229">
        <w:rPr>
          <w:rFonts w:asciiTheme="majorHAnsi" w:hAnsiTheme="majorHAnsi" w:cstheme="majorHAnsi"/>
          <w:color w:val="000000" w:themeColor="text1"/>
          <w:u w:val="single"/>
        </w:rPr>
        <w:t xml:space="preserve">. </w:t>
      </w:r>
    </w:p>
    <w:p w14:paraId="316E6B10" w14:textId="77777777" w:rsidR="00C32114" w:rsidRPr="00A258D6" w:rsidRDefault="00C32114" w:rsidP="00C32114">
      <w:pPr>
        <w:spacing w:line="319" w:lineRule="auto"/>
        <w:jc w:val="both"/>
        <w:rPr>
          <w:rFonts w:asciiTheme="majorHAnsi" w:hAnsiTheme="majorHAnsi" w:cstheme="majorHAnsi"/>
          <w:color w:val="000000" w:themeColor="text1"/>
          <w:highlight w:val="yellow"/>
        </w:rPr>
      </w:pPr>
    </w:p>
    <w:p w14:paraId="740E1C1A"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5C5902BC" w14:textId="77777777" w:rsidR="00C32114" w:rsidRPr="00A258D6" w:rsidRDefault="00C32114" w:rsidP="00C32114">
      <w:pPr>
        <w:spacing w:line="319" w:lineRule="auto"/>
        <w:jc w:val="both"/>
        <w:rPr>
          <w:rFonts w:asciiTheme="majorHAnsi" w:hAnsiTheme="majorHAnsi" w:cstheme="majorHAnsi"/>
          <w:color w:val="000000" w:themeColor="text1"/>
        </w:rPr>
      </w:pPr>
    </w:p>
    <w:p w14:paraId="5DCAD8B6" w14:textId="77777777" w:rsidR="00C32114" w:rsidRPr="00A258D6" w:rsidRDefault="00C32114" w:rsidP="00C3211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0" w:name="_Toc65495862"/>
      <w:r w:rsidRPr="00A258D6">
        <w:rPr>
          <w:rFonts w:asciiTheme="majorHAnsi" w:hAnsiTheme="majorHAnsi" w:cstheme="majorHAnsi"/>
          <w:b/>
          <w:bCs/>
          <w:sz w:val="22"/>
          <w:szCs w:val="22"/>
        </w:rPr>
        <w:t>XVII. Termin związania ofertą</w:t>
      </w:r>
      <w:bookmarkEnd w:id="40"/>
    </w:p>
    <w:p w14:paraId="000000FB" w14:textId="17FAB134"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C32114">
        <w:rPr>
          <w:rFonts w:asciiTheme="majorHAnsi" w:hAnsiTheme="majorHAnsi" w:cstheme="majorHAnsi"/>
          <w:b/>
          <w:bCs/>
          <w:highlight w:val="yellow"/>
        </w:rPr>
        <w:t>25</w:t>
      </w:r>
      <w:r w:rsidR="000805AA" w:rsidRPr="00782C76">
        <w:rPr>
          <w:rFonts w:asciiTheme="majorHAnsi" w:hAnsiTheme="majorHAnsi" w:cstheme="majorHAnsi"/>
          <w:b/>
          <w:bCs/>
          <w:highlight w:val="yellow"/>
        </w:rPr>
        <w:t>.0</w:t>
      </w:r>
      <w:r w:rsidR="00AE5FE1">
        <w:rPr>
          <w:rFonts w:asciiTheme="majorHAnsi" w:hAnsiTheme="majorHAnsi" w:cstheme="majorHAnsi"/>
          <w:b/>
          <w:bCs/>
          <w:highlight w:val="yellow"/>
        </w:rPr>
        <w:t>9</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1"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1"/>
    </w:p>
    <w:p w14:paraId="000000FF" w14:textId="24D5C4E0"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27</w:t>
      </w:r>
      <w:r w:rsidR="00794557" w:rsidRPr="000370CD">
        <w:rPr>
          <w:rFonts w:asciiTheme="majorHAnsi" w:hAnsiTheme="majorHAnsi" w:cstheme="majorHAnsi"/>
          <w:b/>
          <w:bCs/>
          <w:highlight w:val="yellow"/>
        </w:rPr>
        <w:t>.0</w:t>
      </w:r>
      <w:r w:rsidR="00AE5FE1" w:rsidRPr="000370CD">
        <w:rPr>
          <w:rFonts w:asciiTheme="majorHAnsi" w:hAnsiTheme="majorHAnsi" w:cstheme="majorHAnsi"/>
          <w:b/>
          <w:bCs/>
          <w:highlight w:val="yellow"/>
        </w:rPr>
        <w:t>8</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2" w:name="_Toc65495864"/>
      <w:r w:rsidRPr="00A258D6">
        <w:rPr>
          <w:rFonts w:asciiTheme="majorHAnsi" w:hAnsiTheme="majorHAnsi" w:cstheme="majorHAnsi"/>
          <w:b/>
          <w:bCs/>
          <w:sz w:val="22"/>
          <w:szCs w:val="22"/>
        </w:rPr>
        <w:t>XIX. Otwarcie ofert</w:t>
      </w:r>
      <w:bookmarkEnd w:id="42"/>
    </w:p>
    <w:p w14:paraId="00000106" w14:textId="4D4CA0D3"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27</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AE5FE1">
        <w:rPr>
          <w:rFonts w:asciiTheme="majorHAnsi" w:hAnsiTheme="majorHAnsi" w:cstheme="majorHAnsi"/>
          <w:b/>
          <w:bCs/>
        </w:rPr>
        <w:t>8</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lastRenderedPageBreak/>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3"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3"/>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4"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2667C22F"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sidR="00D130D9">
        <w:rPr>
          <w:rFonts w:asciiTheme="majorHAnsi" w:eastAsia="Times New Roman" w:hAnsiTheme="majorHAnsi" w:cstheme="majorHAnsi"/>
        </w:rPr>
        <w:t>84</w:t>
      </w:r>
      <w:r w:rsidRPr="00B8688E">
        <w:rPr>
          <w:rFonts w:asciiTheme="majorHAnsi" w:eastAsia="Times New Roman" w:hAnsiTheme="majorHAnsi" w:cstheme="majorHAnsi"/>
        </w:rPr>
        <w:t xml:space="preserve"> miesi</w:t>
      </w:r>
      <w:r w:rsidR="00D130D9">
        <w:rPr>
          <w:rFonts w:asciiTheme="majorHAnsi" w:eastAsia="Times New Roman" w:hAnsiTheme="majorHAnsi" w:cstheme="majorHAnsi"/>
        </w:rPr>
        <w:t>ące</w:t>
      </w:r>
      <w:r w:rsidRPr="00B8688E">
        <w:rPr>
          <w:rFonts w:asciiTheme="majorHAnsi" w:eastAsia="Times New Roman" w:hAnsiTheme="majorHAnsi" w:cstheme="majorHAnsi"/>
        </w:rPr>
        <w:t>),</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72E419F5"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D130D9">
        <w:rPr>
          <w:rFonts w:asciiTheme="majorHAnsi" w:eastAsia="Times New Roman" w:hAnsiTheme="majorHAnsi" w:cstheme="majorHAnsi"/>
          <w:b/>
          <w:bCs/>
          <w:lang w:eastAsia="ar-SA"/>
        </w:rPr>
        <w:t>60</w:t>
      </w:r>
      <w:r w:rsidRPr="002B307A">
        <w:rPr>
          <w:rFonts w:asciiTheme="majorHAnsi" w:eastAsia="Times New Roman" w:hAnsiTheme="majorHAnsi" w:cstheme="majorHAnsi"/>
          <w:b/>
          <w:bCs/>
          <w:lang w:eastAsia="ar-SA"/>
        </w:rPr>
        <w:t xml:space="preserve"> miesięcy. </w:t>
      </w:r>
    </w:p>
    <w:p w14:paraId="4A8E6D42" w14:textId="5587BA04"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D130D9">
        <w:rPr>
          <w:rFonts w:asciiTheme="majorHAnsi" w:eastAsia="Times New Roman" w:hAnsiTheme="majorHAnsi" w:cstheme="majorHAnsi"/>
          <w:b/>
          <w:bCs/>
          <w:lang w:eastAsia="ar-SA"/>
        </w:rPr>
        <w:t>84</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054C9E5D"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lastRenderedPageBreak/>
        <w:t xml:space="preserve">Jeżeli Wykonawca zaproponuje w ofercie okres gwarancji dłuższy niż </w:t>
      </w:r>
      <w:r w:rsidR="00D130D9">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miesi</w:t>
      </w:r>
      <w:r w:rsidR="00D130D9">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termin ten będzie wiążący dla Wykonawcy, jednakże do oceny ofert w kryterium okres gwarancji zostanie przyjęty okres maksymalny określony w SWZ, czyli </w:t>
      </w:r>
      <w:r w:rsidR="00D130D9">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w:t>
      </w:r>
      <w:r w:rsidR="00466E6B">
        <w:rPr>
          <w:rFonts w:asciiTheme="majorHAnsi" w:eastAsia="Times New Roman" w:hAnsiTheme="majorHAnsi" w:cstheme="majorHAnsi"/>
          <w:lang w:eastAsia="ar-SA"/>
        </w:rPr>
        <w:t>miesiące.</w:t>
      </w:r>
    </w:p>
    <w:p w14:paraId="1DDC59B7" w14:textId="7A2CFF2A"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D130D9">
        <w:rPr>
          <w:rFonts w:asciiTheme="majorHAnsi" w:eastAsia="Times New Roman" w:hAnsiTheme="majorHAnsi" w:cstheme="majorHAnsi"/>
          <w:lang w:eastAsia="ar-SA"/>
        </w:rPr>
        <w:t>60</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4"/>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5" w:name="_Toc65495866"/>
      <w:r w:rsidRPr="00A258D6">
        <w:rPr>
          <w:rFonts w:asciiTheme="majorHAnsi" w:hAnsiTheme="majorHAnsi" w:cstheme="majorHAnsi"/>
          <w:b/>
          <w:bCs/>
          <w:sz w:val="22"/>
          <w:szCs w:val="22"/>
        </w:rPr>
        <w:t>XXI. Wymagania dotyczące zabezpieczenia należytego wykonania umowy.</w:t>
      </w:r>
      <w:bookmarkEnd w:id="45"/>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6"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6"/>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7" w:name="_Toc65495868"/>
      <w:r w:rsidRPr="00B8688E">
        <w:rPr>
          <w:rFonts w:asciiTheme="majorHAnsi" w:hAnsiTheme="majorHAnsi" w:cstheme="majorHAnsi"/>
          <w:b/>
          <w:bCs/>
          <w:sz w:val="24"/>
          <w:szCs w:val="24"/>
        </w:rPr>
        <w:t>XXIII. Informacje o treści zawieranej umowy oraz możliwości jej zmiany</w:t>
      </w:r>
      <w:bookmarkEnd w:id="47"/>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8"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8"/>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9" w:name="_uarrfy5kozla" w:colFirst="0" w:colLast="0"/>
      <w:bookmarkStart w:id="50" w:name="_Toc65495870"/>
      <w:bookmarkEnd w:id="49"/>
      <w:r w:rsidRPr="00A258D6">
        <w:rPr>
          <w:rFonts w:asciiTheme="majorHAnsi" w:hAnsiTheme="majorHAnsi" w:cstheme="majorHAnsi"/>
          <w:b/>
          <w:bCs/>
          <w:sz w:val="22"/>
          <w:szCs w:val="22"/>
        </w:rPr>
        <w:t>XXV. Spis załączników</w:t>
      </w:r>
      <w:bookmarkEnd w:id="50"/>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lastRenderedPageBreak/>
        <w:t>Załącznik nr 4.1 do SWZ - Oświadczenie Wykonawcy (gdy korzysta z zasobów podmiotu trzeciego) składane na podstawie art. 125 ust. 1 ustawy o braku podstaw wykluczenia i o spełnianiu warunków udziału w postępowaniu.</w:t>
      </w:r>
    </w:p>
    <w:p w14:paraId="563A2209" w14:textId="6A32AD8A"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14431DB9" w14:textId="050D9B49"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Pr>
          <w:rFonts w:asciiTheme="majorHAnsi" w:hAnsiTheme="majorHAnsi" w:cstheme="majorHAnsi"/>
        </w:rPr>
        <w:t>osób.</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2E2C0188"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D906" w14:textId="77777777" w:rsidR="00F24EB6" w:rsidRDefault="00F24EB6">
      <w:pPr>
        <w:spacing w:line="240" w:lineRule="auto"/>
      </w:pPr>
      <w:r>
        <w:separator/>
      </w:r>
    </w:p>
  </w:endnote>
  <w:endnote w:type="continuationSeparator" w:id="0">
    <w:p w14:paraId="2C53F8F5" w14:textId="77777777" w:rsidR="00F24EB6" w:rsidRDefault="00F2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9E65" w14:textId="77777777" w:rsidR="00F24EB6" w:rsidRDefault="00F24EB6">
      <w:pPr>
        <w:spacing w:line="240" w:lineRule="auto"/>
      </w:pPr>
      <w:r>
        <w:separator/>
      </w:r>
    </w:p>
  </w:footnote>
  <w:footnote w:type="continuationSeparator" w:id="0">
    <w:p w14:paraId="55CC0B74" w14:textId="77777777" w:rsidR="00F24EB6" w:rsidRDefault="00F24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20F0991"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1A7546">
      <w:rPr>
        <w:rFonts w:ascii="Calibri" w:eastAsia="Calibri" w:hAnsi="Calibri" w:cs="Calibri"/>
        <w:color w:val="434343"/>
      </w:rPr>
      <w:t>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9"/>
  </w:num>
  <w:num w:numId="4">
    <w:abstractNumId w:val="1"/>
  </w:num>
  <w:num w:numId="5">
    <w:abstractNumId w:val="8"/>
  </w:num>
  <w:num w:numId="6">
    <w:abstractNumId w:val="40"/>
  </w:num>
  <w:num w:numId="7">
    <w:abstractNumId w:val="31"/>
  </w:num>
  <w:num w:numId="8">
    <w:abstractNumId w:val="39"/>
  </w:num>
  <w:num w:numId="9">
    <w:abstractNumId w:val="34"/>
  </w:num>
  <w:num w:numId="10">
    <w:abstractNumId w:val="15"/>
  </w:num>
  <w:num w:numId="11">
    <w:abstractNumId w:val="12"/>
  </w:num>
  <w:num w:numId="12">
    <w:abstractNumId w:val="29"/>
  </w:num>
  <w:num w:numId="13">
    <w:abstractNumId w:val="17"/>
  </w:num>
  <w:num w:numId="14">
    <w:abstractNumId w:val="20"/>
  </w:num>
  <w:num w:numId="15">
    <w:abstractNumId w:val="32"/>
  </w:num>
  <w:num w:numId="16">
    <w:abstractNumId w:val="0"/>
  </w:num>
  <w:num w:numId="17">
    <w:abstractNumId w:val="33"/>
  </w:num>
  <w:num w:numId="18">
    <w:abstractNumId w:val="30"/>
  </w:num>
  <w:num w:numId="19">
    <w:abstractNumId w:val="25"/>
  </w:num>
  <w:num w:numId="20">
    <w:abstractNumId w:val="22"/>
  </w:num>
  <w:num w:numId="21">
    <w:abstractNumId w:val="36"/>
  </w:num>
  <w:num w:numId="22">
    <w:abstractNumId w:val="37"/>
  </w:num>
  <w:num w:numId="23">
    <w:abstractNumId w:val="21"/>
  </w:num>
  <w:num w:numId="24">
    <w:abstractNumId w:val="23"/>
  </w:num>
  <w:num w:numId="25">
    <w:abstractNumId w:val="26"/>
  </w:num>
  <w:num w:numId="26">
    <w:abstractNumId w:val="28"/>
  </w:num>
  <w:num w:numId="27">
    <w:abstractNumId w:val="3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4"/>
  </w:num>
  <w:num w:numId="32">
    <w:abstractNumId w:val="16"/>
  </w:num>
  <w:num w:numId="33">
    <w:abstractNumId w:val="4"/>
  </w:num>
  <w:num w:numId="34">
    <w:abstractNumId w:val="24"/>
  </w:num>
  <w:num w:numId="35">
    <w:abstractNumId w:val="18"/>
  </w:num>
  <w:num w:numId="36">
    <w:abstractNumId w:val="3"/>
  </w:num>
  <w:num w:numId="37">
    <w:abstractNumId w:val="11"/>
  </w:num>
  <w:num w:numId="38">
    <w:abstractNumId w:val="10"/>
  </w:num>
  <w:num w:numId="39">
    <w:abstractNumId w:val="38"/>
  </w:num>
  <w:num w:numId="40">
    <w:abstractNumId w:val="5"/>
  </w:num>
  <w:num w:numId="41">
    <w:abstractNumId w:val="2"/>
  </w:num>
  <w:num w:numId="4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C3"/>
    <w:rsid w:val="00117A01"/>
    <w:rsid w:val="001269F3"/>
    <w:rsid w:val="0013799C"/>
    <w:rsid w:val="0014258D"/>
    <w:rsid w:val="0015573F"/>
    <w:rsid w:val="00173C78"/>
    <w:rsid w:val="001755AA"/>
    <w:rsid w:val="001767E2"/>
    <w:rsid w:val="00185789"/>
    <w:rsid w:val="0019773C"/>
    <w:rsid w:val="001A2849"/>
    <w:rsid w:val="001A4D5A"/>
    <w:rsid w:val="001A7546"/>
    <w:rsid w:val="001B3DF6"/>
    <w:rsid w:val="001B6804"/>
    <w:rsid w:val="001B742A"/>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1B0F"/>
    <w:rsid w:val="00305B1B"/>
    <w:rsid w:val="00326F74"/>
    <w:rsid w:val="003270C6"/>
    <w:rsid w:val="00331A60"/>
    <w:rsid w:val="00344DDF"/>
    <w:rsid w:val="003467F4"/>
    <w:rsid w:val="00352F09"/>
    <w:rsid w:val="003567CC"/>
    <w:rsid w:val="00377F18"/>
    <w:rsid w:val="0038543F"/>
    <w:rsid w:val="00385BE6"/>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66E6B"/>
    <w:rsid w:val="00471433"/>
    <w:rsid w:val="0047516D"/>
    <w:rsid w:val="00481726"/>
    <w:rsid w:val="004825C2"/>
    <w:rsid w:val="00482E00"/>
    <w:rsid w:val="004837CA"/>
    <w:rsid w:val="00491604"/>
    <w:rsid w:val="004959CE"/>
    <w:rsid w:val="004A3417"/>
    <w:rsid w:val="004A400F"/>
    <w:rsid w:val="004A56C0"/>
    <w:rsid w:val="004B5B12"/>
    <w:rsid w:val="004C3F3B"/>
    <w:rsid w:val="004C76C6"/>
    <w:rsid w:val="004D51CB"/>
    <w:rsid w:val="004F0A55"/>
    <w:rsid w:val="004F2658"/>
    <w:rsid w:val="004F3ECF"/>
    <w:rsid w:val="00502BF3"/>
    <w:rsid w:val="00505136"/>
    <w:rsid w:val="005107C9"/>
    <w:rsid w:val="00512217"/>
    <w:rsid w:val="0051444A"/>
    <w:rsid w:val="005313D8"/>
    <w:rsid w:val="00533F49"/>
    <w:rsid w:val="00541386"/>
    <w:rsid w:val="005422A4"/>
    <w:rsid w:val="00544DEB"/>
    <w:rsid w:val="00546191"/>
    <w:rsid w:val="00556659"/>
    <w:rsid w:val="00567CE6"/>
    <w:rsid w:val="0057137E"/>
    <w:rsid w:val="00571FA8"/>
    <w:rsid w:val="00572DD9"/>
    <w:rsid w:val="0057369C"/>
    <w:rsid w:val="0058521E"/>
    <w:rsid w:val="00585FF7"/>
    <w:rsid w:val="005864EA"/>
    <w:rsid w:val="005B4887"/>
    <w:rsid w:val="005B5213"/>
    <w:rsid w:val="005C65DF"/>
    <w:rsid w:val="005E6EF7"/>
    <w:rsid w:val="00606806"/>
    <w:rsid w:val="006116B3"/>
    <w:rsid w:val="00612559"/>
    <w:rsid w:val="00636197"/>
    <w:rsid w:val="00637F8E"/>
    <w:rsid w:val="0064460C"/>
    <w:rsid w:val="00651B5C"/>
    <w:rsid w:val="00661067"/>
    <w:rsid w:val="00661AC9"/>
    <w:rsid w:val="00675C16"/>
    <w:rsid w:val="0068752A"/>
    <w:rsid w:val="006A0AC3"/>
    <w:rsid w:val="006A5BC7"/>
    <w:rsid w:val="006B40FC"/>
    <w:rsid w:val="006B4DC1"/>
    <w:rsid w:val="006B6890"/>
    <w:rsid w:val="006C4D15"/>
    <w:rsid w:val="006E5E51"/>
    <w:rsid w:val="006E5EFD"/>
    <w:rsid w:val="006F247A"/>
    <w:rsid w:val="006F3478"/>
    <w:rsid w:val="006F693D"/>
    <w:rsid w:val="00703329"/>
    <w:rsid w:val="00703D85"/>
    <w:rsid w:val="00705B71"/>
    <w:rsid w:val="007106D1"/>
    <w:rsid w:val="007151D8"/>
    <w:rsid w:val="0071612B"/>
    <w:rsid w:val="00720175"/>
    <w:rsid w:val="00723F94"/>
    <w:rsid w:val="00727307"/>
    <w:rsid w:val="007325D7"/>
    <w:rsid w:val="00735A3B"/>
    <w:rsid w:val="00743DE2"/>
    <w:rsid w:val="00745302"/>
    <w:rsid w:val="007563B1"/>
    <w:rsid w:val="007606A6"/>
    <w:rsid w:val="007636D0"/>
    <w:rsid w:val="00767DAC"/>
    <w:rsid w:val="007761FF"/>
    <w:rsid w:val="00782C76"/>
    <w:rsid w:val="007839A2"/>
    <w:rsid w:val="00790B69"/>
    <w:rsid w:val="00790CC7"/>
    <w:rsid w:val="00794557"/>
    <w:rsid w:val="007D1D4F"/>
    <w:rsid w:val="007E4CAE"/>
    <w:rsid w:val="00804F73"/>
    <w:rsid w:val="008157B6"/>
    <w:rsid w:val="0082243F"/>
    <w:rsid w:val="00826B05"/>
    <w:rsid w:val="00826DC8"/>
    <w:rsid w:val="00831210"/>
    <w:rsid w:val="00845968"/>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4767"/>
    <w:rsid w:val="00961F0D"/>
    <w:rsid w:val="00980F58"/>
    <w:rsid w:val="00994206"/>
    <w:rsid w:val="009A31BF"/>
    <w:rsid w:val="009A4AE7"/>
    <w:rsid w:val="009A74E5"/>
    <w:rsid w:val="009B34E2"/>
    <w:rsid w:val="009B7036"/>
    <w:rsid w:val="009D2556"/>
    <w:rsid w:val="009E3DDB"/>
    <w:rsid w:val="009E718F"/>
    <w:rsid w:val="009F7BA4"/>
    <w:rsid w:val="00A136BD"/>
    <w:rsid w:val="00A258D6"/>
    <w:rsid w:val="00A32ACB"/>
    <w:rsid w:val="00A33B8E"/>
    <w:rsid w:val="00A44EB3"/>
    <w:rsid w:val="00A45459"/>
    <w:rsid w:val="00A461C1"/>
    <w:rsid w:val="00A64BFE"/>
    <w:rsid w:val="00A813CF"/>
    <w:rsid w:val="00A96A80"/>
    <w:rsid w:val="00AB2A63"/>
    <w:rsid w:val="00AB3572"/>
    <w:rsid w:val="00AC1B9C"/>
    <w:rsid w:val="00AC5260"/>
    <w:rsid w:val="00AC7485"/>
    <w:rsid w:val="00AD0456"/>
    <w:rsid w:val="00AD6FE1"/>
    <w:rsid w:val="00AE5FE1"/>
    <w:rsid w:val="00AF2298"/>
    <w:rsid w:val="00AF2846"/>
    <w:rsid w:val="00AF2A39"/>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C03107"/>
    <w:rsid w:val="00C32114"/>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6886"/>
    <w:rsid w:val="00CE5605"/>
    <w:rsid w:val="00CF6FD6"/>
    <w:rsid w:val="00D012B4"/>
    <w:rsid w:val="00D029F6"/>
    <w:rsid w:val="00D07495"/>
    <w:rsid w:val="00D109AB"/>
    <w:rsid w:val="00D12C81"/>
    <w:rsid w:val="00D130D9"/>
    <w:rsid w:val="00D26185"/>
    <w:rsid w:val="00D30FF6"/>
    <w:rsid w:val="00D318FB"/>
    <w:rsid w:val="00D4527E"/>
    <w:rsid w:val="00D4775D"/>
    <w:rsid w:val="00D51A9B"/>
    <w:rsid w:val="00D576E9"/>
    <w:rsid w:val="00D64AB4"/>
    <w:rsid w:val="00D74830"/>
    <w:rsid w:val="00D767C0"/>
    <w:rsid w:val="00D82F07"/>
    <w:rsid w:val="00D858FB"/>
    <w:rsid w:val="00D93117"/>
    <w:rsid w:val="00D96EA2"/>
    <w:rsid w:val="00DB63FF"/>
    <w:rsid w:val="00DC2C9E"/>
    <w:rsid w:val="00DC2CBA"/>
    <w:rsid w:val="00DC3BB0"/>
    <w:rsid w:val="00DD52B3"/>
    <w:rsid w:val="00DD64A6"/>
    <w:rsid w:val="00DE1E25"/>
    <w:rsid w:val="00DE2D91"/>
    <w:rsid w:val="00DE36D5"/>
    <w:rsid w:val="00DE40E4"/>
    <w:rsid w:val="00DF1295"/>
    <w:rsid w:val="00DF5FBA"/>
    <w:rsid w:val="00E26359"/>
    <w:rsid w:val="00E305F3"/>
    <w:rsid w:val="00E32059"/>
    <w:rsid w:val="00E47C2E"/>
    <w:rsid w:val="00E508E1"/>
    <w:rsid w:val="00E550CD"/>
    <w:rsid w:val="00E60DC4"/>
    <w:rsid w:val="00E6274F"/>
    <w:rsid w:val="00E65E93"/>
    <w:rsid w:val="00E7717C"/>
    <w:rsid w:val="00E937B0"/>
    <w:rsid w:val="00E93BFA"/>
    <w:rsid w:val="00E95F17"/>
    <w:rsid w:val="00EA572A"/>
    <w:rsid w:val="00EA5D61"/>
    <w:rsid w:val="00EB3CA2"/>
    <w:rsid w:val="00EB5EE9"/>
    <w:rsid w:val="00EC1E9C"/>
    <w:rsid w:val="00EC7F74"/>
    <w:rsid w:val="00EE4FC1"/>
    <w:rsid w:val="00EF4BB5"/>
    <w:rsid w:val="00EF6664"/>
    <w:rsid w:val="00F00266"/>
    <w:rsid w:val="00F046CE"/>
    <w:rsid w:val="00F142AF"/>
    <w:rsid w:val="00F17525"/>
    <w:rsid w:val="00F24EB6"/>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3096</TotalTime>
  <Pages>31</Pages>
  <Words>11403</Words>
  <Characters>68424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123</cp:revision>
  <cp:lastPrinted>2021-08-10T12:48:00Z</cp:lastPrinted>
  <dcterms:created xsi:type="dcterms:W3CDTF">2021-03-08T00:28:00Z</dcterms:created>
  <dcterms:modified xsi:type="dcterms:W3CDTF">2021-08-11T11:02:00Z</dcterms:modified>
</cp:coreProperties>
</file>