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1E52" w14:textId="77777777" w:rsidR="00233FAF" w:rsidRDefault="0000000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Realizacja zadania  inwestycyjnego pn.:</w:t>
      </w:r>
    </w:p>
    <w:p w14:paraId="2252EEBB" w14:textId="77777777" w:rsidR="00233FAF" w:rsidRDefault="00000000">
      <w:pPr>
        <w:numPr>
          <w:ilvl w:val="0"/>
          <w:numId w:val="1"/>
        </w:numPr>
        <w:suppressAutoHyphens w:val="0"/>
        <w:spacing w:line="276" w:lineRule="auto"/>
        <w:ind w:left="283" w:hanging="113"/>
        <w:jc w:val="both"/>
        <w:rPr>
          <w:rFonts w:hint="eastAsia"/>
        </w:rPr>
      </w:pPr>
      <w:bookmarkStart w:id="0" w:name="__DdeLink__222_3916028026"/>
      <w:r>
        <w:rPr>
          <w:rFonts w:ascii="Times New Roman" w:hAnsi="Times New Roman" w:cs="Times New Roman"/>
        </w:rPr>
        <w:t>Termomodernizacja Żłobka „Złoty Promyk” w Nowym Tomyślu</w:t>
      </w:r>
      <w:bookmarkEnd w:id="0"/>
    </w:p>
    <w:p w14:paraId="629D4596" w14:textId="77777777" w:rsidR="00233FAF" w:rsidRDefault="00233FAF">
      <w:pPr>
        <w:pStyle w:val="Akapitzlis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6837A89" w14:textId="77777777" w:rsidR="00233FAF" w:rsidRDefault="00000000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3D00BAF4" w14:textId="77777777" w:rsidR="00233FAF" w:rsidRDefault="00000000">
      <w:pPr>
        <w:pStyle w:val="Akapitzlist"/>
        <w:spacing w:line="276" w:lineRule="auto"/>
        <w:ind w:left="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Przedmiotem zamówienia jest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Termomodernizacja Żłobka „Złoty Promyk” w Nowym Tomyślu wraz z wykonaniem instalacji fotowoltaicznej </w:t>
      </w:r>
    </w:p>
    <w:p w14:paraId="6010ECAB" w14:textId="77777777" w:rsidR="00233FAF" w:rsidRDefault="00233FAF">
      <w:pPr>
        <w:pStyle w:val="Akapitzlist"/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045447A6" w14:textId="77777777" w:rsidR="00233FAF" w:rsidRDefault="00000000">
      <w:p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 xml:space="preserve">Termin realizacji: 15.09.2023r </w:t>
      </w:r>
    </w:p>
    <w:p w14:paraId="304D5185" w14:textId="77777777" w:rsidR="00233FAF" w:rsidRDefault="00233FAF">
      <w:pPr>
        <w:pStyle w:val="Akapitzlist"/>
        <w:spacing w:line="276" w:lineRule="auto"/>
        <w:contextualSpacing/>
        <w:jc w:val="both"/>
        <w:rPr>
          <w:rFonts w:eastAsia="Times New Roman" w:cs="Times New Roman"/>
          <w:i/>
          <w:iCs/>
          <w:color w:val="000000"/>
          <w:lang w:eastAsia="pl-PL"/>
        </w:rPr>
      </w:pPr>
    </w:p>
    <w:p w14:paraId="213D2739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techniczny podstawowych parametrów budynku:</w:t>
      </w:r>
    </w:p>
    <w:p w14:paraId="42166942" w14:textId="77777777" w:rsidR="00233FAF" w:rsidRDefault="00000000">
      <w:p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Budynek dwukondygnacyjny niepodpiwniczony, zbudowany w zasadniczej cz</w:t>
      </w:r>
      <w:r>
        <w:rPr>
          <w:rFonts w:ascii="Times New Roman" w:hAnsi="Times New Roman"/>
        </w:rPr>
        <w:t xml:space="preserve">ęści w </w:t>
      </w:r>
      <w:proofErr w:type="spellStart"/>
      <w:r>
        <w:rPr>
          <w:rFonts w:ascii="Times New Roman" w:hAnsi="Times New Roman"/>
        </w:rPr>
        <w:t>technologi</w:t>
      </w:r>
      <w:proofErr w:type="spellEnd"/>
      <w:r>
        <w:rPr>
          <w:rFonts w:ascii="Times New Roman" w:hAnsi="Times New Roman"/>
        </w:rPr>
        <w:t xml:space="preserve"> cegły żerańskiej oraz w technologii tradycyjnej murowanej. Ściany zewnętrzne w budynku następującej konstrukcji:</w:t>
      </w:r>
    </w:p>
    <w:p w14:paraId="70D0E19D" w14:textId="77777777" w:rsidR="00233FA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- ściany zewnętrzne I murowane z gazobetonu gr. 38 cm obustronnie tynkowane nieocieplone,</w:t>
      </w:r>
    </w:p>
    <w:p w14:paraId="186C3FAB" w14:textId="77777777" w:rsidR="00233FA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- ściany zewnętrzne II parteru murowane z gazobetonu gr. 12 cm ocieplone styropianem 8cm,</w:t>
      </w:r>
    </w:p>
    <w:p w14:paraId="0BD351E0" w14:textId="77777777" w:rsidR="00233FA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- ściany zewnętrzne w technologii cegły żerańskiej o łącznej grubości 42 cm nieocieplone.</w:t>
      </w:r>
    </w:p>
    <w:p w14:paraId="44F8AE2E" w14:textId="77777777" w:rsidR="00233FA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Stropy prefabrykowane z płyty kanałowej "żerańskiej".</w:t>
      </w:r>
    </w:p>
    <w:p w14:paraId="133EF035" w14:textId="77777777" w:rsidR="00233FA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Stropodach nad wyższą częścią wentylowany dwuspadowy, zbudowany na konstrukcji z płyt stropowych kanałowych "żerańskich", ocieplony warstwą wełny mineralnej oraz płyt korytkowych opartych na ażurowych ściankach, warstwy wykończeniowej, kryty papą.</w:t>
      </w:r>
    </w:p>
    <w:p w14:paraId="7091DE65" w14:textId="77777777" w:rsidR="00233FA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Stropodach nad pomieszczeniem węzła cieplnego i nad wejściem żelbetowy, jednospadowy, kryty papą.</w:t>
      </w:r>
    </w:p>
    <w:p w14:paraId="270DAAED" w14:textId="77777777" w:rsidR="00233FA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Okna w budynku różnej konstrukcji. Większość okien wymienionych w latach 2008-2009. Są to okna z tworzywa sztucznego z szybą o U=1,1. Średni współczynnik dla całych okien ocenia się na 1,6 W/(m2K). Kilka okien drewnianych o wysokim stopniu zużycia, dla których średnią wartość współczynnika U przyjęto na poziomie 3,2W/(m2K).</w:t>
      </w:r>
    </w:p>
    <w:p w14:paraId="5262FEAB" w14:textId="77777777" w:rsidR="00233FA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Okna tarasowe wysokie wymienione w 2020 roku podczas rozbudowy obiektu o nowe oddziały. Okna z pakietem trzyszybowym o szacowanym współczynniku na poziomie 0,9 W/(m2K).</w:t>
      </w:r>
    </w:p>
    <w:p w14:paraId="3AD0C548" w14:textId="77777777" w:rsidR="00233FAF" w:rsidRDefault="00000000">
      <w:p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Drzwi zewnętrzne różnej konstrukcji. Najstarsze szczytowe drewniane (2 szt.) oraz do pomieszczenia węzła cieplnego stalowe z symboliczną izolacją o wysokim stanie zużycia przeznaczone do wymiany o ocenianym współczynniku U=3,2 W/(m2K). Drzwi frontowe jedne automatyczne aluminiowe z pakietem szybowym, drugie stalowe ocieplane. Drzwi frontowe o dobrym stanie technicznym, których współczynnik U oceniono na 1,3W/(m2K).</w:t>
      </w:r>
    </w:p>
    <w:p w14:paraId="762D28DB" w14:textId="77777777" w:rsidR="00233FAF" w:rsidRDefault="00233FAF">
      <w:pPr>
        <w:spacing w:line="276" w:lineRule="auto"/>
        <w:contextualSpacing/>
        <w:rPr>
          <w:rFonts w:eastAsia="Times New Roman" w:cs="Times New Roman"/>
          <w:i/>
          <w:iCs/>
          <w:color w:val="000000"/>
          <w:lang w:eastAsia="pl-PL"/>
        </w:rPr>
      </w:pPr>
    </w:p>
    <w:p w14:paraId="3D854143" w14:textId="77777777" w:rsidR="00233FAF" w:rsidRDefault="0000000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Zamówienie obejmuje:</w:t>
      </w:r>
    </w:p>
    <w:p w14:paraId="3C2569CD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prac do wykonania :</w:t>
      </w:r>
    </w:p>
    <w:p w14:paraId="0258BBBD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. Izolacja termiczna i przeciwwilgociowa murów fundamentowych</w:t>
      </w:r>
    </w:p>
    <w:p w14:paraId="2126E21B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odkopanie murów fundamentowych</w:t>
      </w:r>
    </w:p>
    <w:p w14:paraId="6BBCF23C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oczyszczenie mechaniczne murów fundamentowych</w:t>
      </w:r>
    </w:p>
    <w:p w14:paraId="4AA5E321" w14:textId="77777777" w:rsidR="00233FAF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- izolacja termiczna styropianem gr . 15cm (p</w:t>
      </w:r>
      <w:r>
        <w:rPr>
          <w:rFonts w:ascii="CIDFont+F1" w:hAnsi="CIDFont+F1"/>
        </w:rPr>
        <w:t xml:space="preserve">rzewiduje się ocieplenie ściany metodą </w:t>
      </w:r>
      <w:proofErr w:type="spellStart"/>
      <w:r>
        <w:rPr>
          <w:rFonts w:ascii="CIDFont+F1" w:hAnsi="CIDFont+F1"/>
        </w:rPr>
        <w:t>bezspoinową</w:t>
      </w:r>
      <w:proofErr w:type="spellEnd"/>
      <w:r>
        <w:rPr>
          <w:rFonts w:ascii="CIDFont+F1" w:hAnsi="CIDFont+F1"/>
        </w:rPr>
        <w:t xml:space="preserve"> z użyciem styropianu </w:t>
      </w:r>
      <w:r>
        <w:rPr>
          <w:rFonts w:ascii="CIDFont+F1" w:hAnsi="CIDFont+F1" w:cs="Times New Roman"/>
        </w:rPr>
        <w:t>o współczynniku przewodności λ= 0,035 W/</w:t>
      </w:r>
      <w:proofErr w:type="spellStart"/>
      <w:r>
        <w:rPr>
          <w:rFonts w:ascii="CIDFont+F1" w:hAnsi="CIDFont+F1" w:cs="Times New Roman"/>
        </w:rPr>
        <w:t>mK</w:t>
      </w:r>
      <w:proofErr w:type="spellEnd"/>
      <w:r>
        <w:rPr>
          <w:rFonts w:ascii="CIDFont+F1" w:hAnsi="CIDFont+F1" w:cs="Times New Roman"/>
        </w:rPr>
        <w:t>)</w:t>
      </w:r>
    </w:p>
    <w:p w14:paraId="5907423A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izolacja przeciwwilgociowa folia kubełkową</w:t>
      </w:r>
    </w:p>
    <w:p w14:paraId="068491BA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obsypanie muru fundamentowego</w:t>
      </w:r>
    </w:p>
    <w:p w14:paraId="26D73A34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. Termomodernizacja budynku żłobka:</w:t>
      </w:r>
    </w:p>
    <w:p w14:paraId="29E0A81F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bookmarkStart w:id="1" w:name="__DdeLink__1072_800412820"/>
      <w:r>
        <w:rPr>
          <w:rFonts w:ascii="Times New Roman" w:hAnsi="Times New Roman" w:cs="Times New Roman"/>
        </w:rPr>
        <w:t xml:space="preserve">- wymiana </w:t>
      </w:r>
      <w:proofErr w:type="spellStart"/>
      <w:r>
        <w:rPr>
          <w:rFonts w:ascii="Times New Roman" w:hAnsi="Times New Roman" w:cs="Times New Roman"/>
        </w:rPr>
        <w:t>opierzeń</w:t>
      </w:r>
      <w:proofErr w:type="spellEnd"/>
      <w:r>
        <w:rPr>
          <w:rFonts w:ascii="Times New Roman" w:hAnsi="Times New Roman" w:cs="Times New Roman"/>
        </w:rPr>
        <w:t xml:space="preserve"> z blachy stalowej ocynkowanej,</w:t>
      </w:r>
    </w:p>
    <w:p w14:paraId="2A9E6ED3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demontaż i montaż rynien i rur spustowych,</w:t>
      </w:r>
    </w:p>
    <w:p w14:paraId="1B0E6C05" w14:textId="77777777" w:rsidR="00233FAF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- wymiana stolarki otworowej (u</w:t>
      </w:r>
      <w:r>
        <w:rPr>
          <w:rFonts w:ascii="Times New Roman" w:hAnsi="Times New Roman"/>
        </w:rPr>
        <w:t>lepszenie obejmuje wymianę okien istniejących na okna PVC szczelne, o lepszych współczynnikach U=0,9 W/m2K</w:t>
      </w:r>
      <w:r>
        <w:rPr>
          <w:rFonts w:ascii="Times New Roman" w:hAnsi="Times New Roman" w:cs="Times New Roman"/>
        </w:rPr>
        <w:t xml:space="preserve"> oraz wymian</w:t>
      </w:r>
      <w:r>
        <w:rPr>
          <w:rFonts w:ascii="Times New Roman" w:hAnsi="Times New Roman"/>
        </w:rPr>
        <w:t>ę drzwi zewnętrznych na szczelne, o lepszych współczynnikach U=1,3 W/m2K)</w:t>
      </w:r>
    </w:p>
    <w:p w14:paraId="1352CDB7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termomodernizacja ścian - ocieplenie styropianem gr.15 cm (p</w:t>
      </w:r>
      <w:r>
        <w:rPr>
          <w:rFonts w:ascii="CIDFont+F1" w:hAnsi="CIDFont+F1" w:cs="Times New Roman"/>
        </w:rPr>
        <w:t xml:space="preserve">rzewiduje się ocieplenie ściany metodą </w:t>
      </w:r>
      <w:proofErr w:type="spellStart"/>
      <w:r>
        <w:rPr>
          <w:rFonts w:ascii="CIDFont+F1" w:hAnsi="CIDFont+F1" w:cs="Times New Roman"/>
        </w:rPr>
        <w:t>bezspoinową</w:t>
      </w:r>
      <w:proofErr w:type="spellEnd"/>
      <w:r>
        <w:rPr>
          <w:rFonts w:ascii="CIDFont+F1" w:hAnsi="CIDFont+F1" w:cs="Times New Roman"/>
        </w:rPr>
        <w:t xml:space="preserve"> z użyciem styropianu o współczynniku przewodności λ= 0,035 W/</w:t>
      </w:r>
      <w:proofErr w:type="spellStart"/>
      <w:r>
        <w:rPr>
          <w:rFonts w:ascii="CIDFont+F1" w:hAnsi="CIDFont+F1" w:cs="Times New Roman"/>
        </w:rPr>
        <w:t>mK</w:t>
      </w:r>
      <w:proofErr w:type="spellEnd"/>
      <w:r>
        <w:rPr>
          <w:rFonts w:ascii="CIDFont+F1" w:hAnsi="CIDFont+F1" w:cs="Times New Roman"/>
        </w:rPr>
        <w:t>)</w:t>
      </w:r>
      <w:bookmarkEnd w:id="1"/>
    </w:p>
    <w:p w14:paraId="6AAAAD69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wykonanie tynku silikatowego,</w:t>
      </w:r>
    </w:p>
    <w:p w14:paraId="30CB7D5F" w14:textId="77777777" w:rsidR="00233FAF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- izolacja termiczna stropodachu poprzez wdmuchanie granulatu wełny mineralnej (p</w:t>
      </w:r>
      <w:r>
        <w:rPr>
          <w:rFonts w:ascii="Times New Roman" w:hAnsi="Times New Roman"/>
        </w:rPr>
        <w:t>rzewiduje się ocieplenie stropodachu granulatem wełny mineralnej metodą wdmuchiwania o współczynniku przewodności λ= 0,038 W/</w:t>
      </w:r>
      <w:proofErr w:type="spellStart"/>
      <w:r>
        <w:rPr>
          <w:rFonts w:ascii="Times New Roman" w:hAnsi="Times New Roman"/>
        </w:rPr>
        <w:t>mK</w:t>
      </w:r>
      <w:proofErr w:type="spellEnd"/>
      <w:r>
        <w:rPr>
          <w:rFonts w:ascii="Times New Roman" w:hAnsi="Times New Roman" w:cs="Times New Roman"/>
        </w:rPr>
        <w:t>),</w:t>
      </w:r>
    </w:p>
    <w:p w14:paraId="09957264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. Naprawa pokrycia dachowego:</w:t>
      </w:r>
    </w:p>
    <w:p w14:paraId="455227BE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pokrycie dachu papa termozgrzewalna jednowarstwowe,</w:t>
      </w:r>
    </w:p>
    <w:p w14:paraId="7BCB6D73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. Wymiana i </w:t>
      </w:r>
      <w:proofErr w:type="spellStart"/>
      <w:r>
        <w:rPr>
          <w:rFonts w:ascii="Times New Roman" w:hAnsi="Times New Roman" w:cs="Times New Roman"/>
        </w:rPr>
        <w:t>ns</w:t>
      </w:r>
      <w:proofErr w:type="spellEnd"/>
      <w:r>
        <w:rPr>
          <w:rFonts w:ascii="Times New Roman" w:hAnsi="Times New Roman" w:cs="Times New Roman"/>
        </w:rPr>
        <w:t xml:space="preserve"> ta l </w:t>
      </w: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 xml:space="preserve"> j i odgromowej:</w:t>
      </w:r>
    </w:p>
    <w:p w14:paraId="4632D548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wymiana </w:t>
      </w:r>
      <w:proofErr w:type="spellStart"/>
      <w:r>
        <w:rPr>
          <w:rFonts w:ascii="Times New Roman" w:hAnsi="Times New Roman" w:cs="Times New Roman"/>
        </w:rPr>
        <w:t>sztyc</w:t>
      </w:r>
      <w:proofErr w:type="spellEnd"/>
      <w:r>
        <w:rPr>
          <w:rFonts w:ascii="Times New Roman" w:hAnsi="Times New Roman" w:cs="Times New Roman"/>
        </w:rPr>
        <w:t xml:space="preserve"> odgromowych,</w:t>
      </w:r>
    </w:p>
    <w:p w14:paraId="272CF26A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wymiana zwodu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 i omego i pionowego,</w:t>
      </w:r>
    </w:p>
    <w:p w14:paraId="025C9C63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montaż zwodu pionowego w rurkach w styropianie,</w:t>
      </w:r>
    </w:p>
    <w:p w14:paraId="35E82735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. Wykonanie utwardzeń:</w:t>
      </w:r>
    </w:p>
    <w:p w14:paraId="2634DA4C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wykonanie chodników z kostki betonowej,</w:t>
      </w:r>
    </w:p>
    <w:p w14:paraId="54A76F5F" w14:textId="77777777" w:rsidR="00233FAF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- ułożenie obrzeży betonowych.</w:t>
      </w:r>
    </w:p>
    <w:p w14:paraId="36688094" w14:textId="77777777" w:rsidR="00233FAF" w:rsidRDefault="00233FAF">
      <w:pPr>
        <w:spacing w:line="276" w:lineRule="auto"/>
        <w:jc w:val="both"/>
        <w:rPr>
          <w:rFonts w:ascii="Times New Roman" w:hAnsi="Times New Roman" w:cs="Times New Roman"/>
        </w:rPr>
      </w:pPr>
    </w:p>
    <w:p w14:paraId="62198B46" w14:textId="77777777" w:rsidR="00233FA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Wykonanie, dostarczenie, zamontowanie i uruchomienie  instalacji fotowoltaicznej (OZE) o mocy 29,12 </w:t>
      </w:r>
      <w:proofErr w:type="spellStart"/>
      <w:r>
        <w:rPr>
          <w:rFonts w:ascii="Times New Roman" w:hAnsi="Times New Roman"/>
        </w:rPr>
        <w:t>kWp</w:t>
      </w:r>
      <w:proofErr w:type="spellEnd"/>
    </w:p>
    <w:p w14:paraId="0900F0A6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projekt </w:t>
      </w:r>
    </w:p>
    <w:p w14:paraId="041CB938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CIDFont+F1" w:hAnsi="CIDFont+F1" w:cs="Times New Roman"/>
        </w:rPr>
        <w:t>- falownik</w:t>
      </w:r>
    </w:p>
    <w:p w14:paraId="5CFA5390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CIDFont+F1" w:hAnsi="CIDFont+F1" w:cs="Times New Roman"/>
        </w:rPr>
        <w:t>-optymalizator,</w:t>
      </w:r>
    </w:p>
    <w:p w14:paraId="0A649A53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CIDFont+F1" w:hAnsi="CIDFont+F1" w:cs="Times New Roman"/>
        </w:rPr>
        <w:t>- kompletny system montażowy dla dachu płaskiego i krytego papą,</w:t>
      </w:r>
    </w:p>
    <w:p w14:paraId="508121EA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CIDFont+F1" w:hAnsi="CIDFont+F1" w:cs="Times New Roman"/>
        </w:rPr>
        <w:t>- okablowanie  solarne podwójnie izolowane,</w:t>
      </w:r>
    </w:p>
    <w:p w14:paraId="04FEFDF4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CIDFont+F1" w:hAnsi="CIDFont+F1" w:cs="Times New Roman"/>
        </w:rPr>
        <w:t>komplet zabezpieczeń DC, ograniczniki przepięć, rozłączniki przepięć, zabezpieczenia PPOŻ,</w:t>
      </w:r>
    </w:p>
    <w:p w14:paraId="45613B5A" w14:textId="77777777" w:rsidR="00233FAF" w:rsidRDefault="00000000">
      <w:pPr>
        <w:spacing w:line="276" w:lineRule="auto"/>
        <w:jc w:val="both"/>
        <w:rPr>
          <w:rFonts w:hint="eastAsia"/>
        </w:rPr>
      </w:pPr>
      <w:r>
        <w:rPr>
          <w:rFonts w:ascii="CIDFont+F1" w:hAnsi="CIDFont+F1" w:cs="Times New Roman"/>
        </w:rPr>
        <w:t>- przyłączenie do sieci i zgłoszenie do operatora.</w:t>
      </w:r>
    </w:p>
    <w:p w14:paraId="3E2ED100" w14:textId="77777777" w:rsidR="00233FAF" w:rsidRDefault="00233FAF">
      <w:pPr>
        <w:spacing w:line="276" w:lineRule="auto"/>
        <w:jc w:val="both"/>
        <w:rPr>
          <w:rFonts w:ascii="Times New Roman" w:hAnsi="Times New Roman" w:cs="Times New Roman"/>
        </w:rPr>
      </w:pPr>
    </w:p>
    <w:p w14:paraId="2514B6A8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CIDFont+F1" w:hAnsi="CIDFont+F1" w:cs="Times New Roman"/>
        </w:rPr>
        <w:t>7. Montaż zgodnie z wytycznymi Regionalnego Dyrektora Ochrony Środowiska:</w:t>
      </w:r>
    </w:p>
    <w:p w14:paraId="26B013B7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CIDFont+F1" w:hAnsi="CIDFont+F1" w:cs="Times New Roman"/>
        </w:rPr>
        <w:t>- 13 skrzynek lęgowych typu D,</w:t>
      </w:r>
    </w:p>
    <w:p w14:paraId="4BF10E4C" w14:textId="77777777" w:rsidR="00233FAF" w:rsidRDefault="000000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CIDFont+F1" w:hAnsi="CIDFont+F1" w:cs="Times New Roman"/>
        </w:rPr>
        <w:t>- 4 podtynkowych skrzynek lęgowych typu A, wykonanych z trocinobetonu,</w:t>
      </w:r>
    </w:p>
    <w:p w14:paraId="79BE6A00" w14:textId="77777777" w:rsidR="00233FAF" w:rsidRDefault="00000000">
      <w:pPr>
        <w:spacing w:line="276" w:lineRule="auto"/>
        <w:jc w:val="both"/>
        <w:rPr>
          <w:rFonts w:hint="eastAsia"/>
        </w:rPr>
      </w:pPr>
      <w:r>
        <w:rPr>
          <w:rFonts w:ascii="CIDFont+F1" w:hAnsi="CIDFont+F1" w:cs="Times New Roman"/>
        </w:rPr>
        <w:t>- 2 skrzynek lęgowych typu P,</w:t>
      </w:r>
    </w:p>
    <w:p w14:paraId="18F56D86" w14:textId="77777777" w:rsidR="00233FAF" w:rsidRDefault="00233FAF">
      <w:pPr>
        <w:spacing w:line="276" w:lineRule="auto"/>
        <w:jc w:val="both"/>
        <w:rPr>
          <w:rFonts w:ascii="Times New Roman" w:hAnsi="Times New Roman" w:cs="Times New Roman"/>
        </w:rPr>
      </w:pPr>
    </w:p>
    <w:p w14:paraId="1A777A55" w14:textId="77777777" w:rsidR="00233FAF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Zamawiający informuje, że wykonane zostały prace mające na celu zniszczenie gniazd i siedlisk ptaków oraz uniemożliwienie dostępu do schronień zgodnie decyzją RDOŚ oraz opinią </w:t>
      </w:r>
      <w:proofErr w:type="spellStart"/>
      <w:r>
        <w:rPr>
          <w:rFonts w:ascii="Times New Roman" w:hAnsi="Times New Roman" w:cs="Times New Roman"/>
        </w:rPr>
        <w:t>orniologiczną</w:t>
      </w:r>
      <w:proofErr w:type="spellEnd"/>
      <w:r>
        <w:rPr>
          <w:rFonts w:ascii="Times New Roman" w:hAnsi="Times New Roman" w:cs="Times New Roman"/>
        </w:rPr>
        <w:t>.</w:t>
      </w:r>
    </w:p>
    <w:p w14:paraId="749CE1BF" w14:textId="77777777" w:rsidR="00233FAF" w:rsidRDefault="00233FAF">
      <w:pPr>
        <w:spacing w:line="276" w:lineRule="auto"/>
        <w:jc w:val="both"/>
        <w:rPr>
          <w:rFonts w:ascii="Times New Roman" w:hAnsi="Times New Roman" w:cs="Times New Roman"/>
        </w:rPr>
      </w:pPr>
    </w:p>
    <w:p w14:paraId="418D588B" w14:textId="77777777" w:rsidR="00233FAF" w:rsidRDefault="00000000">
      <w:pPr>
        <w:suppressAutoHyphens w:val="0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ROBÓT:</w:t>
      </w:r>
    </w:p>
    <w:p w14:paraId="668AA595" w14:textId="77777777" w:rsidR="00233FAF" w:rsidRDefault="00233FAF">
      <w:pPr>
        <w:suppressAutoHyphens w:val="0"/>
        <w:spacing w:line="276" w:lineRule="auto"/>
        <w:jc w:val="both"/>
        <w:rPr>
          <w:rFonts w:cs="Times New Roman" w:hint="eastAsia"/>
        </w:rPr>
      </w:pPr>
    </w:p>
    <w:p w14:paraId="6FFF4434" w14:textId="77777777" w:rsidR="00233FAF" w:rsidRDefault="00000000">
      <w:p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 ramach wskazanego wariantu przedsi</w:t>
      </w:r>
      <w:r>
        <w:rPr>
          <w:rFonts w:ascii="Times New Roman" w:hAnsi="Times New Roman"/>
        </w:rPr>
        <w:t>ęwzięcia termomodernizacyjnego należy wykonać</w:t>
      </w:r>
    </w:p>
    <w:p w14:paraId="2EE8817E" w14:textId="77777777" w:rsidR="00233FA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następujące prace:</w:t>
      </w:r>
    </w:p>
    <w:p w14:paraId="28BC8954" w14:textId="77777777" w:rsidR="00233FAF" w:rsidRDefault="00000000">
      <w:pPr>
        <w:rPr>
          <w:rFonts w:hint="eastAsia"/>
        </w:rPr>
      </w:pPr>
      <w:r>
        <w:rPr>
          <w:rFonts w:ascii="Times New Roman" w:hAnsi="Times New Roman"/>
        </w:rPr>
        <w:t xml:space="preserve">Ocieplenie ścian zewnętrznych I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III (788,9 m2) styropianem EPS 035 (</w:t>
      </w:r>
      <w:proofErr w:type="spellStart"/>
      <w:r>
        <w:rPr>
          <w:rFonts w:ascii="Times New Roman" w:hAnsi="Times New Roman"/>
        </w:rPr>
        <w:t>λmax</w:t>
      </w:r>
      <w:proofErr w:type="spellEnd"/>
      <w:r>
        <w:rPr>
          <w:rFonts w:ascii="Times New Roman" w:hAnsi="Times New Roman"/>
        </w:rPr>
        <w:t>=0,035 W/</w:t>
      </w:r>
      <w:proofErr w:type="spellStart"/>
      <w:r>
        <w:rPr>
          <w:rFonts w:ascii="Times New Roman" w:hAnsi="Times New Roman"/>
        </w:rPr>
        <w:t>mK</w:t>
      </w:r>
      <w:proofErr w:type="spellEnd"/>
      <w:r>
        <w:rPr>
          <w:rFonts w:ascii="Times New Roman" w:hAnsi="Times New Roman"/>
        </w:rPr>
        <w:t xml:space="preserve">) grubości 15 cm metodą lekką - mokrą, wg instrukcji systemowej oraz instrukcji I.T.B. dotyczącą </w:t>
      </w:r>
      <w:proofErr w:type="spellStart"/>
      <w:r>
        <w:rPr>
          <w:rFonts w:ascii="Times New Roman" w:hAnsi="Times New Roman"/>
        </w:rPr>
        <w:t>bezspoinowego</w:t>
      </w:r>
      <w:proofErr w:type="spellEnd"/>
      <w:r>
        <w:rPr>
          <w:rFonts w:ascii="Times New Roman" w:hAnsi="Times New Roman"/>
        </w:rPr>
        <w:t xml:space="preserve"> systemu ociepleń, wraz ze wszystkimi niezbędnymi pracami towarzyszącymi (m.in. roboty rozbiórkowe, ziemne i odtworzenie nawierzchni z kostki betonowej, przygotowanie powierzchni do ocieplenia, wszystkie elementy ocieplenia wraz z niezbędnymi pracami i materiałami pomocniczymi, w tym z elementami zabezpieczającymi ocieplone ściany przed wpływem wód deszczowych np. niezbędne obróbki blacharskie, obróbka wnęk przy oknach, drzwiach wraz z dociepleniem tych elementów, odtworzenie instalacji odgromowej.  Przyjęta powierzchnia do obliczenia kosztów obejmuje również fragment ściany poniżej poziomu terenu do głębokości ok. 0,5m.</w:t>
      </w:r>
    </w:p>
    <w:p w14:paraId="63ED2B16" w14:textId="77777777" w:rsidR="00233FAF" w:rsidRDefault="00000000">
      <w:pPr>
        <w:rPr>
          <w:rFonts w:hint="eastAsia"/>
        </w:rPr>
      </w:pPr>
      <w:r>
        <w:rPr>
          <w:rFonts w:ascii="Times New Roman" w:hAnsi="Times New Roman"/>
        </w:rPr>
        <w:t>Łącznie z ociepleniem budynku należy przenieść na nową elewacje wszystkie istniejące na ścianach urządzenia, tj. klimatyzatory, kamery monitoringu, tablice informacyjne, drabinę wejściową, uchwyty.</w:t>
      </w:r>
    </w:p>
    <w:p w14:paraId="1C9AE773" w14:textId="77777777" w:rsidR="00233FA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Wymiana starych drzwi zewnętrznych (6,9m2) na nowe o współczynniku przenikania ciepła </w:t>
      </w:r>
      <w:proofErr w:type="spellStart"/>
      <w:r>
        <w:rPr>
          <w:rFonts w:ascii="Times New Roman" w:hAnsi="Times New Roman"/>
        </w:rPr>
        <w:t>Umax</w:t>
      </w:r>
      <w:proofErr w:type="spellEnd"/>
      <w:r>
        <w:rPr>
          <w:rFonts w:ascii="Times New Roman" w:hAnsi="Times New Roman"/>
        </w:rPr>
        <w:t>=1,3 W/m2K.</w:t>
      </w:r>
    </w:p>
    <w:p w14:paraId="7DADF54C" w14:textId="77777777" w:rsidR="00233FA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Wymiana starych okien (118,6m2) na nowe o współczynniku przenikania ciepła </w:t>
      </w:r>
      <w:proofErr w:type="spellStart"/>
      <w:r>
        <w:rPr>
          <w:rFonts w:ascii="Times New Roman" w:hAnsi="Times New Roman"/>
        </w:rPr>
        <w:t>Umax</w:t>
      </w:r>
      <w:proofErr w:type="spellEnd"/>
      <w:r>
        <w:rPr>
          <w:rFonts w:ascii="Times New Roman" w:hAnsi="Times New Roman"/>
        </w:rPr>
        <w:t>=0,9 W/m2K.</w:t>
      </w:r>
    </w:p>
    <w:p w14:paraId="15A8729A" w14:textId="77777777" w:rsidR="00233FA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Ocieplenie stropodachu wentylowanego (555,5m2) granulatem wełny mineralnej (</w:t>
      </w:r>
      <w:proofErr w:type="spellStart"/>
      <w:r>
        <w:rPr>
          <w:rFonts w:ascii="Times New Roman" w:hAnsi="Times New Roman"/>
        </w:rPr>
        <w:t>λmax</w:t>
      </w:r>
      <w:proofErr w:type="spellEnd"/>
      <w:r>
        <w:rPr>
          <w:rFonts w:ascii="Times New Roman" w:hAnsi="Times New Roman"/>
        </w:rPr>
        <w:t>=0,038 W/</w:t>
      </w:r>
      <w:proofErr w:type="spellStart"/>
      <w:r>
        <w:rPr>
          <w:rFonts w:ascii="Times New Roman" w:hAnsi="Times New Roman"/>
        </w:rPr>
        <w:t>mK</w:t>
      </w:r>
      <w:proofErr w:type="spellEnd"/>
      <w:r>
        <w:rPr>
          <w:rFonts w:ascii="Times New Roman" w:hAnsi="Times New Roman"/>
        </w:rPr>
        <w:t>) grubości 18 cm metodą wdmuchiwania. Przy wykonywaniu prac należy zwrócić szczególną uwagę na równomierne ułożenie ocieplenia na całej powierzchni stropodachu. Prace należy wykonać bez naruszenia elementów konstrukcyjnych, a otwory technologiczne właściwie zabezpieczyć. Należy zapewnić właściwą wentylację przestrzeni pomiędzy ociepleniem a płytami korytkowymi, poprzez udrożnienie istniejących otworów wentylacyjnych. W razie konieczności należy wykonać dodatkowe kominki wentylacyjne. Zakres prac obejmuje zabezpieczenie ocieplenia stropodachu przed wpływem wód deszczowych - krycie papą na powierzchni 585,1 m2 oraz odtworzenie orynnowania i instalacji odgromowej.</w:t>
      </w:r>
    </w:p>
    <w:p w14:paraId="7A413983" w14:textId="77777777" w:rsidR="00233FAF" w:rsidRDefault="00000000">
      <w:p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Pozostały zakres robót rozbiórkowych oraz pozostałe roboty budowlane należy wykonać zgodnie z przedłożoną przedmiarem.</w:t>
      </w:r>
    </w:p>
    <w:p w14:paraId="33483FF1" w14:textId="77777777" w:rsidR="00233FAF" w:rsidRDefault="00233FAF">
      <w:pPr>
        <w:suppressAutoHyphens w:val="0"/>
        <w:spacing w:line="276" w:lineRule="auto"/>
        <w:jc w:val="both"/>
        <w:rPr>
          <w:rFonts w:cs="Times New Roman" w:hint="eastAsia"/>
        </w:rPr>
      </w:pPr>
    </w:p>
    <w:p w14:paraId="75C9C302" w14:textId="77777777" w:rsidR="00233FAF" w:rsidRDefault="00000000">
      <w:pPr>
        <w:suppressAutoHyphens w:val="0"/>
        <w:spacing w:line="276" w:lineRule="auto"/>
        <w:jc w:val="both"/>
        <w:rPr>
          <w:rFonts w:hint="eastAsia"/>
        </w:rPr>
      </w:pPr>
      <w:r>
        <w:rPr>
          <w:rFonts w:cs="Times New Roman"/>
        </w:rPr>
        <w:tab/>
      </w:r>
      <w:r>
        <w:rPr>
          <w:rFonts w:ascii="Times New Roman" w:hAnsi="Times New Roman" w:cs="Times New Roman"/>
        </w:rPr>
        <w:t>Wykonawca jest zobowiązany przed przystąpieniem do wykonywania robót budowlanych uzgodnić z Inspektorem Nadzoru oraz Dyrektorem Żłobka zasady funkcjonowania obiektu w czasie prowadzenia prac. Prace budowlane muszą w jak najmniejszym stopniu ingerować w działanie obiektu przy założeniu częściowego wyłączania z użytku pomieszczeń. Ze względu na charakter świadczonych usług nie ma możliwości całościowego wyłączenia obiektu z użytkowania.</w:t>
      </w:r>
    </w:p>
    <w:p w14:paraId="584B2859" w14:textId="77777777" w:rsidR="00233FAF" w:rsidRDefault="00233FAF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5657CBA7" w14:textId="77777777" w:rsidR="00233FAF" w:rsidRDefault="00000000">
      <w:p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 xml:space="preserve">Materiały rozbiórkowe, istniejąca stolarka okienna i drzwiowa w tym okna PCV po demontażu pozostają do dyspozycji Wykonawcy. </w:t>
      </w:r>
    </w:p>
    <w:p w14:paraId="012CA009" w14:textId="77777777" w:rsidR="00233FAF" w:rsidRDefault="00233FAF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28042EFF" w14:textId="77777777" w:rsidR="00233FAF" w:rsidRDefault="00000000">
      <w:pPr>
        <w:suppressAutoHyphens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Zaleca się Wykonawcom przeprowadzenie wizji lokalnej na terenie budowanego stadionu. W wizji lokalnej razem z Wykonawcą może brać udział przedstawiciel Urzędu Miejskiego po uprzednim umówieniu wizyty pod numerem telefonu: 61 44 26 641 w godzinach od 8.00 do 15.00. </w:t>
      </w:r>
    </w:p>
    <w:p w14:paraId="438BA92E" w14:textId="77777777" w:rsidR="00233FAF" w:rsidRDefault="0000000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Po stronie Wykonawcy leży zabezpieczenie i właściwe oznakowanie terenu budowy w sposób zgodny z obowiązującymi przepisami BHP.</w:t>
      </w:r>
    </w:p>
    <w:p w14:paraId="5FE6260F" w14:textId="77777777" w:rsidR="00233FAF" w:rsidRDefault="0000000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Wykonawca </w:t>
      </w:r>
      <w:bookmarkStart w:id="2" w:name="__DdeLink__62_1594010283"/>
      <w:r>
        <w:rPr>
          <w:rFonts w:ascii="Times New Roman" w:hAnsi="Times New Roman" w:cs="Times New Roman"/>
        </w:rPr>
        <w:t xml:space="preserve">zobowiązany jest </w:t>
      </w:r>
      <w:bookmarkEnd w:id="2"/>
      <w:r>
        <w:rPr>
          <w:rFonts w:ascii="Times New Roman" w:hAnsi="Times New Roman" w:cs="Times New Roman"/>
        </w:rPr>
        <w:t>do przeprowadzenia robót budowlanych na podstawie przedłożonej dokumentacji przetargowej zgodnie z obowiązującymi przepisami prawa.</w:t>
      </w:r>
    </w:p>
    <w:p w14:paraId="1B4EF59A" w14:textId="77777777" w:rsidR="00233FAF" w:rsidRDefault="00233FAF">
      <w:pPr>
        <w:spacing w:line="276" w:lineRule="auto"/>
        <w:jc w:val="both"/>
        <w:rPr>
          <w:rFonts w:ascii="Times New Roman" w:hAnsi="Times New Roman" w:cs="Times New Roman"/>
        </w:rPr>
      </w:pPr>
    </w:p>
    <w:p w14:paraId="3F30DADB" w14:textId="77777777" w:rsidR="00233FAF" w:rsidRDefault="00233FAF">
      <w:pPr>
        <w:spacing w:line="276" w:lineRule="auto"/>
        <w:jc w:val="both"/>
        <w:rPr>
          <w:rFonts w:ascii="Times New Roman" w:hAnsi="Times New Roman" w:cs="Times New Roman"/>
        </w:rPr>
      </w:pPr>
    </w:p>
    <w:p w14:paraId="5048C917" w14:textId="77777777" w:rsidR="00233FAF" w:rsidRDefault="00233FAF">
      <w:pPr>
        <w:spacing w:after="160" w:line="276" w:lineRule="auto"/>
        <w:rPr>
          <w:rFonts w:hint="eastAsia"/>
        </w:rPr>
      </w:pPr>
    </w:p>
    <w:sectPr w:rsidR="00233FAF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8C32" w14:textId="77777777" w:rsidR="00704E3D" w:rsidRDefault="00704E3D" w:rsidP="00E1541F">
      <w:pPr>
        <w:rPr>
          <w:rFonts w:hint="eastAsia"/>
        </w:rPr>
      </w:pPr>
      <w:r>
        <w:separator/>
      </w:r>
    </w:p>
  </w:endnote>
  <w:endnote w:type="continuationSeparator" w:id="0">
    <w:p w14:paraId="083C1C5B" w14:textId="77777777" w:rsidR="00704E3D" w:rsidRDefault="00704E3D" w:rsidP="00E154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IDFont+F1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0F27" w14:textId="77777777" w:rsidR="00704E3D" w:rsidRDefault="00704E3D" w:rsidP="00E1541F">
      <w:pPr>
        <w:rPr>
          <w:rFonts w:hint="eastAsia"/>
        </w:rPr>
      </w:pPr>
      <w:r>
        <w:separator/>
      </w:r>
    </w:p>
  </w:footnote>
  <w:footnote w:type="continuationSeparator" w:id="0">
    <w:p w14:paraId="70435D91" w14:textId="77777777" w:rsidR="00704E3D" w:rsidRDefault="00704E3D" w:rsidP="00E1541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454D" w14:textId="7946F23D" w:rsidR="00E1541F" w:rsidRDefault="00E1541F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31C817F4" wp14:editId="4847730F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6BA1"/>
    <w:multiLevelType w:val="multilevel"/>
    <w:tmpl w:val="B4E8BD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FE2CDC"/>
    <w:multiLevelType w:val="multilevel"/>
    <w:tmpl w:val="3BB4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47764138">
    <w:abstractNumId w:val="1"/>
  </w:num>
  <w:num w:numId="2" w16cid:durableId="18791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AF"/>
    <w:rsid w:val="00233FAF"/>
    <w:rsid w:val="00704E3D"/>
    <w:rsid w:val="00DE0278"/>
    <w:rsid w:val="00E1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E9798"/>
  <w15:docId w15:val="{AD06D705-8642-4418-A948-D77C2ED2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9901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  <w:b w:val="0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OpenSymbol"/>
    </w:rPr>
  </w:style>
  <w:style w:type="character" w:customStyle="1" w:styleId="ListLabel1085">
    <w:name w:val="ListLabel 1085"/>
    <w:qFormat/>
    <w:rPr>
      <w:rFonts w:cs="OpenSymbol"/>
    </w:rPr>
  </w:style>
  <w:style w:type="character" w:customStyle="1" w:styleId="ListLabel1086">
    <w:name w:val="ListLabel 1086"/>
    <w:qFormat/>
    <w:rPr>
      <w:rFonts w:cs="OpenSymbol"/>
    </w:rPr>
  </w:style>
  <w:style w:type="character" w:customStyle="1" w:styleId="ListLabel1087">
    <w:name w:val="ListLabel 1087"/>
    <w:qFormat/>
    <w:rPr>
      <w:rFonts w:cs="OpenSymbol"/>
    </w:rPr>
  </w:style>
  <w:style w:type="character" w:customStyle="1" w:styleId="ListLabel1088">
    <w:name w:val="ListLabel 1088"/>
    <w:qFormat/>
    <w:rPr>
      <w:rFonts w:cs="OpenSymbol"/>
    </w:rPr>
  </w:style>
  <w:style w:type="character" w:customStyle="1" w:styleId="ListLabel1089">
    <w:name w:val="ListLabel 1089"/>
    <w:qFormat/>
    <w:rPr>
      <w:rFonts w:cs="OpenSymbol"/>
    </w:rPr>
  </w:style>
  <w:style w:type="character" w:customStyle="1" w:styleId="ListLabel1090">
    <w:name w:val="ListLabel 1090"/>
    <w:qFormat/>
    <w:rPr>
      <w:rFonts w:cs="OpenSymbol"/>
    </w:rPr>
  </w:style>
  <w:style w:type="character" w:customStyle="1" w:styleId="ListLabel1091">
    <w:name w:val="ListLabel 1091"/>
    <w:qFormat/>
    <w:rPr>
      <w:rFonts w:cs="OpenSymbol"/>
    </w:rPr>
  </w:style>
  <w:style w:type="character" w:customStyle="1" w:styleId="ListLabel1092">
    <w:name w:val="ListLabel 1092"/>
    <w:qFormat/>
    <w:rPr>
      <w:rFonts w:cs="OpenSymbol"/>
    </w:rPr>
  </w:style>
  <w:style w:type="character" w:customStyle="1" w:styleId="ListLabel1093">
    <w:name w:val="ListLabel 1093"/>
    <w:qFormat/>
    <w:rPr>
      <w:rFonts w:cs="OpenSymbol"/>
    </w:rPr>
  </w:style>
  <w:style w:type="character" w:customStyle="1" w:styleId="ListLabel1094">
    <w:name w:val="ListLabel 1094"/>
    <w:qFormat/>
    <w:rPr>
      <w:rFonts w:cs="OpenSymbol"/>
    </w:rPr>
  </w:style>
  <w:style w:type="character" w:customStyle="1" w:styleId="ListLabel1095">
    <w:name w:val="ListLabel 1095"/>
    <w:qFormat/>
    <w:rPr>
      <w:rFonts w:cs="OpenSymbol"/>
    </w:rPr>
  </w:style>
  <w:style w:type="character" w:customStyle="1" w:styleId="ListLabel1096">
    <w:name w:val="ListLabel 1096"/>
    <w:qFormat/>
    <w:rPr>
      <w:rFonts w:cs="OpenSymbol"/>
    </w:rPr>
  </w:style>
  <w:style w:type="character" w:customStyle="1" w:styleId="ListLabel1097">
    <w:name w:val="ListLabel 1097"/>
    <w:qFormat/>
    <w:rPr>
      <w:rFonts w:cs="OpenSymbol"/>
    </w:rPr>
  </w:style>
  <w:style w:type="character" w:customStyle="1" w:styleId="ListLabel1098">
    <w:name w:val="ListLabel 1098"/>
    <w:qFormat/>
    <w:rPr>
      <w:rFonts w:cs="OpenSymbol"/>
    </w:rPr>
  </w:style>
  <w:style w:type="character" w:customStyle="1" w:styleId="ListLabel1099">
    <w:name w:val="ListLabel 1099"/>
    <w:qFormat/>
    <w:rPr>
      <w:rFonts w:cs="OpenSymbol"/>
    </w:rPr>
  </w:style>
  <w:style w:type="character" w:customStyle="1" w:styleId="ListLabel1100">
    <w:name w:val="ListLabel 1100"/>
    <w:qFormat/>
    <w:rPr>
      <w:rFonts w:cs="OpenSymbol"/>
    </w:rPr>
  </w:style>
  <w:style w:type="character" w:customStyle="1" w:styleId="ListLabel1101">
    <w:name w:val="ListLabel 1101"/>
    <w:qFormat/>
    <w:rPr>
      <w:rFonts w:cs="OpenSymbol"/>
    </w:rPr>
  </w:style>
  <w:style w:type="character" w:customStyle="1" w:styleId="ListLabel1102">
    <w:name w:val="ListLabel 1102"/>
    <w:qFormat/>
    <w:rPr>
      <w:rFonts w:cs="OpenSymbol"/>
    </w:rPr>
  </w:style>
  <w:style w:type="character" w:customStyle="1" w:styleId="ListLabel1103">
    <w:name w:val="ListLabel 1103"/>
    <w:qFormat/>
    <w:rPr>
      <w:rFonts w:cs="OpenSymbol"/>
    </w:rPr>
  </w:style>
  <w:style w:type="character" w:customStyle="1" w:styleId="ListLabel1104">
    <w:name w:val="ListLabel 1104"/>
    <w:qFormat/>
    <w:rPr>
      <w:rFonts w:cs="OpenSymbol"/>
    </w:rPr>
  </w:style>
  <w:style w:type="character" w:customStyle="1" w:styleId="ListLabel1105">
    <w:name w:val="ListLabel 1105"/>
    <w:qFormat/>
    <w:rPr>
      <w:rFonts w:cs="OpenSymbol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ListLabel1107">
    <w:name w:val="ListLabel 1107"/>
    <w:qFormat/>
    <w:rPr>
      <w:rFonts w:cs="OpenSymbol"/>
    </w:rPr>
  </w:style>
  <w:style w:type="character" w:customStyle="1" w:styleId="ListLabel1108">
    <w:name w:val="ListLabel 1108"/>
    <w:qFormat/>
    <w:rPr>
      <w:rFonts w:cs="OpenSymbol"/>
    </w:rPr>
  </w:style>
  <w:style w:type="character" w:customStyle="1" w:styleId="ListLabel1109">
    <w:name w:val="ListLabel 1109"/>
    <w:qFormat/>
    <w:rPr>
      <w:rFonts w:cs="OpenSymbol"/>
    </w:rPr>
  </w:style>
  <w:style w:type="character" w:customStyle="1" w:styleId="ListLabel1110">
    <w:name w:val="ListLabel 1110"/>
    <w:qFormat/>
    <w:rPr>
      <w:rFonts w:cs="OpenSymbol"/>
    </w:rPr>
  </w:style>
  <w:style w:type="character" w:customStyle="1" w:styleId="ListLabel1111">
    <w:name w:val="ListLabel 1111"/>
    <w:qFormat/>
    <w:rPr>
      <w:rFonts w:cs="OpenSymbol"/>
    </w:rPr>
  </w:style>
  <w:style w:type="character" w:customStyle="1" w:styleId="ListLabel1112">
    <w:name w:val="ListLabel 1112"/>
    <w:qFormat/>
    <w:rPr>
      <w:rFonts w:cs="OpenSymbol"/>
    </w:rPr>
  </w:style>
  <w:style w:type="character" w:customStyle="1" w:styleId="ListLabel1113">
    <w:name w:val="ListLabel 1113"/>
    <w:qFormat/>
    <w:rPr>
      <w:rFonts w:cs="OpenSymbol"/>
    </w:rPr>
  </w:style>
  <w:style w:type="character" w:customStyle="1" w:styleId="ListLabel1114">
    <w:name w:val="ListLabel 1114"/>
    <w:qFormat/>
    <w:rPr>
      <w:rFonts w:cs="OpenSymbol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7">
    <w:name w:val="ListLabel 1117"/>
    <w:qFormat/>
    <w:rPr>
      <w:rFonts w:ascii="Times New Roman" w:hAnsi="Times New Roman" w:cs="OpenSymbol"/>
      <w:sz w:val="24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2">
    <w:name w:val="ListLabel 1122"/>
    <w:qFormat/>
    <w:rPr>
      <w:rFonts w:cs="OpenSymbol"/>
    </w:rPr>
  </w:style>
  <w:style w:type="character" w:customStyle="1" w:styleId="ListLabel1123">
    <w:name w:val="ListLabel 1123"/>
    <w:qFormat/>
    <w:rPr>
      <w:rFonts w:cs="OpenSymbol"/>
    </w:rPr>
  </w:style>
  <w:style w:type="character" w:customStyle="1" w:styleId="ListLabel1124">
    <w:name w:val="ListLabel 1124"/>
    <w:qFormat/>
    <w:rPr>
      <w:rFonts w:cs="OpenSymbol"/>
    </w:rPr>
  </w:style>
  <w:style w:type="character" w:customStyle="1" w:styleId="ListLabel1125">
    <w:name w:val="ListLabel 1125"/>
    <w:qFormat/>
    <w:rPr>
      <w:rFonts w:cs="OpenSymbol"/>
    </w:rPr>
  </w:style>
  <w:style w:type="character" w:customStyle="1" w:styleId="ListLabel1126">
    <w:name w:val="ListLabel 1126"/>
    <w:qFormat/>
    <w:rPr>
      <w:rFonts w:ascii="Times New Roman" w:hAnsi="Times New Roman" w:cs="OpenSymbol"/>
      <w:sz w:val="24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4">
    <w:name w:val="ListLabel 1134"/>
    <w:qFormat/>
    <w:rPr>
      <w:rFonts w:cs="OpenSymbol"/>
    </w:rPr>
  </w:style>
  <w:style w:type="character" w:customStyle="1" w:styleId="ListLabel1135">
    <w:name w:val="ListLabel 1135"/>
    <w:qFormat/>
    <w:rPr>
      <w:rFonts w:ascii="Times New Roman" w:hAnsi="Times New Roman" w:cs="OpenSymbol"/>
      <w:sz w:val="24"/>
    </w:rPr>
  </w:style>
  <w:style w:type="character" w:customStyle="1" w:styleId="ListLabel1136">
    <w:name w:val="ListLabel 1136"/>
    <w:qFormat/>
    <w:rPr>
      <w:rFonts w:cs="OpenSymbol"/>
    </w:rPr>
  </w:style>
  <w:style w:type="character" w:customStyle="1" w:styleId="ListLabel1137">
    <w:name w:val="ListLabel 1137"/>
    <w:qFormat/>
    <w:rPr>
      <w:rFonts w:cs="OpenSymbol"/>
    </w:rPr>
  </w:style>
  <w:style w:type="character" w:customStyle="1" w:styleId="ListLabel1138">
    <w:name w:val="ListLabel 1138"/>
    <w:qFormat/>
    <w:rPr>
      <w:rFonts w:cs="OpenSymbol"/>
    </w:rPr>
  </w:style>
  <w:style w:type="character" w:customStyle="1" w:styleId="ListLabel1139">
    <w:name w:val="ListLabel 1139"/>
    <w:qFormat/>
    <w:rPr>
      <w:rFonts w:cs="OpenSymbol"/>
    </w:rPr>
  </w:style>
  <w:style w:type="character" w:customStyle="1" w:styleId="ListLabel1140">
    <w:name w:val="ListLabel 1140"/>
    <w:qFormat/>
    <w:rPr>
      <w:rFonts w:cs="OpenSymbol"/>
    </w:rPr>
  </w:style>
  <w:style w:type="character" w:customStyle="1" w:styleId="ListLabel1141">
    <w:name w:val="ListLabel 1141"/>
    <w:qFormat/>
    <w:rPr>
      <w:rFonts w:cs="OpenSymbol"/>
    </w:rPr>
  </w:style>
  <w:style w:type="character" w:customStyle="1" w:styleId="ListLabel1142">
    <w:name w:val="ListLabel 1142"/>
    <w:qFormat/>
    <w:rPr>
      <w:rFonts w:cs="OpenSymbol"/>
    </w:rPr>
  </w:style>
  <w:style w:type="character" w:customStyle="1" w:styleId="ListLabel1143">
    <w:name w:val="ListLabel 1143"/>
    <w:qFormat/>
    <w:rPr>
      <w:rFonts w:cs="OpenSymbol"/>
    </w:rPr>
  </w:style>
  <w:style w:type="character" w:customStyle="1" w:styleId="ListLabel1144">
    <w:name w:val="ListLabel 1144"/>
    <w:qFormat/>
    <w:rPr>
      <w:rFonts w:cs="OpenSymbol"/>
      <w:sz w:val="24"/>
    </w:rPr>
  </w:style>
  <w:style w:type="character" w:customStyle="1" w:styleId="ListLabel1145">
    <w:name w:val="ListLabel 1145"/>
    <w:qFormat/>
    <w:rPr>
      <w:rFonts w:cs="OpenSymbol"/>
    </w:rPr>
  </w:style>
  <w:style w:type="character" w:customStyle="1" w:styleId="ListLabel1146">
    <w:name w:val="ListLabel 1146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8">
    <w:name w:val="ListLabel 1148"/>
    <w:qFormat/>
    <w:rPr>
      <w:rFonts w:cs="OpenSymbol"/>
    </w:rPr>
  </w:style>
  <w:style w:type="character" w:customStyle="1" w:styleId="ListLabel1149">
    <w:name w:val="ListLabel 1149"/>
    <w:qFormat/>
    <w:rPr>
      <w:rFonts w:cs="OpenSymbol"/>
    </w:rPr>
  </w:style>
  <w:style w:type="character" w:customStyle="1" w:styleId="ListLabel1150">
    <w:name w:val="ListLabel 1150"/>
    <w:qFormat/>
    <w:rPr>
      <w:rFonts w:cs="OpenSymbol"/>
    </w:rPr>
  </w:style>
  <w:style w:type="character" w:customStyle="1" w:styleId="ListLabel1151">
    <w:name w:val="ListLabel 1151"/>
    <w:qFormat/>
    <w:rPr>
      <w:rFonts w:cs="OpenSymbol"/>
    </w:rPr>
  </w:style>
  <w:style w:type="character" w:customStyle="1" w:styleId="ListLabel1152">
    <w:name w:val="ListLabel 1152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154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1F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2F16-AAF7-43FB-8FE5-1AB59EF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dc:description/>
  <cp:lastModifiedBy>szs4</cp:lastModifiedBy>
  <cp:revision>3</cp:revision>
  <cp:lastPrinted>2023-02-21T09:28:00Z</cp:lastPrinted>
  <dcterms:created xsi:type="dcterms:W3CDTF">2023-03-21T15:46:00Z</dcterms:created>
  <dcterms:modified xsi:type="dcterms:W3CDTF">2023-03-22T10:51:00Z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